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4995/23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גורדון</w:t>
            </w:r>
            <w:r>
              <w:rPr>
                <w:sz w:val="24"/>
                <w:szCs w:val="24"/>
                <w:rtl w:val="true"/>
              </w:rPr>
              <w:t>),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1.2.2023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15.5.2023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47450-05-21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22.01.2024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טקו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בלייכר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108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בהתפרעויות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הצדיק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דוקטרינת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לקפח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בתחבולה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הצדיק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דוקטרינת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הודאות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כדלקמן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דוקטרינת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שהתגבשה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יששכרוב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דוקטרינה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מנוגדים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מוגנת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ההגבלה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החוקיות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הדוקטרינה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מושכלות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שגורמי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ותרגילי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ותכסיסי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שבעובדה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ננקטו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לגיטימיות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יששכרוב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משנמצא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החיצוני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מקבילית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rFonts w:cs="FrankRuehl"/>
          <w:sz w:val="24"/>
          <w:szCs w:val="26"/>
          <w:rtl w:val="true"/>
        </w:rPr>
        <w:t xml:space="preserve">":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ולהפך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מאמתת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מפורטת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החיצוני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שתיעדו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מיצויו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נקיטה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זניחתו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איתורן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lang w:val="de-DE"/>
        </w:rPr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cs="FrankRuehl"/>
          <w:sz w:val="24"/>
          <w:szCs w:val="26"/>
          <w:lang w:val="de-DE"/>
        </w:rPr>
      </w:pPr>
      <w:r>
        <w:rPr>
          <w:rFonts w:cs="FrankRuehl"/>
          <w:sz w:val="24"/>
          <w:szCs w:val="26"/>
          <w:rtl w:val="true"/>
          <w:lang w:val="de-D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לפנינו ערעור על הכרעת דינו וגזר דינו של בית המשפט המחוזי בירושלים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גורדון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hyperlink r:id="rId18">
        <w:r>
          <w:rPr>
            <w:rStyle w:val="Hyperlink"/>
            <w:rFonts w:ascii="Century" w:hAnsi="Century" w:cs="Century"/>
            <w:rtl w:val="true"/>
          </w:rPr>
          <w:t>ת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47450-05-21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1.2.2023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ומיום </w:t>
      </w:r>
      <w:r>
        <w:rPr>
          <w:rFonts w:cs="Century" w:ascii="Century" w:hAnsi="Century"/>
        </w:rPr>
        <w:t>15.5.2023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הכרעת הדין הורשע המערער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 מעשה טרור של 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בצוותא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בגזר הדין נגזרו על המערער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מיום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ענישה נלווית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24.5.2021</w:t>
      </w:r>
      <w:r>
        <w:rPr>
          <w:rtl w:val="true"/>
        </w:rPr>
        <w:t xml:space="preserve"> </w:t>
      </w:r>
      <w:r>
        <w:rPr>
          <w:rtl w:val="true"/>
        </w:rPr>
        <w:t>הוגש כתב אישום נגד המערער ושניים נוספים</w:t>
      </w:r>
      <w:r>
        <w:rPr>
          <w:rtl w:val="true"/>
        </w:rPr>
        <w:t xml:space="preserve">. </w:t>
      </w:r>
      <w:r>
        <w:rPr>
          <w:rtl w:val="true"/>
        </w:rPr>
        <w:t>הרקע לכתב האישום</w:t>
      </w:r>
      <w:r>
        <w:rPr>
          <w:rtl w:val="true"/>
        </w:rPr>
        <w:t xml:space="preserve">, </w:t>
      </w:r>
      <w:r>
        <w:rPr>
          <w:rtl w:val="true"/>
        </w:rPr>
        <w:t>כפי שתואר בחלק הכללי שבו</w:t>
      </w:r>
      <w:r>
        <w:rPr>
          <w:rtl w:val="true"/>
        </w:rPr>
        <w:t xml:space="preserve">, </w:t>
      </w:r>
      <w:r>
        <w:rPr>
          <w:rtl w:val="true"/>
        </w:rPr>
        <w:t>הוא כדלקמן</w:t>
      </w:r>
      <w:r>
        <w:rPr>
          <w:rtl w:val="true"/>
        </w:rPr>
        <w:t xml:space="preserve">: </w:t>
      </w:r>
      <w:r>
        <w:rPr>
          <w:rtl w:val="true"/>
        </w:rPr>
        <w:t xml:space="preserve">החל מיום </w:t>
      </w:r>
      <w:r>
        <w:rPr/>
        <w:t>13.4.2021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הרמדאן בשנת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התרחשו בארץ ובייחוד בירושלים</w:t>
      </w:r>
      <w:r>
        <w:rPr>
          <w:rtl w:val="true"/>
        </w:rPr>
        <w:t xml:space="preserve">, </w:t>
      </w:r>
      <w:r>
        <w:rPr>
          <w:rtl w:val="true"/>
        </w:rPr>
        <w:t xml:space="preserve">התפרעויות </w:t>
      </w:r>
      <w:r>
        <w:rPr>
          <w:rtl w:val="true"/>
        </w:rPr>
        <w:t xml:space="preserve">ותקיפות שכללו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זריקות אבנים וחפצים לעבר אנשים וכלי רכב בעלי חזות או סממנים יהודים</w:t>
      </w:r>
      <w:r>
        <w:rPr>
          <w:rtl w:val="true"/>
        </w:rPr>
        <w:t xml:space="preserve">, </w:t>
      </w:r>
      <w:r>
        <w:rPr>
          <w:rtl w:val="true"/>
        </w:rPr>
        <w:t>וכן התפרעויות ותקיפות על רקע לאומני נגד כוחות המשטרה והביטחון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עובדות האישום הרלוונטי למערער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24.4.2021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tl w:val="true"/>
        </w:rPr>
        <w:t xml:space="preserve"> </w:t>
      </w:r>
      <w:r>
        <w:rPr>
          <w:rtl w:val="true"/>
        </w:rPr>
        <w:t>לשעת</w:t>
      </w:r>
      <w:r>
        <w:rPr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עמדה ניידת משטרה בצומת הרחובות בר לב ופייר ואן פאסן בירושלים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tl w:val="true"/>
        </w:rPr>
        <w:t xml:space="preserve"> </w:t>
      </w:r>
      <w:r>
        <w:rPr>
          <w:rtl w:val="true"/>
        </w:rPr>
        <w:t>להתאסף</w:t>
      </w:r>
      <w:r>
        <w:rPr>
          <w:rtl w:val="true"/>
        </w:rPr>
        <w:t xml:space="preserve"> </w:t>
      </w:r>
      <w:r>
        <w:rPr>
          <w:rtl w:val="true"/>
        </w:rPr>
        <w:t>עשרות</w:t>
      </w:r>
      <w:r>
        <w:rPr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פורעים</w:t>
      </w:r>
      <w:r>
        <w:rPr>
          <w:rtl w:val="true"/>
        </w:rPr>
        <w:t xml:space="preserve"> </w:t>
      </w:r>
      <w:r>
        <w:rPr>
          <w:rtl w:val="true"/>
        </w:rPr>
        <w:t xml:space="preserve">ברחוב </w:t>
      </w:r>
      <w:r>
        <w:rPr>
          <w:rtl w:val="true"/>
        </w:rPr>
        <w:t>פייר</w:t>
      </w:r>
      <w:r>
        <w:rPr>
          <w:rtl w:val="true"/>
        </w:rPr>
        <w:t xml:space="preserve"> </w:t>
      </w:r>
      <w:r>
        <w:rPr>
          <w:rtl w:val="true"/>
        </w:rPr>
        <w:t>ואן</w:t>
      </w:r>
      <w:r>
        <w:rPr>
          <w:rtl w:val="true"/>
        </w:rPr>
        <w:t xml:space="preserve"> </w:t>
      </w:r>
      <w:r>
        <w:rPr>
          <w:rtl w:val="true"/>
        </w:rPr>
        <w:t>פאסן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tl w:val="true"/>
        </w:rPr>
        <w:t xml:space="preserve"> </w:t>
      </w:r>
      <w:r>
        <w:rPr>
          <w:rtl w:val="true"/>
        </w:rPr>
        <w:t>גוררים</w:t>
      </w:r>
      <w:r>
        <w:rPr>
          <w:rtl w:val="true"/>
        </w:rPr>
        <w:t xml:space="preserve"> </w:t>
      </w:r>
      <w:r>
        <w:rPr>
          <w:rtl w:val="true"/>
        </w:rPr>
        <w:t>למרכז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נתיב הפונה מערבה</w:t>
      </w:r>
      <w:r>
        <w:rPr>
          <w:rtl w:val="true"/>
        </w:rPr>
        <w:t xml:space="preserve">, </w:t>
      </w:r>
      <w:r>
        <w:rPr>
          <w:rtl w:val="true"/>
        </w:rPr>
        <w:t>פח</w:t>
      </w:r>
      <w:r>
        <w:rPr>
          <w:rtl w:val="true"/>
        </w:rPr>
        <w:t xml:space="preserve"> </w:t>
      </w:r>
      <w:r>
        <w:rPr>
          <w:rtl w:val="true"/>
        </w:rPr>
        <w:t>זבל</w:t>
      </w:r>
      <w:r>
        <w:rPr>
          <w:rtl w:val="true"/>
        </w:rPr>
        <w:t xml:space="preserve"> ירוק מסוג </w:t>
      </w:r>
      <w:r>
        <w:rPr>
          <w:rtl w:val="true"/>
        </w:rPr>
        <w:t>"</w:t>
      </w:r>
      <w:r>
        <w:rPr>
          <w:rtl w:val="true"/>
        </w:rPr>
        <w:t>צפרדע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ומציתים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במטרה להפר את השלום והסדר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צעד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בגיר</w:t>
      </w:r>
      <w:r>
        <w:rPr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 </w:t>
      </w:r>
      <w:r>
        <w:rPr>
          <w:rtl w:val="true"/>
        </w:rPr>
        <w:t>חזות</w:t>
      </w:r>
      <w:r>
        <w:rPr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, </w:t>
      </w:r>
      <w:r>
        <w:rPr>
          <w:rtl w:val="true"/>
        </w:rPr>
        <w:t xml:space="preserve">יחד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כלבו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לאחר שסיים את תפילתו בקבר שמעון הצדיק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עשרות</w:t>
      </w:r>
      <w:r>
        <w:rPr>
          <w:rtl w:val="true"/>
        </w:rPr>
        <w:t xml:space="preserve"> </w:t>
      </w:r>
      <w:r>
        <w:rPr>
          <w:rtl w:val="true"/>
        </w:rPr>
        <w:t>הפורעים</w:t>
      </w:r>
      <w:r>
        <w:rPr>
          <w:rtl w:val="true"/>
        </w:rPr>
        <w:t xml:space="preserve"> ברחוב פייר ואן פאסן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הבחינו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מהפורעים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החלו</w:t>
      </w:r>
      <w:r>
        <w:rPr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זר</w:t>
      </w:r>
      <w:r>
        <w:rPr>
          <w:rtl w:val="true"/>
        </w:rPr>
        <w:t>", "</w:t>
      </w:r>
      <w:r>
        <w:rPr>
          <w:rtl w:val="true"/>
        </w:rPr>
        <w:t>מתנחל</w:t>
      </w:r>
      <w:r>
        <w:rPr>
          <w:rtl w:val="true"/>
        </w:rPr>
        <w:t xml:space="preserve">, </w:t>
      </w:r>
      <w:r>
        <w:rPr>
          <w:rtl w:val="true"/>
        </w:rPr>
        <w:t>מתנחל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להכות</w:t>
      </w:r>
      <w:r>
        <w:rPr>
          <w:rtl w:val="true"/>
        </w:rPr>
        <w:t xml:space="preserve">, </w:t>
      </w:r>
      <w:r>
        <w:rPr>
          <w:rtl w:val="true"/>
        </w:rPr>
        <w:t>להכות</w:t>
      </w:r>
      <w:r>
        <w:rPr>
          <w:rtl w:val="true"/>
        </w:rPr>
        <w:t xml:space="preserve">". </w:t>
      </w:r>
      <w:r>
        <w:rPr>
          <w:rtl w:val="true"/>
        </w:rPr>
        <w:t>מששמעו כלל הפורעים את הקריאות והבחינו כי המתלונן הינו בעל חזות יהודית</w:t>
      </w:r>
      <w:r>
        <w:rPr>
          <w:rtl w:val="true"/>
        </w:rPr>
        <w:t xml:space="preserve">, </w:t>
      </w:r>
      <w:r>
        <w:rPr>
          <w:rtl w:val="true"/>
        </w:rPr>
        <w:t>הם החלו לזרוק לעברו אבנים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רץ עם כלבו לעבר מדרכה הנמצאת בין גדר לאוטובוס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הפורעים</w:t>
      </w:r>
      <w:r>
        <w:rPr>
          <w:rtl w:val="true"/>
        </w:rPr>
        <w:t xml:space="preserve"> </w:t>
      </w:r>
      <w:r>
        <w:rPr>
          <w:rtl w:val="true"/>
        </w:rPr>
        <w:t>רצו לעברו</w:t>
      </w:r>
      <w:r>
        <w:rPr>
          <w:rtl w:val="true"/>
        </w:rPr>
        <w:t xml:space="preserve">, </w:t>
      </w:r>
      <w:r>
        <w:rPr>
          <w:rtl w:val="true"/>
        </w:rPr>
        <w:t>הקיפו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 xml:space="preserve">מכל צדדיו </w:t>
      </w:r>
      <w:r>
        <w:rPr>
          <w:rtl w:val="true"/>
        </w:rPr>
        <w:t>והחלו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בעיטות</w:t>
      </w:r>
      <w:r>
        <w:rPr>
          <w:rtl w:val="true"/>
        </w:rPr>
        <w:t xml:space="preserve">, </w:t>
      </w:r>
      <w:r>
        <w:rPr>
          <w:rtl w:val="true"/>
        </w:rPr>
        <w:t>אלות</w:t>
      </w:r>
      <w:r>
        <w:rPr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סלעים</w:t>
      </w:r>
      <w:r>
        <w:rPr>
          <w:rtl w:val="true"/>
        </w:rPr>
        <w:t xml:space="preserve">, </w:t>
      </w:r>
      <w:r>
        <w:rPr>
          <w:rtl w:val="true"/>
        </w:rPr>
        <w:t>חפצים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ובאמצעות</w:t>
      </w:r>
      <w:r>
        <w:rPr>
          <w:rtl w:val="true"/>
        </w:rPr>
        <w:t xml:space="preserve"> </w:t>
      </w:r>
      <w:r>
        <w:rPr>
          <w:rtl w:val="true"/>
        </w:rPr>
        <w:t>שוקר</w:t>
      </w:r>
      <w:r>
        <w:rPr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התקיפה בוצעה לעבר כל חלקי גופו של המתלונן</w:t>
      </w:r>
      <w:r>
        <w:rPr>
          <w:rtl w:val="true"/>
        </w:rPr>
        <w:t xml:space="preserve">, </w:t>
      </w:r>
      <w:r>
        <w:rPr>
          <w:rtl w:val="true"/>
        </w:rPr>
        <w:t>וזאת מתוך מניע לאומני אידיאולוגי ובמטרה לגרום לו חבלה חמורה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שלושת הנאשמים בכתב האישום</w:t>
      </w:r>
      <w:r>
        <w:rPr>
          <w:rtl w:val="true"/>
        </w:rPr>
        <w:t xml:space="preserve">, </w:t>
      </w:r>
      <w:r>
        <w:rPr>
          <w:rtl w:val="true"/>
        </w:rPr>
        <w:t>ובהם המערער דנן</w:t>
      </w:r>
      <w:r>
        <w:rPr>
          <w:rtl w:val="true"/>
        </w:rPr>
        <w:t xml:space="preserve">, </w:t>
      </w:r>
      <w:r>
        <w:rPr>
          <w:rtl w:val="true"/>
        </w:rPr>
        <w:t>תקפו בצוותא חדא את המתלונן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המערער ד</w:t>
      </w:r>
      <w:r>
        <w:rPr>
          <w:rtl w:val="true"/>
        </w:rPr>
        <w:t>חף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מתלונן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כתפו</w:t>
      </w:r>
      <w:r>
        <w:rPr>
          <w:rtl w:val="true"/>
        </w:rPr>
        <w:t xml:space="preserve"> </w:t>
      </w:r>
      <w:r>
        <w:rPr>
          <w:rtl w:val="true"/>
        </w:rPr>
        <w:t>והיכה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באגרוף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 </w:t>
      </w:r>
      <w:r>
        <w:rPr>
          <w:rtl w:val="true"/>
        </w:rPr>
        <w:t>החלה</w:t>
      </w:r>
      <w:r>
        <w:rPr>
          <w:rtl w:val="true"/>
        </w:rPr>
        <w:t xml:space="preserve"> </w:t>
      </w:r>
      <w:r>
        <w:rPr>
          <w:rtl w:val="true"/>
        </w:rPr>
        <w:t>ניידת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משטרה</w:t>
      </w:r>
      <w:r>
        <w:rPr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 פייר ואן פסאן</w:t>
      </w:r>
      <w:r>
        <w:rPr>
          <w:rtl w:val="true"/>
        </w:rPr>
        <w:t xml:space="preserve">. </w:t>
      </w:r>
      <w:r>
        <w:rPr>
          <w:rtl w:val="true"/>
        </w:rPr>
        <w:t>הפורעים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כך </w:t>
      </w:r>
      <w:r>
        <w:rPr>
          <w:rtl w:val="true"/>
        </w:rPr>
        <w:t>והחלו</w:t>
      </w:r>
      <w:r>
        <w:rPr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 </w:t>
      </w:r>
      <w:r>
        <w:rPr>
          <w:rtl w:val="true"/>
        </w:rPr>
        <w:t>ולרוץ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הרים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חד</w:t>
      </w:r>
      <w:r>
        <w:rPr>
          <w:rtl w:val="true"/>
        </w:rPr>
        <w:t xml:space="preserve"> </w:t>
      </w:r>
      <w:r>
        <w:rPr>
          <w:rtl w:val="true"/>
        </w:rPr>
        <w:t>הפורעים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עגלת</w:t>
      </w:r>
      <w:r>
        <w:rPr>
          <w:rtl w:val="true"/>
        </w:rPr>
        <w:t xml:space="preserve"> מרכול </w:t>
      </w:r>
      <w:r>
        <w:rPr>
          <w:rtl w:val="true"/>
        </w:rPr>
        <w:t>("</w:t>
      </w:r>
      <w:r>
        <w:rPr>
          <w:rtl w:val="true"/>
        </w:rPr>
        <w:t>סופר</w:t>
      </w:r>
      <w:r>
        <w:rPr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 xml:space="preserve">ממתכת אשר הייתה במקום </w:t>
      </w:r>
      <w:r>
        <w:rPr>
          <w:rtl w:val="true"/>
        </w:rPr>
        <w:t>והשליך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בעוצמה</w:t>
      </w:r>
      <w:r>
        <w:rPr>
          <w:rtl w:val="true"/>
        </w:rPr>
        <w:t xml:space="preserve"> </w:t>
      </w:r>
      <w:r>
        <w:rPr>
          <w:rtl w:val="true"/>
        </w:rPr>
        <w:t>לעבר ה</w:t>
      </w:r>
      <w:r>
        <w:rPr>
          <w:rtl w:val="true"/>
        </w:rPr>
        <w:t>מתלונן</w:t>
      </w:r>
      <w:r>
        <w:rPr>
          <w:rtl w:val="true"/>
        </w:rPr>
        <w:t xml:space="preserve">. </w:t>
      </w:r>
      <w:r>
        <w:rPr>
          <w:rtl w:val="true"/>
        </w:rPr>
        <w:t>העגלה</w:t>
      </w:r>
      <w:r>
        <w:rPr>
          <w:rtl w:val="true"/>
        </w:rPr>
        <w:t xml:space="preserve"> </w:t>
      </w:r>
      <w:r>
        <w:rPr>
          <w:rtl w:val="true"/>
        </w:rPr>
        <w:t>פגעה</w:t>
      </w:r>
      <w:r>
        <w:rPr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והפורעים התפזרו לעבר כיכר דרך שכם</w:t>
      </w:r>
      <w:r>
        <w:rPr>
          <w:rtl w:val="true"/>
        </w:rPr>
        <w:t xml:space="preserve">, </w:t>
      </w:r>
      <w:r>
        <w:rPr>
          <w:rtl w:val="true"/>
        </w:rPr>
        <w:t>ולאחר מכן המשיכו הפורעים ויידו אבנים אל עבר ניידת המשטרה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מעשים </w:t>
      </w:r>
      <w:r>
        <w:rPr>
          <w:rtl w:val="true"/>
        </w:rPr>
        <w:t>נגרמו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, </w:t>
      </w:r>
      <w:r>
        <w:rPr>
          <w:rtl w:val="true"/>
        </w:rPr>
        <w:t>נפיחויות</w:t>
      </w:r>
      <w:r>
        <w:rPr>
          <w:rtl w:val="true"/>
        </w:rPr>
        <w:t xml:space="preserve">, </w:t>
      </w:r>
      <w:r>
        <w:rPr>
          <w:rtl w:val="true"/>
        </w:rPr>
        <w:t>המטומות</w:t>
      </w:r>
      <w:r>
        <w:rPr>
          <w:rtl w:val="true"/>
        </w:rPr>
        <w:t xml:space="preserve"> </w:t>
      </w:r>
      <w:r>
        <w:rPr>
          <w:rtl w:val="true"/>
        </w:rPr>
        <w:t>וחתכים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בטנו</w:t>
      </w:r>
      <w:r>
        <w:rPr>
          <w:rtl w:val="true"/>
        </w:rPr>
        <w:t xml:space="preserve"> </w:t>
      </w:r>
      <w:r>
        <w:rPr>
          <w:rtl w:val="true"/>
        </w:rPr>
        <w:t>ורגלו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נשברו</w:t>
      </w:r>
      <w:r>
        <w:rPr>
          <w:rtl w:val="true"/>
        </w:rPr>
        <w:t xml:space="preserve"> </w:t>
      </w:r>
      <w:r>
        <w:rPr>
          <w:rtl w:val="true"/>
        </w:rPr>
        <w:t>חוליות</w:t>
      </w:r>
      <w:r>
        <w:rPr>
          <w:rtl w:val="true"/>
        </w:rPr>
        <w:t xml:space="preserve"> </w:t>
      </w:r>
      <w:r>
        <w:rPr/>
        <w:t>L1-L3</w:t>
      </w:r>
      <w:r>
        <w:rPr>
          <w:rtl w:val="true"/>
        </w:rPr>
        <w:t xml:space="preserve"> </w:t>
      </w:r>
      <w:r>
        <w:rPr>
          <w:rtl w:val="true"/>
        </w:rPr>
        <w:t>בעמוד</w:t>
      </w:r>
      <w:r>
        <w:rPr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המתלונן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 </w:t>
      </w:r>
      <w:r>
        <w:rPr>
          <w:rtl w:val="true"/>
        </w:rPr>
        <w:t>מכאבים</w:t>
      </w:r>
      <w:r>
        <w:rPr>
          <w:rtl w:val="true"/>
        </w:rPr>
        <w:t xml:space="preserve"> </w:t>
      </w:r>
      <w:r>
        <w:rPr>
          <w:rtl w:val="true"/>
        </w:rPr>
        <w:t>ומירידה</w:t>
      </w:r>
      <w:r>
        <w:rPr>
          <w:rtl w:val="true"/>
        </w:rPr>
        <w:t xml:space="preserve"> </w:t>
      </w:r>
      <w:r>
        <w:rPr>
          <w:rtl w:val="true"/>
        </w:rPr>
        <w:t>בראייה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tl w:val="true"/>
        </w:rPr>
        <w:t>בגין המעשים שתוארו</w:t>
      </w:r>
      <w:r>
        <w:rPr>
          <w:rtl w:val="true"/>
        </w:rPr>
        <w:t xml:space="preserve">, </w:t>
      </w:r>
      <w:r>
        <w:rPr>
          <w:rtl w:val="true"/>
        </w:rPr>
        <w:t xml:space="preserve">הואשם המערער בביצוע עבירת מעשה טרור של חבלה בכוונה מחמירה לפי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Arial TUR;Arial" w:hAnsi="Arial TUR;Arial" w:cs="Arial TUR;Arial"/>
        </w:rPr>
      </w:pPr>
      <w:r>
        <w:rPr>
          <w:rFonts w:cs="Arial TUR;Arial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חקירות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ובמשטרה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נעצר ביום </w:t>
      </w:r>
      <w:r>
        <w:rPr/>
        <w:t>3.5.2021</w:t>
      </w:r>
      <w:r>
        <w:rPr>
          <w:rtl w:val="true"/>
        </w:rPr>
        <w:t xml:space="preserve"> </w:t>
      </w:r>
      <w:r>
        <w:rPr>
          <w:rtl w:val="true"/>
        </w:rPr>
        <w:t xml:space="preserve">ונחקר בשירות הביטחון הכללי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 xml:space="preserve">המערער </w:t>
      </w:r>
      <w:r>
        <w:rPr>
          <w:rtl w:val="true"/>
        </w:rPr>
        <w:t xml:space="preserve">הכחיש </w:t>
      </w:r>
      <w:r>
        <w:rPr>
          <w:rtl w:val="true"/>
        </w:rPr>
        <w:t>את המיוחס לו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וטען כי בזמן האירוע היה בעבודתו בחולון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וכפי שכונתה על ידי בית המשפט קמא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האליבי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לאחר שנאמר לו כי הוא צולם בזירת האירוע</w:t>
      </w:r>
      <w:r>
        <w:rPr>
          <w:rtl w:val="true"/>
        </w:rPr>
        <w:t xml:space="preserve">. </w:t>
      </w:r>
      <w:r>
        <w:rPr>
          <w:rtl w:val="true"/>
        </w:rPr>
        <w:t>גם בחקירות שנערכו בשלושת הימים העוקבים הכחיש המערער כל קשר לביצוע המעשים</w:t>
      </w:r>
      <w:r>
        <w:rPr>
          <w:rtl w:val="true"/>
        </w:rPr>
        <w:t xml:space="preserve">, </w:t>
      </w:r>
      <w:r>
        <w:rPr>
          <w:rtl w:val="true"/>
        </w:rPr>
        <w:t>וטען כי לא היה במקום בזמן האירוע</w:t>
      </w:r>
      <w:r>
        <w:rPr>
          <w:rtl w:val="true"/>
        </w:rPr>
        <w:t xml:space="preserve">. </w:t>
      </w:r>
      <w:r>
        <w:rPr>
          <w:rtl w:val="true"/>
        </w:rPr>
        <w:t xml:space="preserve">בחקירה שנערכה ביום </w:t>
      </w:r>
      <w:r>
        <w:rPr/>
        <w:t>9.5.2021</w:t>
      </w:r>
      <w:r>
        <w:rPr>
          <w:rtl w:val="true"/>
        </w:rPr>
        <w:t xml:space="preserve">, </w:t>
      </w:r>
      <w:r>
        <w:rPr>
          <w:rtl w:val="true"/>
        </w:rPr>
        <w:t>שינה המערער את גרסתו והודה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שהיה במקום בזמן האירוע</w:t>
      </w:r>
      <w:r>
        <w:rPr>
          <w:rtl w:val="true"/>
        </w:rPr>
        <w:t xml:space="preserve">, </w:t>
      </w:r>
      <w:r>
        <w:rPr>
          <w:rtl w:val="true"/>
        </w:rPr>
        <w:t xml:space="preserve">אך טען כי הגיע למקום כדי לבדוק אם ישנם פצועים הזקוקים לסיוע </w:t>
      </w:r>
      <w:r>
        <w:rPr>
          <w:rtl w:val="true"/>
        </w:rPr>
        <w:t>(</w:t>
      </w:r>
      <w:r>
        <w:rPr>
          <w:rtl w:val="true"/>
        </w:rPr>
        <w:t>משום שלמד קורסי עזרה ראשונה</w:t>
      </w:r>
      <w:r>
        <w:rPr>
          <w:rtl w:val="true"/>
        </w:rPr>
        <w:t xml:space="preserve">) </w:t>
      </w:r>
      <w:r>
        <w:rPr>
          <w:rtl w:val="true"/>
        </w:rPr>
        <w:t xml:space="preserve">וכי לא לקח חלק בתקיפה אלא רק סייע למתלונן לקום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וכפי שכונתה על ידי בית המשפט קמא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אותו היום</w:t>
      </w:r>
      <w:r>
        <w:rPr>
          <w:rtl w:val="true"/>
        </w:rPr>
        <w:t xml:space="preserve">, </w:t>
      </w:r>
      <w:r>
        <w:rPr>
          <w:rtl w:val="true"/>
        </w:rPr>
        <w:t>בחקירה שנמשכה לתוך שעות הלילה</w:t>
      </w:r>
      <w:r>
        <w:rPr>
          <w:rtl w:val="true"/>
        </w:rPr>
        <w:t xml:space="preserve">, </w:t>
      </w:r>
      <w:r>
        <w:rPr>
          <w:rtl w:val="true"/>
        </w:rPr>
        <w:t>מסר המערער כי הוא יודה במעשים המיוחסים לו רק אם יראו לו את הסרטון בו תועד באירוע</w:t>
      </w:r>
      <w:r>
        <w:rPr>
          <w:rtl w:val="true"/>
        </w:rPr>
        <w:t xml:space="preserve">. </w:t>
      </w:r>
      <w:r>
        <w:rPr>
          <w:rtl w:val="true"/>
        </w:rPr>
        <w:t>לאחר שהחוקר הראה למערער תמונה מתוך הסרטון ואמר לו כי הוא נראה בתמונה מכה את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אמר המערער כי הוא באמת נראה </w:t>
      </w:r>
      <w:r>
        <w:rPr>
          <w:rtl w:val="true"/>
        </w:rPr>
        <w:t>"</w:t>
      </w:r>
      <w:r>
        <w:rPr>
          <w:rtl w:val="true"/>
        </w:rPr>
        <w:t>קרוב מאוד ליהודי</w:t>
      </w:r>
      <w:r>
        <w:rPr>
          <w:rtl w:val="true"/>
        </w:rPr>
        <w:t xml:space="preserve">", </w:t>
      </w:r>
      <w:r>
        <w:rPr>
          <w:rtl w:val="true"/>
        </w:rPr>
        <w:t>והודה בכך שהכה את המתלונן באגרוף פעם אחת</w:t>
      </w:r>
      <w:r>
        <w:rPr>
          <w:rtl w:val="true"/>
        </w:rPr>
        <w:t xml:space="preserve">, </w:t>
      </w:r>
      <w:r>
        <w:rPr>
          <w:rtl w:val="true"/>
        </w:rPr>
        <w:t xml:space="preserve">ושהגיע למקום לאחר ששמע שיש מהומות באזור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וכפי שכונתה על ידי בית המשפט קמא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tl w:val="true"/>
        </w:rPr>
        <w:t xml:space="preserve">). </w:t>
      </w:r>
      <w:r>
        <w:rPr>
          <w:rtl w:val="true"/>
        </w:rPr>
        <w:t>לאחר שהוצג לו הסרטון</w:t>
      </w:r>
      <w:r>
        <w:rPr>
          <w:rtl w:val="true"/>
        </w:rPr>
        <w:t xml:space="preserve">, </w:t>
      </w:r>
      <w:r>
        <w:rPr>
          <w:rtl w:val="true"/>
        </w:rPr>
        <w:t>מסר המערער גרסה מפורטת יותר</w:t>
      </w:r>
      <w:r>
        <w:rPr>
          <w:rtl w:val="true"/>
        </w:rPr>
        <w:t xml:space="preserve">. </w:t>
      </w:r>
      <w:r>
        <w:rPr>
          <w:rtl w:val="true"/>
        </w:rPr>
        <w:t>המערער טען כי הוא שהה בסמוך לשער שכם</w:t>
      </w:r>
      <w:r>
        <w:rPr>
          <w:rtl w:val="true"/>
        </w:rPr>
        <w:t xml:space="preserve">, </w:t>
      </w:r>
      <w:r>
        <w:rPr>
          <w:rtl w:val="true"/>
        </w:rPr>
        <w:t>ושמע כי יש בשיח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ראח עימותים והחליט לנסוע למקום</w:t>
      </w:r>
      <w:r>
        <w:rPr>
          <w:rtl w:val="true"/>
        </w:rPr>
        <w:t xml:space="preserve">, </w:t>
      </w:r>
      <w:r>
        <w:rPr>
          <w:rtl w:val="true"/>
        </w:rPr>
        <w:t xml:space="preserve">תוך שהסיע שלושה אנשים שלא הכיר אשר ביקשו להגיע לשכונת הגבעה הצרפתית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הטרמפיסטים</w:t>
      </w:r>
      <w:r>
        <w:rPr>
          <w:rtl w:val="true"/>
        </w:rPr>
        <w:t xml:space="preserve">). </w:t>
      </w:r>
      <w:r>
        <w:rPr>
          <w:rtl w:val="true"/>
        </w:rPr>
        <w:t>כשהגיע לרחוב ואן פאסן</w:t>
      </w:r>
      <w:r>
        <w:rPr>
          <w:rtl w:val="true"/>
        </w:rPr>
        <w:t xml:space="preserve">, </w:t>
      </w:r>
      <w:r>
        <w:rPr>
          <w:rtl w:val="true"/>
        </w:rPr>
        <w:t>החנה את רכבו וצפה בעימותים</w:t>
      </w:r>
      <w:r>
        <w:rPr>
          <w:rtl w:val="true"/>
        </w:rPr>
        <w:t xml:space="preserve">. </w:t>
      </w:r>
      <w:r>
        <w:rPr>
          <w:rtl w:val="true"/>
        </w:rPr>
        <w:t>לאחר שהמתלונן הגיע למקום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הצטרף לצעקות </w:t>
      </w:r>
      <w:r>
        <w:rPr>
          <w:rtl w:val="true"/>
        </w:rPr>
        <w:t>"</w:t>
      </w:r>
      <w:r>
        <w:rPr>
          <w:rtl w:val="true"/>
        </w:rPr>
        <w:t>זר</w:t>
      </w:r>
      <w:r>
        <w:rPr>
          <w:rtl w:val="true"/>
        </w:rPr>
        <w:t>" ("</w:t>
      </w:r>
      <w:r>
        <w:rPr>
          <w:rtl w:val="true"/>
        </w:rPr>
        <w:t>אג</w:t>
      </w:r>
      <w:r>
        <w:rPr>
          <w:rtl w:val="true"/>
        </w:rPr>
        <w:t>'</w:t>
      </w:r>
      <w:r>
        <w:rPr>
          <w:rtl w:val="true"/>
        </w:rPr>
        <w:t>נבי</w:t>
      </w:r>
      <w:r>
        <w:rPr>
          <w:rtl w:val="true"/>
        </w:rPr>
        <w:t xml:space="preserve">") </w:t>
      </w:r>
      <w:r>
        <w:rPr>
          <w:rtl w:val="true"/>
        </w:rPr>
        <w:t>שהופנו כלפי המתלונן</w:t>
      </w:r>
      <w:r>
        <w:rPr>
          <w:rtl w:val="true"/>
        </w:rPr>
        <w:t xml:space="preserve">, </w:t>
      </w:r>
      <w:r>
        <w:rPr>
          <w:rtl w:val="true"/>
        </w:rPr>
        <w:t>צפה בפורעים שהיכו בו</w:t>
      </w:r>
      <w:r>
        <w:rPr>
          <w:rtl w:val="true"/>
        </w:rPr>
        <w:t xml:space="preserve">, </w:t>
      </w:r>
      <w:r>
        <w:rPr>
          <w:rtl w:val="true"/>
        </w:rPr>
        <w:t>ואז חבט במתלונן בידו פעם אחת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טען המערער שהוא הלך לאחור והמשיך להתבונן במתלונן הפצוע</w:t>
      </w:r>
      <w:r>
        <w:rPr>
          <w:rtl w:val="true"/>
        </w:rPr>
        <w:t xml:space="preserve">, </w:t>
      </w:r>
      <w:r>
        <w:rPr>
          <w:rtl w:val="true"/>
        </w:rPr>
        <w:t>בעודו מנסה להימלט</w:t>
      </w:r>
      <w:r>
        <w:rPr>
          <w:rtl w:val="true"/>
        </w:rPr>
        <w:t xml:space="preserve">, </w:t>
      </w:r>
      <w:r>
        <w:rPr>
          <w:rtl w:val="true"/>
        </w:rPr>
        <w:t>עד שהגיעו השוטרים למקום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 שב</w:t>
      </w:r>
      <w:r>
        <w:rPr>
          <w:rtl w:val="true"/>
        </w:rPr>
        <w:t>"</w:t>
      </w:r>
      <w:r>
        <w:rPr>
          <w:rtl w:val="true"/>
        </w:rPr>
        <w:t>כ שנערכה למחרת</w:t>
      </w:r>
      <w:r>
        <w:rPr>
          <w:rtl w:val="true"/>
        </w:rPr>
        <w:t xml:space="preserve">, </w:t>
      </w:r>
      <w:r>
        <w:rPr>
          <w:rtl w:val="true"/>
        </w:rPr>
        <w:t>אמר המערער שהוא מצטער ושהוא אמר את כל האמת בחקירה האחרונה</w:t>
      </w:r>
      <w:r>
        <w:rPr>
          <w:rtl w:val="true"/>
        </w:rPr>
        <w:t xml:space="preserve">. </w:t>
      </w:r>
      <w:r>
        <w:rPr>
          <w:rtl w:val="true"/>
        </w:rPr>
        <w:t>בהמשך אותו היום חזר המערער על הודאתו בחקירת משטרה</w:t>
      </w:r>
      <w:r>
        <w:rPr>
          <w:rtl w:val="true"/>
        </w:rPr>
        <w:t xml:space="preserve">, </w:t>
      </w:r>
      <w:r>
        <w:rPr>
          <w:rtl w:val="true"/>
        </w:rPr>
        <w:t>אך מסר גרסה שונה במקצת מזו שמסר יום קודם</w:t>
      </w:r>
      <w:r>
        <w:rPr>
          <w:rtl w:val="true"/>
        </w:rPr>
        <w:t xml:space="preserve">: </w:t>
      </w:r>
      <w:r>
        <w:rPr>
          <w:rtl w:val="true"/>
        </w:rPr>
        <w:t>הפעם טען כי הוא הבין שיש מהומות בשיח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ראח לאחר שהתחיל בנסיעה עם הטרמפיסטים</w:t>
      </w:r>
      <w:r>
        <w:rPr>
          <w:rtl w:val="true"/>
        </w:rPr>
        <w:t xml:space="preserve">, </w:t>
      </w:r>
      <w:r>
        <w:rPr>
          <w:rtl w:val="true"/>
        </w:rPr>
        <w:t>כי נתן למתלונן סטירה אחת</w:t>
      </w:r>
      <w:r>
        <w:rPr>
          <w:rtl w:val="true"/>
        </w:rPr>
        <w:t xml:space="preserve">, </w:t>
      </w:r>
      <w:r>
        <w:rPr>
          <w:rtl w:val="true"/>
        </w:rPr>
        <w:t xml:space="preserve">ולא ציין כי הוא צעק </w:t>
      </w:r>
      <w:r>
        <w:rPr>
          <w:rtl w:val="true"/>
        </w:rPr>
        <w:t>"</w:t>
      </w:r>
      <w:r>
        <w:rPr>
          <w:rtl w:val="true"/>
        </w:rPr>
        <w:t>אג</w:t>
      </w:r>
      <w:r>
        <w:rPr>
          <w:rtl w:val="true"/>
        </w:rPr>
        <w:t>'</w:t>
      </w:r>
      <w:r>
        <w:rPr>
          <w:rtl w:val="true"/>
        </w:rPr>
        <w:t>נבי</w:t>
      </w:r>
      <w:r>
        <w:rPr>
          <w:rtl w:val="true"/>
        </w:rPr>
        <w:t xml:space="preserve">". </w:t>
      </w:r>
      <w:r>
        <w:rPr>
          <w:rtl w:val="true"/>
        </w:rPr>
        <w:t>באותה החקירה המערער זיהה את עצמו בסרטון המתעד את האירוע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בחלוף מספר ימים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13.5.2021</w:t>
      </w:r>
      <w:r>
        <w:rPr>
          <w:rtl w:val="true"/>
        </w:rPr>
        <w:t xml:space="preserve">, </w:t>
      </w:r>
      <w:r>
        <w:rPr>
          <w:rtl w:val="true"/>
        </w:rPr>
        <w:t>נחקר המערער שוב 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באותה חקירה</w:t>
      </w:r>
      <w:r>
        <w:rPr>
          <w:rtl w:val="true"/>
        </w:rPr>
        <w:t xml:space="preserve">, </w:t>
      </w:r>
      <w:r>
        <w:rPr>
          <w:rtl w:val="true"/>
        </w:rPr>
        <w:t>חזר בו המערער מהודאתו ואמר כי הודה רק כדי לסיים את החקירה</w:t>
      </w:r>
      <w:r>
        <w:rPr>
          <w:rtl w:val="true"/>
        </w:rPr>
        <w:t xml:space="preserve">. </w:t>
      </w:r>
      <w:r>
        <w:rPr>
          <w:rtl w:val="true"/>
        </w:rPr>
        <w:t>לאחר מכן הודה כי נתן סטירה אחת למתלונן</w:t>
      </w:r>
      <w:r>
        <w:rPr>
          <w:rtl w:val="true"/>
        </w:rPr>
        <w:t xml:space="preserve">, </w:t>
      </w:r>
      <w:r>
        <w:rPr>
          <w:rtl w:val="true"/>
        </w:rPr>
        <w:t>ואז שוב חזר בו מהודאתו</w:t>
      </w:r>
      <w:r>
        <w:rPr>
          <w:rtl w:val="true"/>
        </w:rPr>
        <w:t xml:space="preserve">. </w:t>
      </w:r>
      <w:r>
        <w:rPr>
          <w:rtl w:val="true"/>
        </w:rPr>
        <w:t xml:space="preserve">בהמשך אותה החקירה מסר המערער כי הרביץ למתלונן אך טען כי לא היה מהמכים הראשיים ושהוא </w:t>
      </w:r>
      <w:r>
        <w:rPr>
          <w:rtl w:val="true"/>
        </w:rPr>
        <w:t>"</w:t>
      </w:r>
      <w:r>
        <w:rPr>
          <w:rtl w:val="true"/>
        </w:rPr>
        <w:t>רק נתן לו שתי מכות והלך אחורה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וכפי שכונתה על ידי בית המשפט קמא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המכות</w:t>
      </w:r>
      <w:r>
        <w:rPr>
          <w:rtl w:val="true"/>
        </w:rPr>
        <w:t xml:space="preserve">). </w:t>
      </w:r>
      <w:r>
        <w:rPr>
          <w:rtl w:val="true"/>
        </w:rPr>
        <w:t xml:space="preserve">לאחר מכן מסר המערער גרסה דומה לזו שמסר ביום </w:t>
      </w:r>
      <w:r>
        <w:rPr/>
        <w:t>9.5.2021</w:t>
      </w:r>
      <w:r>
        <w:rPr>
          <w:rtl w:val="true"/>
        </w:rPr>
        <w:t xml:space="preserve">, </w:t>
      </w:r>
      <w:r>
        <w:rPr>
          <w:rtl w:val="true"/>
        </w:rPr>
        <w:t>עם שינויים</w:t>
      </w:r>
      <w:r>
        <w:rPr>
          <w:rtl w:val="true"/>
        </w:rPr>
        <w:t xml:space="preserve">: </w:t>
      </w:r>
      <w:r>
        <w:rPr>
          <w:rtl w:val="true"/>
        </w:rPr>
        <w:t>הפעם מסר המערער את שמותיהם של שניים מבין שלושת הטרמפיסטים שנסעו עמו ברכב</w:t>
      </w:r>
      <w:r>
        <w:rPr>
          <w:rtl w:val="true"/>
        </w:rPr>
        <w:t xml:space="preserve">, </w:t>
      </w:r>
      <w:r>
        <w:rPr>
          <w:rtl w:val="true"/>
        </w:rPr>
        <w:t>וכן פרטים מזהים על הטרמפיסט השלישי אשר טען שאינו יודע את שמו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טען שתוך כדי שהסיע את הטרמפיסטים לגבעה הצרפתית</w:t>
      </w:r>
      <w:r>
        <w:rPr>
          <w:rtl w:val="true"/>
        </w:rPr>
        <w:t xml:space="preserve">, </w:t>
      </w:r>
      <w:r>
        <w:rPr>
          <w:rtl w:val="true"/>
        </w:rPr>
        <w:t>הבחין בפח זבל נשרף בכניסה לשיח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ראח</w:t>
      </w:r>
      <w:r>
        <w:rPr>
          <w:rtl w:val="true"/>
        </w:rPr>
        <w:t xml:space="preserve">, </w:t>
      </w:r>
      <w:r>
        <w:rPr>
          <w:rtl w:val="true"/>
        </w:rPr>
        <w:t>וחנה בסמוך למקום האירוע כדי לחזות במתרחש</w:t>
      </w:r>
      <w:r>
        <w:rPr>
          <w:rtl w:val="true"/>
        </w:rPr>
        <w:t xml:space="preserve">. </w:t>
      </w:r>
      <w:r>
        <w:rPr>
          <w:rtl w:val="true"/>
        </w:rPr>
        <w:t>לאחר שצפה בידויי אבנים בין ערבים ליהודים</w:t>
      </w:r>
      <w:r>
        <w:rPr>
          <w:rtl w:val="true"/>
        </w:rPr>
        <w:t xml:space="preserve">, </w:t>
      </w:r>
      <w:r>
        <w:rPr>
          <w:rtl w:val="true"/>
        </w:rPr>
        <w:t>ובפורעים מכים במתלונן</w:t>
      </w:r>
      <w:r>
        <w:rPr>
          <w:rtl w:val="true"/>
        </w:rPr>
        <w:t xml:space="preserve">, </w:t>
      </w:r>
      <w:r>
        <w:rPr>
          <w:rtl w:val="true"/>
        </w:rPr>
        <w:t xml:space="preserve">צעק </w:t>
      </w:r>
      <w:r>
        <w:rPr>
          <w:rtl w:val="true"/>
        </w:rPr>
        <w:t>"</w:t>
      </w:r>
      <w:r>
        <w:rPr>
          <w:rtl w:val="true"/>
        </w:rPr>
        <w:t>אג</w:t>
      </w:r>
      <w:r>
        <w:rPr>
          <w:rtl w:val="true"/>
        </w:rPr>
        <w:t>'</w:t>
      </w:r>
      <w:r>
        <w:rPr>
          <w:rtl w:val="true"/>
        </w:rPr>
        <w:t>נבי</w:t>
      </w:r>
      <w:r>
        <w:rPr>
          <w:rtl w:val="true"/>
        </w:rPr>
        <w:t xml:space="preserve">", </w:t>
      </w:r>
      <w:r>
        <w:rPr>
          <w:rtl w:val="true"/>
        </w:rPr>
        <w:t>היכה את המתלונן בכתפו ולאחר מכן בעט בו</w:t>
      </w:r>
      <w:r>
        <w:rPr>
          <w:rtl w:val="true"/>
        </w:rPr>
        <w:t xml:space="preserve">. </w:t>
      </w:r>
      <w:r>
        <w:rPr>
          <w:rtl w:val="true"/>
        </w:rPr>
        <w:t xml:space="preserve">עוד טען המערער כי הוא גילה שהמתלונן יהודי רק לאחר שהפורעים צעקו לעבר המתלונן </w:t>
      </w:r>
      <w:r>
        <w:rPr>
          <w:rtl w:val="true"/>
        </w:rPr>
        <w:t>"</w:t>
      </w:r>
      <w:r>
        <w:rPr>
          <w:rtl w:val="true"/>
        </w:rPr>
        <w:t>יהודי</w:t>
      </w:r>
      <w:r>
        <w:rPr>
          <w:rtl w:val="true"/>
        </w:rPr>
        <w:t xml:space="preserve">". </w:t>
      </w:r>
      <w:r>
        <w:rPr>
          <w:rtl w:val="true"/>
        </w:rPr>
        <w:t>המערער מסר כי המשיך לצפות באירוע עד להשלכת עגלת הסופר על המתלונן</w:t>
      </w:r>
      <w:r>
        <w:rPr>
          <w:rtl w:val="true"/>
        </w:rPr>
        <w:t xml:space="preserve">, </w:t>
      </w:r>
      <w:r>
        <w:rPr>
          <w:rtl w:val="true"/>
        </w:rPr>
        <w:t>וכי בסיום האירוע רץ לרכבו</w:t>
      </w:r>
      <w:r>
        <w:rPr>
          <w:rtl w:val="true"/>
        </w:rPr>
        <w:t xml:space="preserve">, </w:t>
      </w:r>
      <w:r>
        <w:rPr>
          <w:rtl w:val="true"/>
        </w:rPr>
        <w:t>הזיז עגלות שחסמו את הכביש</w:t>
      </w:r>
      <w:r>
        <w:rPr>
          <w:rtl w:val="true"/>
        </w:rPr>
        <w:t xml:space="preserve">, </w:t>
      </w:r>
      <w:r>
        <w:rPr>
          <w:rtl w:val="true"/>
        </w:rPr>
        <w:t>וביקש מאחד הטרמפיסטים לנהוג ברכב</w:t>
      </w:r>
      <w:r>
        <w:rPr>
          <w:rtl w:val="true"/>
        </w:rPr>
        <w:t xml:space="preserve">. </w:t>
      </w:r>
      <w:r>
        <w:rPr>
          <w:rtl w:val="true"/>
        </w:rPr>
        <w:t>לאחר מכן הם נסעו לכיוון צפון</w:t>
      </w:r>
      <w:r>
        <w:rPr>
          <w:rtl w:val="true"/>
        </w:rPr>
        <w:t xml:space="preserve">, </w:t>
      </w:r>
      <w:r>
        <w:rPr>
          <w:rtl w:val="true"/>
        </w:rPr>
        <w:t>שם הוריד את הטרמפיסטים ושב לביתו</w:t>
      </w:r>
      <w:r>
        <w:rPr>
          <w:rtl w:val="true"/>
        </w:rPr>
        <w:t xml:space="preserve">. </w:t>
      </w:r>
      <w:r>
        <w:rPr>
          <w:rtl w:val="true"/>
        </w:rPr>
        <w:t>המערער חזר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על הודאתו זו בחקירה משטרתית</w:t>
      </w:r>
      <w:r>
        <w:rPr>
          <w:rtl w:val="true"/>
        </w:rPr>
        <w:t xml:space="preserve">, </w:t>
      </w:r>
      <w:r>
        <w:rPr>
          <w:rtl w:val="true"/>
        </w:rPr>
        <w:t>שנרשמה בערבית ונחתמה על ידו</w:t>
      </w:r>
      <w:r>
        <w:rPr>
          <w:rtl w:val="true"/>
        </w:rPr>
        <w:t xml:space="preserve">, </w:t>
      </w:r>
      <w:r>
        <w:rPr>
          <w:rtl w:val="true"/>
        </w:rPr>
        <w:t>אך גם הפעם גרסתו כללה שינויים קלים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מספר ימים לאחר מכן נחקר המערער בפעם האחרונה במשטרה</w:t>
      </w:r>
      <w:r>
        <w:rPr>
          <w:rtl w:val="true"/>
        </w:rPr>
        <w:t xml:space="preserve">. </w:t>
      </w:r>
      <w:r>
        <w:rPr>
          <w:rtl w:val="true"/>
        </w:rPr>
        <w:t xml:space="preserve">במעמד זה טען המערער כי קדם לאירוע מושא כתב האישום אירוע בו יהודים זרקו אבנים על ערבים בכביש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והכחיש כי הגיע למקום בהמתנה שיגיע יהודי וכדי לתקוף אותו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trike/>
        </w:rPr>
      </w:pP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המערער כפר במיוחס לו</w:t>
      </w:r>
      <w:r>
        <w:rPr>
          <w:rtl w:val="true"/>
        </w:rPr>
        <w:t xml:space="preserve">, </w:t>
      </w:r>
      <w:r>
        <w:rPr>
          <w:rtl w:val="true"/>
        </w:rPr>
        <w:t>ובעדותו בפני בית המשפט המחוזי הציג גרסה הדומה לגרסת העזרה למתלונן שסיפר בחקירותיו הראשונות</w:t>
      </w:r>
      <w:r>
        <w:rPr>
          <w:rtl w:val="true"/>
        </w:rPr>
        <w:t xml:space="preserve">, </w:t>
      </w:r>
      <w:r>
        <w:rPr>
          <w:rtl w:val="true"/>
        </w:rPr>
        <w:t>עם מספר שינויים</w:t>
      </w:r>
      <w:r>
        <w:rPr>
          <w:rtl w:val="true"/>
        </w:rPr>
        <w:t xml:space="preserve">, </w:t>
      </w:r>
      <w:r>
        <w:rPr>
          <w:rtl w:val="true"/>
        </w:rPr>
        <w:t>אשר על טיבם ומשמעותם אעמוד בהמשך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strike/>
        </w:rPr>
      </w:pPr>
      <w:r>
        <w:rPr>
          <w:strike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trike/>
        </w:rPr>
      </w:pPr>
      <w:r>
        <w:rPr>
          <w:rtl w:val="true"/>
        </w:rPr>
        <w:t>במסגרת ההליך בבית המשפט קמא טען המערער טענת זוטא</w:t>
      </w:r>
      <w:r>
        <w:rPr>
          <w:rtl w:val="true"/>
        </w:rPr>
        <w:t xml:space="preserve">, </w:t>
      </w:r>
      <w:r>
        <w:rPr>
          <w:rtl w:val="true"/>
        </w:rPr>
        <w:t xml:space="preserve">לפיה הודאתו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חופשית</w:t>
      </w:r>
      <w:r>
        <w:rPr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); </w:t>
      </w:r>
      <w:r>
        <w:rPr>
          <w:rtl w:val="true"/>
        </w:rPr>
        <w:t>וכן כי הודאתו אינה קבילה לפי דוקטרינת הפסילה הפסיקתית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כי </w:t>
      </w:r>
      <w:r>
        <w:rPr>
          <w:rtl w:val="true"/>
        </w:rPr>
        <w:t>הודאתו בביצוע המעשים 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כאמור לעיל </w:t>
      </w:r>
      <w:r>
        <w:rPr>
          <w:rtl w:val="true"/>
        </w:rPr>
        <w:t>(</w:t>
      </w:r>
      <w:r>
        <w:rPr>
          <w:rtl w:val="true"/>
        </w:rPr>
        <w:t>גרסת שתי המכות</w:t>
      </w:r>
      <w:r>
        <w:rPr>
          <w:rtl w:val="true"/>
        </w:rPr>
        <w:t xml:space="preserve">), </w:t>
      </w:r>
      <w:r>
        <w:rPr>
          <w:rtl w:val="true"/>
        </w:rPr>
        <w:t>נבעה מלחצים פסולים שהופעלו עליו על</w:t>
      </w:r>
      <w:r>
        <w:rPr>
          <w:rtl w:val="true"/>
        </w:rPr>
        <w:t xml:space="preserve"> </w:t>
      </w:r>
      <w:r>
        <w:rPr>
          <w:rtl w:val="true"/>
        </w:rPr>
        <w:t>ידי החוקרים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קיללו אותו</w:t>
      </w:r>
      <w:r>
        <w:rPr>
          <w:rtl w:val="true"/>
        </w:rPr>
        <w:t xml:space="preserve">, </w:t>
      </w:r>
      <w:r>
        <w:rPr>
          <w:rtl w:val="true"/>
        </w:rPr>
        <w:t>איימו עליו שיעצרו את אביו ושיביאו לדחיית בקשת האזרחות שהגיש</w:t>
      </w:r>
      <w:r>
        <w:rPr>
          <w:rtl w:val="true"/>
        </w:rPr>
        <w:t xml:space="preserve">, </w:t>
      </w:r>
      <w:r>
        <w:rPr>
          <w:rtl w:val="true"/>
        </w:rPr>
        <w:t>חקרו אותו עת היה בצום רמדאן לאחר מיעוט שעות שינה</w:t>
      </w:r>
      <w:r>
        <w:rPr>
          <w:rtl w:val="true"/>
        </w:rPr>
        <w:t xml:space="preserve">, </w:t>
      </w:r>
      <w:r>
        <w:rPr>
          <w:rtl w:val="true"/>
        </w:rPr>
        <w:t>ומנעו ממנו לסירוגין להיפגש עם עורך דינו</w:t>
      </w:r>
      <w:r>
        <w:rPr>
          <w:rtl w:val="true"/>
        </w:rPr>
        <w:t xml:space="preserve">. </w:t>
      </w:r>
      <w:r>
        <w:rPr>
          <w:rtl w:val="true"/>
        </w:rPr>
        <w:t>על רקע האמור זימנה המשיבה את חוקרי השב</w:t>
      </w:r>
      <w:r>
        <w:rPr>
          <w:rtl w:val="true"/>
        </w:rPr>
        <w:t>"</w:t>
      </w:r>
      <w:r>
        <w:rPr>
          <w:rtl w:val="true"/>
        </w:rPr>
        <w:t>כ והמשטרה שחקרו את המערער</w:t>
      </w:r>
      <w:r>
        <w:rPr>
          <w:rtl w:val="true"/>
        </w:rPr>
        <w:t xml:space="preserve">, </w:t>
      </w:r>
      <w:r>
        <w:rPr>
          <w:rtl w:val="true"/>
        </w:rPr>
        <w:t>והם נחקרו בבית המשפט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strike/>
        </w:rPr>
      </w:pPr>
      <w:r>
        <w:rPr>
          <w:strike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סיכומיו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גורדון</w:t>
      </w:r>
      <w:r>
        <w:rPr>
          <w:rtl w:val="true"/>
        </w:rPr>
        <w:t xml:space="preserve">), </w:t>
      </w:r>
      <w:r>
        <w:rPr>
          <w:rtl w:val="true"/>
        </w:rPr>
        <w:t xml:space="preserve">בהכרעת דינו מיום </w:t>
      </w:r>
      <w:r>
        <w:rPr/>
        <w:t>1.2.2023</w:t>
      </w:r>
      <w:r>
        <w:rPr>
          <w:rtl w:val="true"/>
        </w:rPr>
        <w:t xml:space="preserve">, </w:t>
      </w:r>
      <w:r>
        <w:rPr>
          <w:rtl w:val="true"/>
        </w:rPr>
        <w:t>הרשיע את המערער בעבירה שיוחסה לו</w:t>
      </w:r>
      <w:r>
        <w:rPr>
          <w:rtl w:val="true"/>
        </w:rPr>
        <w:t xml:space="preserve">. </w:t>
      </w:r>
      <w:r>
        <w:rPr>
          <w:rtl w:val="true"/>
        </w:rPr>
        <w:t>הרשעת המערער התבססה על שילוב ההודאות שמסר בחקירותיו</w:t>
      </w:r>
      <w:r>
        <w:rPr>
          <w:rtl w:val="true"/>
        </w:rPr>
        <w:t xml:space="preserve">, </w:t>
      </w:r>
      <w:r>
        <w:rPr>
          <w:rtl w:val="true"/>
        </w:rPr>
        <w:t>כזבים שעלו מדבריו וסרטוני וידאו אשר תיעדו את האירוע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סרטונים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תחילה</w:t>
      </w:r>
      <w:r>
        <w:rPr>
          <w:rtl w:val="true"/>
        </w:rPr>
        <w:t xml:space="preserve">, </w:t>
      </w:r>
      <w:r>
        <w:rPr>
          <w:rtl w:val="true"/>
        </w:rPr>
        <w:t>תיאר בית המשפט המחוזי את הסרטונים שהוצגו בפניו</w:t>
      </w:r>
      <w:r>
        <w:rPr>
          <w:rtl w:val="true"/>
        </w:rPr>
        <w:t xml:space="preserve">. </w:t>
      </w:r>
      <w:r>
        <w:rPr>
          <w:rtl w:val="true"/>
        </w:rPr>
        <w:t xml:space="preserve">האירוע תועד בסרטון ממצלמה שצפתה לעבר רחוב ואן פאסן מכיוון מעגל התנועה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tl w:val="true"/>
        </w:rPr>
        <w:t xml:space="preserve">). </w:t>
      </w:r>
      <w:r>
        <w:rPr>
          <w:rtl w:val="true"/>
        </w:rPr>
        <w:t>בסרטון נראה המערער מגיע למקום האירוע עת נהג ברכב הסקודה שבבעלותו</w:t>
      </w:r>
      <w:r>
        <w:rPr>
          <w:rtl w:val="true"/>
        </w:rPr>
        <w:t xml:space="preserve">, </w:t>
      </w:r>
      <w:r>
        <w:rPr>
          <w:rtl w:val="true"/>
        </w:rPr>
        <w:t>מחנה את רכבו בסמוך למקום האירוע</w:t>
      </w:r>
      <w:r>
        <w:rPr>
          <w:rtl w:val="true"/>
        </w:rPr>
        <w:t xml:space="preserve">, </w:t>
      </w:r>
      <w:r>
        <w:rPr>
          <w:rtl w:val="true"/>
        </w:rPr>
        <w:t>ויוצא עם הטרמפיסטים מהרכב</w:t>
      </w:r>
      <w:r>
        <w:rPr>
          <w:rtl w:val="true"/>
        </w:rPr>
        <w:t xml:space="preserve">. </w:t>
      </w:r>
      <w:r>
        <w:rPr>
          <w:rtl w:val="true"/>
        </w:rPr>
        <w:t>לאחר העצירה נראה המערער עומד ומשוחח עם אנשים</w:t>
      </w:r>
      <w:r>
        <w:rPr>
          <w:rtl w:val="true"/>
        </w:rPr>
        <w:t xml:space="preserve">, </w:t>
      </w:r>
      <w:r>
        <w:rPr>
          <w:rtl w:val="true"/>
        </w:rPr>
        <w:t>לרבות עם אחד הטרמפיסטים</w:t>
      </w:r>
      <w:r>
        <w:rPr>
          <w:rtl w:val="true"/>
        </w:rPr>
        <w:t xml:space="preserve">, </w:t>
      </w:r>
      <w:r>
        <w:rPr>
          <w:rtl w:val="true"/>
        </w:rPr>
        <w:t>ולאחר מכן צופה בפח הזבל הבוער ובפורעים</w:t>
      </w:r>
      <w:r>
        <w:rPr>
          <w:rtl w:val="true"/>
        </w:rPr>
        <w:t xml:space="preserve">. </w:t>
      </w:r>
      <w:r>
        <w:rPr>
          <w:rtl w:val="true"/>
        </w:rPr>
        <w:t>עם הגעת המתלונן למקום</w:t>
      </w:r>
      <w:r>
        <w:rPr>
          <w:rtl w:val="true"/>
        </w:rPr>
        <w:t xml:space="preserve">, </w:t>
      </w:r>
      <w:r>
        <w:rPr>
          <w:rtl w:val="true"/>
        </w:rPr>
        <w:t>נראה המערער רץ לעברו</w:t>
      </w:r>
      <w:r>
        <w:rPr>
          <w:rtl w:val="true"/>
        </w:rPr>
        <w:t xml:space="preserve">, </w:t>
      </w:r>
      <w:r>
        <w:rPr>
          <w:rtl w:val="true"/>
        </w:rPr>
        <w:t>ומצטרף לדבוקת הפורעים</w:t>
      </w:r>
      <w:r>
        <w:rPr>
          <w:rtl w:val="true"/>
        </w:rPr>
        <w:t xml:space="preserve">. </w:t>
      </w:r>
      <w:r>
        <w:rPr>
          <w:rtl w:val="true"/>
        </w:rPr>
        <w:t>לאחר מכן נעלם המערער מעיני המצלמה</w:t>
      </w:r>
      <w:r>
        <w:rPr>
          <w:rtl w:val="true"/>
        </w:rPr>
        <w:t xml:space="preserve">, </w:t>
      </w:r>
      <w:r>
        <w:rPr>
          <w:rtl w:val="true"/>
        </w:rPr>
        <w:t>מאחר שהוסתר על ידי אוטובוס חונה</w:t>
      </w:r>
      <w:r>
        <w:rPr>
          <w:rtl w:val="true"/>
        </w:rPr>
        <w:t xml:space="preserve">. </w:t>
      </w:r>
      <w:r>
        <w:rPr>
          <w:rtl w:val="true"/>
        </w:rPr>
        <w:t>בשלב מסוים נראה המערער צועד לאחור ויוצא מדבוקת הפורעים</w:t>
      </w:r>
      <w:r>
        <w:rPr>
          <w:rtl w:val="true"/>
        </w:rPr>
        <w:t xml:space="preserve">, </w:t>
      </w:r>
      <w:r>
        <w:rPr>
          <w:rtl w:val="true"/>
        </w:rPr>
        <w:t>ולאחר כמה שניות חוזר בריצה לתוך הדבוקה האמורה</w:t>
      </w:r>
      <w:r>
        <w:rPr>
          <w:rtl w:val="true"/>
        </w:rPr>
        <w:t xml:space="preserve">. </w:t>
      </w:r>
      <w:r>
        <w:rPr>
          <w:rtl w:val="true"/>
        </w:rPr>
        <w:t>ההתרחשות בשלב זה המשיכה מאחורי שורת אוטובוסים</w:t>
      </w:r>
      <w:r>
        <w:rPr>
          <w:rtl w:val="true"/>
        </w:rPr>
        <w:t xml:space="preserve">, </w:t>
      </w:r>
      <w:r>
        <w:rPr>
          <w:rtl w:val="true"/>
        </w:rPr>
        <w:t>אך ניתן לראות בסרטון את המשך ההתגודדות במקום</w:t>
      </w:r>
      <w:r>
        <w:rPr>
          <w:rtl w:val="true"/>
        </w:rPr>
        <w:t xml:space="preserve">, </w:t>
      </w:r>
      <w:r>
        <w:rPr>
          <w:rtl w:val="true"/>
        </w:rPr>
        <w:t>דבר אשר מלמד על המשך התקיפה</w:t>
      </w:r>
      <w:r>
        <w:rPr>
          <w:rtl w:val="true"/>
        </w:rPr>
        <w:t xml:space="preserve">. </w:t>
      </w:r>
      <w:r>
        <w:rPr>
          <w:rtl w:val="true"/>
        </w:rPr>
        <w:t>בחלוף כדקה נראים בסרטון מספר פורעים וביניהם המערער</w:t>
      </w:r>
      <w:r>
        <w:rPr>
          <w:rtl w:val="true"/>
        </w:rPr>
        <w:t xml:space="preserve">, </w:t>
      </w:r>
      <w:r>
        <w:rPr>
          <w:rtl w:val="true"/>
        </w:rPr>
        <w:t>וכן המתלונן וכלבו</w:t>
      </w:r>
      <w:r>
        <w:rPr>
          <w:rtl w:val="true"/>
        </w:rPr>
        <w:t xml:space="preserve">, </w:t>
      </w:r>
      <w:r>
        <w:rPr>
          <w:rtl w:val="true"/>
        </w:rPr>
        <w:t>יוצאים מהצד הקדמי של שורת האוטובוסים</w:t>
      </w:r>
      <w:r>
        <w:rPr>
          <w:rtl w:val="true"/>
        </w:rPr>
        <w:t xml:space="preserve">, </w:t>
      </w:r>
      <w:r>
        <w:rPr>
          <w:rtl w:val="true"/>
        </w:rPr>
        <w:t>כאשר בשלב זה עדיין נראית התגודדות של פורעים סביב המתלונן</w:t>
      </w:r>
      <w:r>
        <w:rPr>
          <w:rtl w:val="true"/>
        </w:rPr>
        <w:t xml:space="preserve">, </w:t>
      </w:r>
      <w:r>
        <w:rPr>
          <w:rtl w:val="true"/>
        </w:rPr>
        <w:t>אשר אחד מהם הטיח בו עגלת קניות</w:t>
      </w:r>
      <w:r>
        <w:rPr>
          <w:rtl w:val="true"/>
        </w:rPr>
        <w:t xml:space="preserve">. </w:t>
      </w:r>
      <w:r>
        <w:rPr>
          <w:rtl w:val="true"/>
        </w:rPr>
        <w:t>לאחר מכן נראה המערער נמלט מהמקום עם הגעתה של ניידת המשטרה</w:t>
      </w:r>
      <w:r>
        <w:rPr>
          <w:rtl w:val="true"/>
        </w:rPr>
        <w:t xml:space="preserve">, </w:t>
      </w:r>
      <w:r>
        <w:rPr>
          <w:rtl w:val="true"/>
        </w:rPr>
        <w:t>במקביל לאחרים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הדגיש כי לאורך הסרטון נראים רכבים חולפים הן ברחוב בר לב והן ברחוב ואן פאסן </w:t>
      </w:r>
      <w:r>
        <w:rPr>
          <w:rtl w:val="true"/>
        </w:rPr>
        <w:t>(</w:t>
      </w:r>
      <w:r>
        <w:rPr>
          <w:rtl w:val="true"/>
        </w:rPr>
        <w:t>עניין שהינו רלוונטי</w:t>
      </w:r>
      <w:r>
        <w:rPr>
          <w:rtl w:val="true"/>
        </w:rPr>
        <w:t xml:space="preserve">, </w:t>
      </w:r>
      <w:r>
        <w:rPr>
          <w:rtl w:val="true"/>
        </w:rPr>
        <w:t>כמפורט בהמשך</w:t>
      </w:r>
      <w:r>
        <w:rPr>
          <w:rtl w:val="true"/>
        </w:rPr>
        <w:t xml:space="preserve">, </w:t>
      </w:r>
      <w:r>
        <w:rPr>
          <w:rtl w:val="true"/>
        </w:rPr>
        <w:t>לעניין גרסאותיו של המערער לסיבת הגעתו למקום האירוע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הפורעים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והצפיפות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לפורעים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מהפורעים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לתמיכה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בהודאות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פיזית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".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ציין בית המשפט כי הוצגו בפניו סרטונים קצרים אשר בהם תועדו מקרוב קטעים מהתקיפה</w:t>
      </w:r>
      <w:r>
        <w:rPr>
          <w:rtl w:val="true"/>
        </w:rPr>
        <w:t xml:space="preserve">, </w:t>
      </w:r>
      <w:r>
        <w:rPr>
          <w:rtl w:val="true"/>
        </w:rPr>
        <w:t>בהם נראה המערער בקרבת ובתוך דבוקת הפורעים</w:t>
      </w:r>
      <w:r>
        <w:rPr>
          <w:rtl w:val="true"/>
        </w:rPr>
        <w:t xml:space="preserve">, </w:t>
      </w:r>
      <w:r>
        <w:rPr>
          <w:rtl w:val="true"/>
        </w:rPr>
        <w:t>בעיצומה של התקיפה</w:t>
      </w:r>
      <w:r>
        <w:rPr>
          <w:rtl w:val="true"/>
        </w:rPr>
        <w:t xml:space="preserve">. </w:t>
      </w:r>
      <w:r>
        <w:rPr>
          <w:rtl w:val="true"/>
        </w:rPr>
        <w:t>בית המשפט הדגיש כי גם בסרטונים אלו לא ניתן להבחין במעשיו של המערער כלפי המתלונן</w:t>
      </w:r>
      <w:r>
        <w:rPr>
          <w:rtl w:val="true"/>
        </w:rPr>
        <w:t xml:space="preserve">, </w:t>
      </w:r>
      <w:r>
        <w:rPr>
          <w:rtl w:val="true"/>
        </w:rPr>
        <w:t>אך מאידך לא נראים מעשי סיוע מצדו למתלונן או עימות בינו לבין הפורעים האחרים על רקע ניסיון כביכול לסייע למתלונן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בחקירותיו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 xml:space="preserve">אשר לקבילות הודאות המערער בחקירותיו </w:t>
      </w:r>
      <w:r>
        <w:rPr>
          <w:rtl w:val="true"/>
        </w:rPr>
        <w:t>–</w:t>
      </w:r>
      <w:r>
        <w:rPr>
          <w:rtl w:val="true"/>
        </w:rPr>
        <w:t xml:space="preserve"> עמד בית המשפט קמא על כך שהמערער זנח</w:t>
      </w:r>
      <w:r>
        <w:rPr>
          <w:rtl w:val="true"/>
        </w:rPr>
        <w:t xml:space="preserve">, </w:t>
      </w:r>
      <w:r>
        <w:rPr>
          <w:rtl w:val="true"/>
        </w:rPr>
        <w:t>בסיכומיו</w:t>
      </w:r>
      <w:r>
        <w:rPr>
          <w:rtl w:val="true"/>
        </w:rPr>
        <w:t xml:space="preserve">, </w:t>
      </w:r>
      <w:r>
        <w:rPr>
          <w:rtl w:val="true"/>
        </w:rPr>
        <w:t>את הטענות בדבר קבילותן</w:t>
      </w:r>
      <w:r>
        <w:rPr>
          <w:rtl w:val="true"/>
        </w:rPr>
        <w:t xml:space="preserve">, </w:t>
      </w:r>
      <w:r>
        <w:rPr>
          <w:rtl w:val="true"/>
        </w:rPr>
        <w:t>והתמקד בטענה כי יש לייחס להן משקל נמוך לנוכח אמצעי חקירה פסולים שננקטו מצד החוקרים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ובבחינת למעלה מן הצורך</w:t>
      </w:r>
      <w:r>
        <w:rPr>
          <w:rtl w:val="true"/>
        </w:rPr>
        <w:t xml:space="preserve">, </w:t>
      </w:r>
      <w:r>
        <w:rPr>
          <w:rtl w:val="true"/>
        </w:rPr>
        <w:t xml:space="preserve">בחן בית המשפט קמא את קבילות הודאת המערער הן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והן לפי דוקטרינת הפסילה הפסיקתית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בחן בית המשפט את זיכרונות הדברים שהוגשו כתיעוד של החקירות</w:t>
      </w:r>
      <w:r>
        <w:rPr>
          <w:rtl w:val="true"/>
        </w:rPr>
        <w:t xml:space="preserve">, </w:t>
      </w:r>
      <w:r>
        <w:rPr>
          <w:rtl w:val="true"/>
        </w:rPr>
        <w:t>ואת עדויות החוקרים</w:t>
      </w:r>
      <w:r>
        <w:rPr>
          <w:rtl w:val="true"/>
        </w:rPr>
        <w:t xml:space="preserve">, </w:t>
      </w:r>
      <w:r>
        <w:rPr>
          <w:rtl w:val="true"/>
        </w:rPr>
        <w:t xml:space="preserve">אשר לא הכחישו שהפעילו אמצעי לחץ מסוימים בחקירות </w:t>
      </w:r>
      <w:r>
        <w:rPr>
          <w:rtl w:val="true"/>
        </w:rPr>
        <w:t>(</w:t>
      </w:r>
      <w:r>
        <w:rPr>
          <w:rtl w:val="true"/>
        </w:rPr>
        <w:t>כגון הרמת קול על המערער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וקבע כי מהימנותם גבוהה וכי הם משקפים כדבעי את מהלך החקירות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שהחקירות בוצעו בשעות שככלל הן סבירות</w:t>
      </w:r>
      <w:r>
        <w:rPr>
          <w:rtl w:val="true"/>
        </w:rPr>
        <w:t xml:space="preserve">, </w:t>
      </w:r>
      <w:r>
        <w:rPr>
          <w:rtl w:val="true"/>
        </w:rPr>
        <w:t>שבין החקירות היו הפסקות משמעותיות</w:t>
      </w:r>
      <w:r>
        <w:rPr>
          <w:rtl w:val="true"/>
        </w:rPr>
        <w:t xml:space="preserve">, </w:t>
      </w:r>
      <w:r>
        <w:rPr>
          <w:rtl w:val="true"/>
        </w:rPr>
        <w:t>וכי הן כללו שימוש באמצעים ומניפולציות שלא חורגים מגדר הלגיטימי בחקירה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קבע בית המשפט כי הוא לא שוכנע שהודאותיו של המערער הושפעו מלחץ לא סביר</w:t>
      </w:r>
      <w:r>
        <w:rPr>
          <w:rtl w:val="true"/>
        </w:rPr>
        <w:t xml:space="preserve">, </w:t>
      </w:r>
      <w:r>
        <w:rPr>
          <w:rtl w:val="true"/>
        </w:rPr>
        <w:t>מהתנהלות לא תקינה של חוקריו</w:t>
      </w:r>
      <w:r>
        <w:rPr>
          <w:rtl w:val="true"/>
        </w:rPr>
        <w:t xml:space="preserve">, </w:t>
      </w:r>
      <w:r>
        <w:rPr>
          <w:rtl w:val="true"/>
        </w:rPr>
        <w:t>או מפגיעות בלתי הולמות בזכויותיו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tl w:val="true"/>
        </w:rPr>
        <w:t xml:space="preserve">, </w:t>
      </w:r>
      <w:r>
        <w:rPr>
          <w:rtl w:val="true"/>
        </w:rPr>
        <w:t>שהעלתה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>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כי הינו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שתועדו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שהחוקרים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מעוניינים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לבסס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ההודאה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פסקה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טענתו של המערער לפיה נפגעה זכותו להיוועצות עם עורך דין</w:t>
      </w:r>
      <w:r>
        <w:rPr>
          <w:rtl w:val="true"/>
        </w:rPr>
        <w:t xml:space="preserve">, </w:t>
      </w:r>
      <w:r>
        <w:rPr>
          <w:rtl w:val="true"/>
        </w:rPr>
        <w:t>באופן המשליך על הודאותיו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שהמערער ידע לעמוד על זכותו להיוועץ עם עורך דין כשראה בכך צורך</w:t>
      </w:r>
      <w:r>
        <w:rPr>
          <w:rtl w:val="true"/>
        </w:rPr>
        <w:t xml:space="preserve">, </w:t>
      </w:r>
      <w:r>
        <w:rPr>
          <w:rtl w:val="true"/>
        </w:rPr>
        <w:t>וכי לא הוכח כי מניעת המפגש עם עורך הדין שימשה כאמצעי לחץ שהוביל אותו להודות בניגוד לרצונו או בדבר שלא ביצע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למשקל שיש לייחס להודאת 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בחן את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הודאת המערער </w:t>
      </w:r>
      <w:r>
        <w:rPr>
          <w:rtl w:val="true"/>
        </w:rPr>
        <w:t>(</w:t>
      </w:r>
      <w:r>
        <w:rPr>
          <w:rtl w:val="true"/>
        </w:rPr>
        <w:t>גרסת שתי המכות</w:t>
      </w:r>
      <w:r>
        <w:rPr>
          <w:rtl w:val="true"/>
        </w:rPr>
        <w:t xml:space="preserve">), </w:t>
      </w:r>
      <w:r>
        <w:rPr>
          <w:rtl w:val="true"/>
        </w:rPr>
        <w:t xml:space="preserve">על פי שני המבחנים אשר נקבעו בפסיקה </w:t>
      </w:r>
      <w:r>
        <w:rPr>
          <w:rtl w:val="true"/>
        </w:rPr>
        <w:t>–</w:t>
      </w:r>
      <w:r>
        <w:rPr>
          <w:rtl w:val="true"/>
        </w:rPr>
        <w:t xml:space="preserve"> המבחן הפנימי והמבחן החיצוני</w:t>
      </w:r>
      <w:r>
        <w:rPr>
          <w:rtl w:val="true"/>
        </w:rPr>
        <w:t xml:space="preserve">. </w:t>
      </w:r>
      <w:r>
        <w:rPr>
          <w:rtl w:val="true"/>
        </w:rPr>
        <w:t>לפי המבחן הפנימי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מסגרתו</w:t>
      </w:r>
      <w:r>
        <w:rPr>
          <w:rtl w:val="true"/>
        </w:rPr>
        <w:t xml:space="preserve"> </w:t>
      </w:r>
      <w:r>
        <w:rPr>
          <w:rtl w:val="true"/>
        </w:rPr>
        <w:t>נבח</w:t>
      </w:r>
      <w:r>
        <w:rPr>
          <w:rtl w:val="true"/>
        </w:rPr>
        <w:t>נים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קוהרנטיות</w:t>
      </w:r>
      <w:r>
        <w:rPr>
          <w:rtl w:val="true"/>
        </w:rPr>
        <w:t xml:space="preserve"> </w:t>
      </w:r>
      <w:r>
        <w:rPr>
          <w:rtl w:val="true"/>
        </w:rPr>
        <w:t>והגיון</w:t>
      </w:r>
      <w:r>
        <w:rPr>
          <w:rtl w:val="true"/>
        </w:rPr>
        <w:t xml:space="preserve"> </w:t>
      </w:r>
      <w:r>
        <w:rPr>
          <w:rtl w:val="true"/>
        </w:rPr>
        <w:t>ההוד</w:t>
      </w:r>
      <w:r>
        <w:rPr>
          <w:rtl w:val="true"/>
        </w:rPr>
        <w:t>א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המכות</w:t>
      </w:r>
      <w:r>
        <w:rPr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 </w:t>
      </w:r>
      <w:r>
        <w:rPr>
          <w:rtl w:val="true"/>
        </w:rPr>
        <w:t>אלמנטים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חלקה</w:t>
      </w:r>
      <w:r>
        <w:rPr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אלמנטים</w:t>
      </w:r>
      <w:r>
        <w:rPr>
          <w:rtl w:val="true"/>
        </w:rPr>
        <w:t xml:space="preserve"> </w:t>
      </w:r>
      <w:r>
        <w:rPr>
          <w:rtl w:val="true"/>
        </w:rPr>
        <w:t>שהוסתרו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כגון</w:t>
      </w:r>
      <w:r>
        <w:rPr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 </w:t>
      </w:r>
      <w:r>
        <w:rPr>
          <w:rtl w:val="true"/>
        </w:rPr>
        <w:t>הטרמפיסטים</w:t>
      </w:r>
      <w:r>
        <w:rPr>
          <w:rtl w:val="true"/>
        </w:rPr>
        <w:t xml:space="preserve"> </w:t>
      </w:r>
      <w:r>
        <w:rPr>
          <w:rtl w:val="true"/>
        </w:rPr>
        <w:t>והחלטתו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 </w:t>
      </w:r>
      <w:r>
        <w:rPr>
          <w:rtl w:val="true"/>
        </w:rPr>
        <w:t>ואן</w:t>
      </w:r>
      <w:r>
        <w:rPr>
          <w:rtl w:val="true"/>
        </w:rPr>
        <w:t xml:space="preserve"> </w:t>
      </w:r>
      <w:r>
        <w:rPr>
          <w:rtl w:val="true"/>
        </w:rPr>
        <w:t>פאסן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במהומות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tl w:val="true"/>
        </w:rPr>
        <w:t xml:space="preserve">),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בית המשפט קמא דחה את טענות המערער לעניין מחדלי חקירה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באשר לטענת המערער למחדל באיתור מצלמות נוספות </w:t>
      </w:r>
      <w:r>
        <w:rPr>
          <w:rtl w:val="true"/>
        </w:rPr>
        <w:t>–</w:t>
      </w:r>
      <w:r>
        <w:rPr>
          <w:rtl w:val="true"/>
        </w:rPr>
        <w:t xml:space="preserve"> בית המשפט קבע כי המערער לא ביסס את הטענה בדבר קיומם של סרטונים נוספים אשר לא אותרו על</w:t>
      </w:r>
      <w:r>
        <w:rPr>
          <w:rtl w:val="true"/>
        </w:rPr>
        <w:t>-</w:t>
      </w:r>
      <w:r>
        <w:rPr>
          <w:rtl w:val="true"/>
        </w:rPr>
        <w:t>ידי גורמי החקירה</w:t>
      </w:r>
      <w:r>
        <w:rPr>
          <w:rtl w:val="true"/>
        </w:rPr>
        <w:t xml:space="preserve">; </w:t>
      </w:r>
      <w:r>
        <w:rPr>
          <w:rtl w:val="true"/>
        </w:rPr>
        <w:t>ועל כן מדובר בטיעון בעל אופי ספקולטיבי</w:t>
      </w:r>
      <w:r>
        <w:rPr>
          <w:rtl w:val="true"/>
        </w:rPr>
        <w:t xml:space="preserve">, </w:t>
      </w:r>
      <w:r>
        <w:rPr>
          <w:rtl w:val="true"/>
        </w:rPr>
        <w:t>אשר יש לדחותו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שהמשיבה איתרה מצלמות נוספות</w:t>
      </w:r>
      <w:r>
        <w:rPr>
          <w:rtl w:val="true"/>
        </w:rPr>
        <w:t xml:space="preserve">, </w:t>
      </w:r>
      <w:r>
        <w:rPr>
          <w:rtl w:val="true"/>
        </w:rPr>
        <w:t>בהתאם לצווים שיפוטיים שהוצאו</w:t>
      </w:r>
      <w:r>
        <w:rPr>
          <w:rtl w:val="true"/>
        </w:rPr>
        <w:t xml:space="preserve">, </w:t>
      </w:r>
      <w:r>
        <w:rPr>
          <w:rtl w:val="true"/>
        </w:rPr>
        <w:t xml:space="preserve">אשר התבררו כלא רלוונטיות </w:t>
      </w:r>
      <w:r>
        <w:rPr>
          <w:rtl w:val="true"/>
        </w:rPr>
        <w:t>–</w:t>
      </w:r>
      <w:r>
        <w:rPr>
          <w:rtl w:val="true"/>
        </w:rPr>
        <w:t xml:space="preserve"> הן מאחר שהסרטונים נמחקו זמן קצר לאחר יום האירוע</w:t>
      </w:r>
      <w:r>
        <w:rPr>
          <w:rtl w:val="true"/>
        </w:rPr>
        <w:t xml:space="preserve">, </w:t>
      </w:r>
      <w:r>
        <w:rPr>
          <w:rtl w:val="true"/>
        </w:rPr>
        <w:t>והן מאחר שמיקום התקיפה מוסתר בצילום בשל שדרת עצים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בית המשפט דחה גם את יתר טענות המערער למחדלי חקירה</w:t>
      </w:r>
      <w:r>
        <w:rPr>
          <w:rtl w:val="true"/>
        </w:rPr>
        <w:t xml:space="preserve">, </w:t>
      </w:r>
      <w:r>
        <w:rPr>
          <w:rtl w:val="true"/>
        </w:rPr>
        <w:t>ובפרט לעניין אי</w:t>
      </w:r>
      <w:r>
        <w:rPr>
          <w:rtl w:val="true"/>
        </w:rPr>
        <w:t>-</w:t>
      </w:r>
      <w:r>
        <w:rPr>
          <w:rtl w:val="true"/>
        </w:rPr>
        <w:t xml:space="preserve">חקירת מעורבים שונים באירוע </w:t>
      </w:r>
      <w:r>
        <w:rPr>
          <w:rtl w:val="true"/>
        </w:rPr>
        <w:t>(</w:t>
      </w:r>
      <w:r>
        <w:rPr>
          <w:rtl w:val="true"/>
        </w:rPr>
        <w:t>המתלונן ופורעים אחרים שהורשעו</w:t>
      </w:r>
      <w:r>
        <w:rPr>
          <w:rtl w:val="true"/>
        </w:rPr>
        <w:t xml:space="preserve">), </w:t>
      </w:r>
      <w:r>
        <w:rPr>
          <w:rtl w:val="true"/>
        </w:rPr>
        <w:t>ועימותם עם גרסת העזרה למתלונן</w:t>
      </w:r>
      <w:r>
        <w:rPr>
          <w:rtl w:val="true"/>
        </w:rPr>
        <w:t xml:space="preserve">. </w:t>
      </w:r>
      <w:r>
        <w:rPr>
          <w:rtl w:val="true"/>
        </w:rPr>
        <w:t>בית המשפט קבע כי אין המדובר במחדל בעל עוצמה העולה כדי פגיעה מהותית בהגנת המערער</w:t>
      </w:r>
      <w:r>
        <w:rPr>
          <w:rtl w:val="true"/>
        </w:rPr>
        <w:t xml:space="preserve">, </w:t>
      </w:r>
      <w:r>
        <w:rPr>
          <w:rtl w:val="true"/>
        </w:rPr>
        <w:t>בין היתר מאחר שהמערער לא דבק בחקירותיו בגרסה אחת</w:t>
      </w:r>
      <w:r>
        <w:rPr>
          <w:rtl w:val="true"/>
        </w:rPr>
        <w:t xml:space="preserve">, </w:t>
      </w:r>
      <w:r>
        <w:rPr>
          <w:rtl w:val="true"/>
        </w:rPr>
        <w:t>אלא החליפן מעת לעת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עמד בית המשפט על כך שההגנה בחרה שלא לזמן לעדות את אותם הנחקרים הפוטנציאליים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בשלב הבא</w:t>
      </w:r>
      <w:r>
        <w:rPr>
          <w:rtl w:val="true"/>
        </w:rPr>
        <w:t xml:space="preserve">, </w:t>
      </w:r>
      <w:r>
        <w:rPr>
          <w:rtl w:val="true"/>
        </w:rPr>
        <w:t>בית המשפט פנה לבחון האם התקיימו יסודותיה של עבירת מעשה טרור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hyperlink r:id="rId31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המאבק</w:t>
      </w:r>
      <w:r>
        <w:rPr>
          <w:rtl w:val="true"/>
        </w:rPr>
        <w:t xml:space="preserve"> </w:t>
      </w:r>
      <w:r>
        <w:rPr>
          <w:rtl w:val="true"/>
        </w:rPr>
        <w:t>בטרו</w:t>
      </w:r>
      <w:r>
        <w:rPr>
          <w:rtl w:val="true"/>
        </w:rPr>
        <w:t>ר</w:t>
      </w:r>
      <w:r>
        <w:rPr>
          <w:rtl w:val="true"/>
        </w:rPr>
        <w:t xml:space="preserve">; </w:t>
      </w:r>
      <w:r>
        <w:rPr>
          <w:rtl w:val="true"/>
        </w:rPr>
        <w:t>והגיע לכלל מסקנה</w:t>
      </w:r>
      <w:r>
        <w:rPr>
          <w:rtl w:val="true"/>
        </w:rPr>
        <w:t xml:space="preserve">, </w:t>
      </w:r>
      <w:r>
        <w:rPr>
          <w:rtl w:val="true"/>
        </w:rPr>
        <w:t>על בסיס הודייתו של המערער והסרטונים</w:t>
      </w:r>
      <w:r>
        <w:rPr>
          <w:rtl w:val="true"/>
        </w:rPr>
        <w:t xml:space="preserve">, </w:t>
      </w:r>
      <w:r>
        <w:rPr>
          <w:rtl w:val="true"/>
        </w:rPr>
        <w:t>כי כלל יסודות העבירה התקיימו בעניינו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להיות העבירה </w:t>
      </w:r>
      <w:r>
        <w:rPr>
          <w:rtl w:val="true"/>
        </w:rPr>
        <w:t>"</w:t>
      </w:r>
      <w:r>
        <w:rPr>
          <w:rtl w:val="true"/>
        </w:rPr>
        <w:t>מעשה טרור</w:t>
      </w:r>
      <w:r>
        <w:rPr>
          <w:rtl w:val="true"/>
        </w:rPr>
        <w:t xml:space="preserve">", </w:t>
      </w:r>
      <w:r>
        <w:rPr>
          <w:rtl w:val="true"/>
        </w:rPr>
        <w:t>קבע בית המשפט כדלקמן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בסרטונים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לינץ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תוקפים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שזוהה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כיהודי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הקריאות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שהתחלפו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בצעקות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שסיפר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לתקיפתו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19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שכמובא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ביהודי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שצעק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הפורעים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גזעני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ולאומני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והשתלבותו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במתיחות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ליהודים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הרלבנטית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כהגדרתו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hyperlink r:id="rId3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המאבק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בטרור</w:t>
      </w:r>
      <w:r>
        <w:rPr>
          <w:rFonts w:ascii="Century" w:hAnsi="Century" w:cs="Century"/>
          <w:sz w:val="22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י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בגדרי הטיעון לעונש</w:t>
      </w:r>
      <w:r>
        <w:rPr>
          <w:rtl w:val="true"/>
        </w:rPr>
        <w:t xml:space="preserve">, </w:t>
      </w:r>
      <w:r>
        <w:rPr>
          <w:rtl w:val="true"/>
        </w:rPr>
        <w:t xml:space="preserve">המשיבה הדגישה את עצמת האירוע ותוצאותיו הקשות </w:t>
      </w:r>
      <w:r>
        <w:rPr>
          <w:rtl w:val="true"/>
        </w:rPr>
        <w:t>(</w:t>
      </w:r>
      <w:r>
        <w:rPr>
          <w:rtl w:val="true"/>
        </w:rPr>
        <w:t>כפי שאף עולה מתסקיר נפגע העבירה שהוגש</w:t>
      </w:r>
      <w:r>
        <w:rPr>
          <w:rtl w:val="true"/>
        </w:rPr>
        <w:t xml:space="preserve">); </w:t>
      </w:r>
      <w:r>
        <w:rPr>
          <w:rtl w:val="true"/>
        </w:rPr>
        <w:t>את נסיבות ביצוע העבירה מצידו של המערער</w:t>
      </w:r>
      <w:r>
        <w:rPr>
          <w:rtl w:val="true"/>
        </w:rPr>
        <w:t xml:space="preserve">; </w:t>
      </w:r>
      <w:r>
        <w:rPr>
          <w:rtl w:val="true"/>
        </w:rPr>
        <w:t>את הערכים המוגנים שנפגעו בביצוע העבירה ואת המניע הפסול לביצועם</w:t>
      </w:r>
      <w:r>
        <w:rPr>
          <w:rtl w:val="true"/>
        </w:rPr>
        <w:t xml:space="preserve">. </w:t>
      </w:r>
      <w:r>
        <w:rPr>
          <w:rtl w:val="true"/>
        </w:rPr>
        <w:t>המשיבה טענה</w:t>
      </w:r>
      <w:r>
        <w:rPr>
          <w:rtl w:val="true"/>
        </w:rPr>
        <w:t xml:space="preserve">, </w:t>
      </w:r>
      <w:r>
        <w:rPr>
          <w:rtl w:val="true"/>
        </w:rPr>
        <w:t>תוך הסתמכות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על הכרעתו של בית משפט זה בעניינם של שני נאשמים אחרים באותו ההליך </w:t>
      </w:r>
      <w:r>
        <w:rPr>
          <w:rtl w:val="true"/>
        </w:rPr>
        <w:t>–</w:t>
      </w:r>
      <w:r>
        <w:rPr>
          <w:rtl w:val="true"/>
        </w:rPr>
        <w:t xml:space="preserve"> כי מתחם העונש ההולם בעניינו של המערער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לעניין 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טענה המשיבה כי המערער אינו נוטל אחריות למעשיו</w:t>
      </w:r>
      <w:r>
        <w:rPr>
          <w:rtl w:val="true"/>
        </w:rPr>
        <w:t xml:space="preserve">, </w:t>
      </w:r>
      <w:r>
        <w:rPr>
          <w:rtl w:val="true"/>
        </w:rPr>
        <w:t>כי לאורך ההליך שינה את גרסאותיו באופן תדיר</w:t>
      </w:r>
      <w:r>
        <w:rPr>
          <w:rtl w:val="true"/>
        </w:rPr>
        <w:t xml:space="preserve">, </w:t>
      </w:r>
      <w:r>
        <w:rPr>
          <w:rtl w:val="true"/>
        </w:rPr>
        <w:t xml:space="preserve">וכן צויין הצורך בהרתעת היחיד והרבים </w:t>
      </w:r>
      <w:r>
        <w:rPr>
          <w:rtl w:val="true"/>
        </w:rPr>
        <w:t>–</w:t>
      </w:r>
      <w:r>
        <w:rPr>
          <w:rtl w:val="true"/>
        </w:rPr>
        <w:t xml:space="preserve"> ועל כן ביקשה לגזור על הנאשם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ולנזקקים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קיום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15.5.2023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עמד על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אשר בוצעה בתקופה שבה התרחשו ברחבי הארץ התפרעויות ומעשי אלימות</w:t>
      </w:r>
      <w:r>
        <w:rPr>
          <w:rtl w:val="true"/>
        </w:rPr>
        <w:t xml:space="preserve">. </w:t>
      </w:r>
      <w:r>
        <w:rPr>
          <w:rtl w:val="true"/>
        </w:rPr>
        <w:t>בהתייחס לערכים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כך שבעצם השתתפותו של המערער במעשה לינץ</w:t>
      </w:r>
      <w:r>
        <w:rPr>
          <w:rtl w:val="true"/>
        </w:rPr>
        <w:t xml:space="preserve">', </w:t>
      </w:r>
      <w:r>
        <w:rPr>
          <w:rtl w:val="true"/>
        </w:rPr>
        <w:t>הוא פגע בשלמות גופו ונפשו של המתלונן</w:t>
      </w:r>
      <w:r>
        <w:rPr>
          <w:rtl w:val="true"/>
        </w:rPr>
        <w:t xml:space="preserve">, </w:t>
      </w:r>
      <w:r>
        <w:rPr>
          <w:rtl w:val="true"/>
        </w:rPr>
        <w:t>בסדר הציבורי</w:t>
      </w:r>
      <w:r>
        <w:rPr>
          <w:rtl w:val="true"/>
        </w:rPr>
        <w:t xml:space="preserve">, </w:t>
      </w:r>
      <w:r>
        <w:rPr>
          <w:rtl w:val="true"/>
        </w:rPr>
        <w:t>בביטחון הציבור</w:t>
      </w:r>
      <w:r>
        <w:rPr>
          <w:rtl w:val="true"/>
        </w:rPr>
        <w:t xml:space="preserve">, </w:t>
      </w:r>
      <w:r>
        <w:rPr>
          <w:rtl w:val="true"/>
        </w:rPr>
        <w:t>וביכולת לשמר את מרקם החיים המשותפים העדין של אוכלוסיות שונות במדינת ישראל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תיאר בית המשפט את החומרה היתרה שבעצם ההשתתפות במעשה לינץ</w:t>
      </w:r>
      <w:r>
        <w:rPr>
          <w:rtl w:val="true"/>
        </w:rPr>
        <w:t xml:space="preserve">', </w:t>
      </w:r>
      <w:r>
        <w:rPr>
          <w:rtl w:val="true"/>
        </w:rPr>
        <w:t>בו המון עושה שפטים בבודד</w:t>
      </w:r>
      <w:r>
        <w:rPr>
          <w:rtl w:val="true"/>
        </w:rPr>
        <w:t xml:space="preserve">, </w:t>
      </w:r>
      <w:r>
        <w:rPr>
          <w:rtl w:val="true"/>
        </w:rPr>
        <w:t>ואת פוטנציאל הנזק</w:t>
      </w:r>
      <w:r>
        <w:rPr>
          <w:rtl w:val="true"/>
        </w:rPr>
        <w:t xml:space="preserve">, </w:t>
      </w:r>
      <w:r>
        <w:rPr>
          <w:rtl w:val="true"/>
        </w:rPr>
        <w:t>אשר עלול היה להיות חמור הרבה יותר לולא הגעתה של ניידת המשטרה למקום האירוע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ציין כי חומרת המעשים מודגשת בתוצאתם</w:t>
      </w:r>
      <w:r>
        <w:rPr>
          <w:rtl w:val="true"/>
        </w:rPr>
        <w:t xml:space="preserve">, </w:t>
      </w:r>
      <w:r>
        <w:rPr>
          <w:rtl w:val="true"/>
        </w:rPr>
        <w:t xml:space="preserve">ותיאר כי מתסקיר נפגע העבירה אשר הוגש ביום </w:t>
      </w:r>
      <w:r>
        <w:rPr/>
        <w:t>13.3.2022</w:t>
      </w:r>
      <w:r>
        <w:rPr>
          <w:rtl w:val="true"/>
        </w:rPr>
        <w:t xml:space="preserve"> </w:t>
      </w:r>
      <w:r>
        <w:rPr>
          <w:rtl w:val="true"/>
        </w:rPr>
        <w:t>עולה תמונת נזק קשה</w:t>
      </w:r>
      <w:r>
        <w:rPr>
          <w:rtl w:val="true"/>
        </w:rPr>
        <w:t xml:space="preserve">. </w:t>
      </w:r>
      <w:r>
        <w:rPr>
          <w:rtl w:val="true"/>
        </w:rPr>
        <w:t>בתסקיר תואר כיצד אימת המוות שחווה המתלונן באירוע מושא ההליך הביאה לפגיעה שורשית בתחושת הביטחון והמוגנות שלו</w:t>
      </w:r>
      <w:r>
        <w:rPr>
          <w:rtl w:val="true"/>
        </w:rPr>
        <w:t xml:space="preserve">, </w:t>
      </w:r>
      <w:r>
        <w:rPr>
          <w:rtl w:val="true"/>
        </w:rPr>
        <w:t>והשפיעה באופן ניכר על חייו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לאמור</w:t>
      </w:r>
      <w:r>
        <w:rPr>
          <w:rtl w:val="true"/>
        </w:rPr>
        <w:t xml:space="preserve">, </w:t>
      </w:r>
      <w:r>
        <w:rPr>
          <w:rtl w:val="true"/>
        </w:rPr>
        <w:t>במסגרת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נתן בית המשפט את דעתו לעונשים אשר הושתו על מעורבים נוספים באותו מעשה לינץ</w:t>
      </w:r>
      <w:r>
        <w:rPr>
          <w:rtl w:val="true"/>
        </w:rPr>
        <w:t xml:space="preserve">' </w:t>
      </w:r>
      <w:r>
        <w:rPr>
          <w:rtl w:val="true"/>
        </w:rPr>
        <w:t>מושא ההליך</w:t>
      </w:r>
      <w:r>
        <w:rPr>
          <w:rtl w:val="true"/>
        </w:rPr>
        <w:t xml:space="preserve">, </w:t>
      </w:r>
      <w:r>
        <w:rPr>
          <w:rtl w:val="true"/>
        </w:rPr>
        <w:t>ולעיקרון אחידות הענישה</w:t>
      </w:r>
      <w:r>
        <w:rPr>
          <w:rtl w:val="true"/>
        </w:rPr>
        <w:t xml:space="preserve">. </w:t>
      </w:r>
      <w:r>
        <w:rPr>
          <w:rtl w:val="true"/>
        </w:rPr>
        <w:t>בית המשפט תיאר את טיב מעורבותם של שני הנאשמים האחרים בכתב האישום</w:t>
      </w:r>
      <w:r>
        <w:rPr>
          <w:rtl w:val="true"/>
        </w:rPr>
        <w:t xml:space="preserve">, </w:t>
      </w:r>
      <w:r>
        <w:rPr>
          <w:rtl w:val="true"/>
        </w:rPr>
        <w:t>אחד מהם קטין והשני בגיר</w:t>
      </w:r>
      <w:r>
        <w:rPr>
          <w:rtl w:val="true"/>
        </w:rPr>
        <w:t xml:space="preserve">, </w:t>
      </w:r>
      <w:r>
        <w:rPr>
          <w:rtl w:val="true"/>
        </w:rPr>
        <w:t xml:space="preserve">אשר הורשעו לפי הודאתם בביצוע עבירה של מעשה טרור של חבלה בכוונה מחמירה </w:t>
      </w:r>
      <w:r>
        <w:rPr>
          <w:rtl w:val="true"/>
        </w:rPr>
        <w:t>(</w:t>
      </w:r>
      <w:r>
        <w:rPr>
          <w:rtl w:val="true"/>
        </w:rPr>
        <w:t>בדומה למערער</w:t>
      </w:r>
      <w:r>
        <w:rPr>
          <w:rtl w:val="true"/>
        </w:rPr>
        <w:t xml:space="preserve">) </w:t>
      </w:r>
      <w:r>
        <w:rPr>
          <w:rtl w:val="true"/>
        </w:rPr>
        <w:t>ובביצוע מספר עבירות נוספות</w:t>
      </w:r>
      <w:r>
        <w:rPr>
          <w:rtl w:val="true"/>
        </w:rPr>
        <w:t xml:space="preserve">. </w:t>
      </w:r>
      <w:r>
        <w:rPr>
          <w:rtl w:val="true"/>
        </w:rPr>
        <w:t>על הקטין</w:t>
      </w:r>
      <w:r>
        <w:rPr>
          <w:rtl w:val="true"/>
        </w:rPr>
        <w:t xml:space="preserve">, </w:t>
      </w:r>
      <w:r>
        <w:rPr>
          <w:rtl w:val="true"/>
        </w:rPr>
        <w:t xml:space="preserve">הוא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, </w:t>
      </w:r>
      <w:r>
        <w:rPr>
          <w:rtl w:val="true"/>
        </w:rPr>
        <w:t>בשים לב לקטינותו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היעדר הרשעות קודמות ונסיבות משפחתיות ורפואיות</w:t>
      </w:r>
      <w:r>
        <w:rPr>
          <w:rtl w:val="true"/>
        </w:rPr>
        <w:t xml:space="preserve">, </w:t>
      </w:r>
      <w:r>
        <w:rPr>
          <w:rtl w:val="true"/>
        </w:rPr>
        <w:t xml:space="preserve">נגזרו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על הבגיר</w:t>
      </w:r>
      <w:r>
        <w:rPr>
          <w:rtl w:val="true"/>
        </w:rPr>
        <w:t xml:space="preserve">, </w:t>
      </w:r>
      <w:r>
        <w:rPr>
          <w:rtl w:val="true"/>
        </w:rPr>
        <w:t xml:space="preserve">הוא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, </w:t>
      </w:r>
      <w:r>
        <w:rPr>
          <w:rtl w:val="true"/>
        </w:rPr>
        <w:t>בשים לב להודאתו</w:t>
      </w:r>
      <w:r>
        <w:rPr>
          <w:rtl w:val="true"/>
        </w:rPr>
        <w:t xml:space="preserve">, </w:t>
      </w:r>
      <w:r>
        <w:rPr>
          <w:rtl w:val="true"/>
        </w:rPr>
        <w:t>היעדר הרשעות קודמות ונסיבות נוספות</w:t>
      </w:r>
      <w:r>
        <w:rPr>
          <w:rtl w:val="true"/>
        </w:rPr>
        <w:t xml:space="preserve">, </w:t>
      </w:r>
      <w:r>
        <w:rPr>
          <w:rtl w:val="true"/>
        </w:rPr>
        <w:t>נגזרו חמש וחצי שנות מאסר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לאחר שהתקבל ערעור המשיבה לבית משפט זה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2.5.2023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63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4/22</w:t>
        </w:r>
      </w:hyperlink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עוד ציין בית המשפט את עניינם של שני קטינים נוספים שהיו מעורבים בפרשה</w:t>
      </w:r>
      <w:r>
        <w:rPr>
          <w:rtl w:val="true"/>
        </w:rPr>
        <w:t xml:space="preserve">, </w:t>
      </w:r>
      <w:r>
        <w:rPr>
          <w:rtl w:val="true"/>
        </w:rPr>
        <w:t xml:space="preserve">אשר על אחד מהם נגזרו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ועל השני נגזרו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לצד ענישה נלווית </w:t>
      </w:r>
      <w:r>
        <w:rPr>
          <w:rtl w:val="true"/>
        </w:rPr>
        <w:t>–</w:t>
      </w:r>
      <w:r>
        <w:rPr>
          <w:rtl w:val="true"/>
        </w:rPr>
        <w:t xml:space="preserve"> תוך אבחון עניינו של המערער</w:t>
      </w:r>
      <w:r>
        <w:rPr>
          <w:rtl w:val="true"/>
        </w:rPr>
        <w:t xml:space="preserve">, </w:t>
      </w:r>
      <w:r>
        <w:rPr>
          <w:rtl w:val="true"/>
        </w:rPr>
        <w:t>שהיה בגיר בעת ביצוע המעשים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מכן פנה בית המשפט המחוזי לבחון דוגמאות מהפסיקה</w:t>
      </w:r>
      <w:r>
        <w:rPr>
          <w:rtl w:val="true"/>
        </w:rPr>
        <w:t xml:space="preserve">, </w:t>
      </w:r>
      <w:r>
        <w:rPr>
          <w:rtl w:val="true"/>
        </w:rPr>
        <w:t xml:space="preserve">וקבע כי מתחם הענישה ההולם בעניינו של המערער צריך לנוע בין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 לנסיבות לקולה הקיימות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להן ייחס </w:t>
      </w:r>
      <w:r>
        <w:rPr>
          <w:rtl w:val="true"/>
        </w:rPr>
        <w:t>"</w:t>
      </w:r>
      <w:r>
        <w:rPr>
          <w:rtl w:val="true"/>
        </w:rPr>
        <w:t>משקל של ממש</w:t>
      </w:r>
      <w:r>
        <w:rPr>
          <w:rtl w:val="true"/>
        </w:rPr>
        <w:t xml:space="preserve">": </w:t>
      </w:r>
      <w:r>
        <w:rPr>
          <w:rtl w:val="true"/>
        </w:rPr>
        <w:t>היעדר עבר פלילי ועדויות האופי שניתנו בעניינו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שמעדויות האופי עולה כי המערער תרם</w:t>
      </w:r>
      <w:r>
        <w:rPr>
          <w:rtl w:val="true"/>
        </w:rPr>
        <w:t xml:space="preserve">, </w:t>
      </w:r>
      <w:r>
        <w:rPr>
          <w:rtl w:val="true"/>
        </w:rPr>
        <w:t>לאורך חייו</w:t>
      </w:r>
      <w:r>
        <w:rPr>
          <w:rtl w:val="true"/>
        </w:rPr>
        <w:t xml:space="preserve">, </w:t>
      </w:r>
      <w:r>
        <w:rPr>
          <w:rtl w:val="true"/>
        </w:rPr>
        <w:t>במעשים ובממון</w:t>
      </w:r>
      <w:r>
        <w:rPr>
          <w:rtl w:val="true"/>
        </w:rPr>
        <w:t xml:space="preserve">, </w:t>
      </w:r>
      <w:r>
        <w:rPr>
          <w:rtl w:val="true"/>
        </w:rPr>
        <w:t>למען אחרים נעדרי יכולת</w:t>
      </w:r>
      <w:r>
        <w:rPr>
          <w:rtl w:val="true"/>
        </w:rPr>
        <w:t xml:space="preserve">; </w:t>
      </w:r>
      <w:r>
        <w:rPr>
          <w:rtl w:val="true"/>
        </w:rPr>
        <w:t>ובלטו בהם היבטי דו</w:t>
      </w:r>
      <w:r>
        <w:rPr>
          <w:rtl w:val="true"/>
        </w:rPr>
        <w:t>-</w:t>
      </w:r>
      <w:r>
        <w:rPr>
          <w:rtl w:val="true"/>
        </w:rPr>
        <w:t>קיום</w:t>
      </w:r>
      <w:r>
        <w:rPr>
          <w:rtl w:val="true"/>
        </w:rPr>
        <w:t xml:space="preserve">, </w:t>
      </w:r>
      <w:r>
        <w:rPr>
          <w:rtl w:val="true"/>
        </w:rPr>
        <w:t>הן בקשרי עבודה וחברות של המערער עם יהודים</w:t>
      </w:r>
      <w:r>
        <w:rPr>
          <w:rtl w:val="true"/>
        </w:rPr>
        <w:t xml:space="preserve">, </w:t>
      </w:r>
      <w:r>
        <w:rPr>
          <w:rtl w:val="true"/>
        </w:rPr>
        <w:t>והן ביחס לדעותיו המתונות אשר השמיע באוזניהם</w:t>
      </w:r>
      <w:r>
        <w:rPr>
          <w:rtl w:val="true"/>
        </w:rPr>
        <w:t xml:space="preserve">, </w:t>
      </w:r>
      <w:r>
        <w:rPr>
          <w:rtl w:val="true"/>
        </w:rPr>
        <w:t xml:space="preserve">אשר כללו </w:t>
      </w:r>
      <w:r>
        <w:rPr>
          <w:rtl w:val="true"/>
        </w:rPr>
        <w:t>"</w:t>
      </w:r>
      <w:r>
        <w:rPr>
          <w:rtl w:val="true"/>
        </w:rPr>
        <w:t>הסתייגות מפיגועי טרור</w:t>
      </w:r>
      <w:r>
        <w:rPr>
          <w:rtl w:val="true"/>
        </w:rPr>
        <w:t xml:space="preserve">". </w:t>
      </w:r>
      <w:r>
        <w:rPr>
          <w:rtl w:val="true"/>
        </w:rPr>
        <w:t>בית המשפט קבע כי יש להתחשב באמור</w:t>
      </w:r>
      <w:r>
        <w:rPr>
          <w:rtl w:val="true"/>
        </w:rPr>
        <w:t xml:space="preserve">, </w:t>
      </w:r>
      <w:r>
        <w:rPr>
          <w:rtl w:val="true"/>
        </w:rPr>
        <w:t xml:space="preserve">כנסיבות מקלות בגזירת העונש </w:t>
      </w:r>
      <w:r>
        <w:rPr>
          <w:rtl w:val="true"/>
        </w:rPr>
        <w:t>(</w:t>
      </w:r>
      <w:r>
        <w:rPr>
          <w:rtl w:val="true"/>
        </w:rPr>
        <w:t xml:space="preserve">בהתאם </w:t>
      </w:r>
      <w:hyperlink r:id="rId3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דחה את טענות המערער כי הימשכות ההליך גרמה לו עיוות דין המצדיק הקלה בעונש </w:t>
      </w:r>
      <w:r>
        <w:rPr>
          <w:rtl w:val="true"/>
        </w:rPr>
        <w:t>–</w:t>
      </w:r>
      <w:r>
        <w:rPr>
          <w:rtl w:val="true"/>
        </w:rPr>
        <w:t xml:space="preserve"> בהינתן שאין מדובר בהליך שהתעכב באופן חריג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גם שיקולים לחומרה בגזירת העונש</w:t>
      </w:r>
      <w:r>
        <w:rPr>
          <w:rtl w:val="true"/>
        </w:rPr>
        <w:t xml:space="preserve">, </w:t>
      </w:r>
      <w:r>
        <w:rPr>
          <w:rtl w:val="true"/>
        </w:rPr>
        <w:t>ובפרט הדגשת שיקולי ההלימה וההרתעה</w:t>
      </w:r>
      <w:r>
        <w:rPr>
          <w:rtl w:val="true"/>
        </w:rPr>
        <w:t xml:space="preserve">, </w:t>
      </w:r>
      <w:r>
        <w:rPr>
          <w:rtl w:val="true"/>
        </w:rPr>
        <w:t xml:space="preserve">וכי מעורבות הנאשם במעשים מקימה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אישית</w:t>
      </w:r>
      <w:r>
        <w:rPr>
          <w:rtl w:val="true"/>
        </w:rPr>
        <w:t xml:space="preserve">".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כל האמור לעיל</w:t>
      </w:r>
      <w:r>
        <w:rPr>
          <w:rtl w:val="true"/>
        </w:rPr>
        <w:t xml:space="preserve">, </w:t>
      </w:r>
      <w:r>
        <w:rPr>
          <w:rtl w:val="true"/>
        </w:rPr>
        <w:t>הוטלו על המערער העונשים הבאים</w:t>
      </w:r>
      <w:r>
        <w:rPr>
          <w:rtl w:val="true"/>
        </w:rPr>
        <w:t xml:space="preserve">: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חודשי מאסר שמניינם מיום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 ממאסר</w:t>
      </w:r>
      <w:r>
        <w:rPr>
          <w:rtl w:val="true"/>
        </w:rPr>
        <w:t xml:space="preserve">, </w:t>
      </w:r>
      <w:r>
        <w:rPr>
          <w:rtl w:val="true"/>
        </w:rPr>
        <w:t>שלא יעבור על סעיפי העבירה בהם הורשע בהליך זה</w:t>
      </w:r>
      <w:r>
        <w:rPr>
          <w:rtl w:val="true"/>
        </w:rPr>
        <w:t xml:space="preserve">; </w:t>
      </w:r>
      <w:r>
        <w:rPr>
          <w:rtl w:val="true"/>
        </w:rPr>
        <w:t xml:space="preserve">פיצוי כספי למתלונן בסך </w:t>
      </w:r>
      <w:r>
        <w:rPr/>
        <w:t>55,000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להכרעת הדין</w:t>
      </w:r>
      <w:r>
        <w:rPr>
          <w:rtl w:val="true"/>
        </w:rPr>
        <w:t xml:space="preserve">, </w:t>
      </w:r>
      <w:r>
        <w:rPr>
          <w:rtl w:val="true"/>
        </w:rPr>
        <w:t>המערער מעלה שלושה טיעונים מרכזיים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;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כתיעוד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שערכו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tl w:val="true"/>
        </w:rPr>
        <w:t xml:space="preserve">, </w:t>
      </w:r>
      <w:r>
        <w:rPr>
          <w:rtl w:val="true"/>
        </w:rPr>
        <w:t>ושגה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באמיתות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ודאתו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לסרטונים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ראיה</w:t>
      </w:r>
      <w:r>
        <w:rPr>
          <w:rtl w:val="true"/>
        </w:rPr>
        <w:t xml:space="preserve">"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;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הסתמך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 </w:t>
      </w:r>
      <w:r>
        <w:rPr>
          <w:rtl w:val="true"/>
        </w:rPr>
        <w:t>וקשים</w:t>
      </w:r>
      <w:r>
        <w:rPr>
          <w:rtl w:val="true"/>
        </w:rPr>
        <w:t xml:space="preserve"> </w:t>
      </w:r>
      <w:r>
        <w:rPr>
          <w:rtl w:val="true"/>
        </w:rPr>
        <w:t>שבמסגרתם פגעו ערבים ביהודים</w:t>
      </w:r>
      <w:r>
        <w:rPr>
          <w:rtl w:val="true"/>
        </w:rPr>
        <w:t xml:space="preserve">, </w:t>
      </w:r>
      <w:r>
        <w:rPr>
          <w:rtl w:val="true"/>
        </w:rPr>
        <w:t>בעוד שבקביעת מתחם הענישה יש להתבסס גם על הענישה הנהוגה במקרים בהם יהודים תקפו ערבים</w:t>
      </w:r>
      <w:r>
        <w:rPr>
          <w:rtl w:val="true"/>
        </w:rPr>
        <w:t xml:space="preserve">, </w:t>
      </w:r>
      <w:r>
        <w:rPr>
          <w:rtl w:val="true"/>
        </w:rPr>
        <w:t>אשר לטענתו מקלה יותר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המשיבה טוענת כי בראש ובראשונה מדובר בערעור על ממצאי מהימנות ועובדה</w:t>
      </w:r>
      <w:r>
        <w:rPr>
          <w:rtl w:val="true"/>
        </w:rPr>
        <w:t xml:space="preserve">, </w:t>
      </w:r>
      <w:r>
        <w:rPr>
          <w:rtl w:val="true"/>
        </w:rPr>
        <w:t>כאשר אין כל עילה מבוררת להתערבות בהם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ביחס לקבילות הודאת המערער בחקירותיו</w:t>
      </w:r>
      <w:r>
        <w:rPr>
          <w:rtl w:val="true"/>
        </w:rPr>
        <w:t xml:space="preserve">, </w:t>
      </w:r>
      <w:r>
        <w:rPr>
          <w:rtl w:val="true"/>
        </w:rPr>
        <w:t>טוענת המשיבה כי בית המשפט קמא נסמך על העדויות שנשמעו מפי חוקרי השב</w:t>
      </w:r>
      <w:r>
        <w:rPr>
          <w:rtl w:val="true"/>
        </w:rPr>
        <w:t>"</w:t>
      </w:r>
      <w:r>
        <w:rPr>
          <w:rtl w:val="true"/>
        </w:rPr>
        <w:t>כ וזיכרון הדברים שנערך על ידם</w:t>
      </w:r>
      <w:r>
        <w:rPr>
          <w:rtl w:val="true"/>
        </w:rPr>
        <w:t xml:space="preserve">, </w:t>
      </w:r>
      <w:r>
        <w:rPr>
          <w:rtl w:val="true"/>
        </w:rPr>
        <w:t xml:space="preserve">תוך שעמד על מהימנותם </w:t>
      </w:r>
      <w:r>
        <w:rPr>
          <w:rtl w:val="true"/>
        </w:rPr>
        <w:t>–</w:t>
      </w:r>
      <w:r>
        <w:rPr>
          <w:rtl w:val="true"/>
        </w:rPr>
        <w:t xml:space="preserve"> וכי אין מקום להתערב בקביעות אלו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לראיות המהוות דבר מה לחיזוק הודאת 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המשיבה טוענת כי הסרטונים מהווים ראיה משמעותית לחובתו של המערער</w:t>
      </w:r>
      <w:r>
        <w:rPr>
          <w:rtl w:val="true"/>
        </w:rPr>
        <w:t xml:space="preserve">, </w:t>
      </w:r>
      <w:r>
        <w:rPr>
          <w:rtl w:val="true"/>
        </w:rPr>
        <w:t>שכן בהם הוא נראה נוכח באירוע התקיפה לכל אורכו ומתנהג בדומה ליתר הפורעים</w:t>
      </w:r>
      <w:r>
        <w:rPr>
          <w:rtl w:val="true"/>
        </w:rPr>
        <w:t xml:space="preserve">; </w:t>
      </w:r>
      <w:r>
        <w:rPr>
          <w:rtl w:val="true"/>
        </w:rPr>
        <w:t>וכן כי הסרטונים חושפים שקרים בעדותו של המערער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המשיבה טוענת כי הכזבים שמצא בית המשפט קמא בעדותו של המערער</w:t>
      </w:r>
      <w:r>
        <w:rPr>
          <w:rtl w:val="true"/>
        </w:rPr>
        <w:t xml:space="preserve">, </w:t>
      </w:r>
      <w:r>
        <w:rPr>
          <w:rtl w:val="true"/>
        </w:rPr>
        <w:t>ובגרסאותיו השונות בחקירות</w:t>
      </w:r>
      <w:r>
        <w:rPr>
          <w:rtl w:val="true"/>
        </w:rPr>
        <w:t xml:space="preserve">, </w:t>
      </w:r>
      <w:r>
        <w:rPr>
          <w:rtl w:val="true"/>
        </w:rPr>
        <w:t>מהווים אף הם חיזוק</w:t>
      </w:r>
      <w:r>
        <w:rPr>
          <w:rtl w:val="true"/>
        </w:rPr>
        <w:t xml:space="preserve">, </w:t>
      </w:r>
      <w:r>
        <w:rPr>
          <w:rtl w:val="true"/>
        </w:rPr>
        <w:t xml:space="preserve">קל וחומר </w:t>
      </w:r>
      <w:r>
        <w:rPr>
          <w:rtl w:val="true"/>
        </w:rPr>
        <w:t>"</w:t>
      </w:r>
      <w:r>
        <w:rPr>
          <w:rtl w:val="true"/>
        </w:rPr>
        <w:t>דבר מה</w:t>
      </w:r>
      <w:r>
        <w:rPr>
          <w:rtl w:val="true"/>
        </w:rPr>
        <w:t xml:space="preserve">" </w:t>
      </w:r>
      <w:r>
        <w:rPr>
          <w:rtl w:val="true"/>
        </w:rPr>
        <w:t>כנדרש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טענות המערער למחדלי חקירה</w:t>
      </w:r>
      <w:r>
        <w:rPr>
          <w:rtl w:val="true"/>
        </w:rPr>
        <w:t xml:space="preserve">, </w:t>
      </w:r>
      <w:r>
        <w:rPr>
          <w:rtl w:val="true"/>
        </w:rPr>
        <w:t>טוענת המשיבה כי המערער לא הצביע על מצלמה קונקרטית שצילמה את האירוע ולא אותרה</w:t>
      </w:r>
      <w:r>
        <w:rPr>
          <w:rtl w:val="true"/>
        </w:rPr>
        <w:t xml:space="preserve">; </w:t>
      </w:r>
      <w:r>
        <w:rPr>
          <w:rtl w:val="true"/>
        </w:rPr>
        <w:t>וכן מאחר שניתן צו בית משפט לתפיסת מצלמות שההגנה סברה שהינן רלוונטיות</w:t>
      </w:r>
      <w:r>
        <w:rPr>
          <w:rtl w:val="true"/>
        </w:rPr>
        <w:t xml:space="preserve">, </w:t>
      </w:r>
      <w:r>
        <w:rPr>
          <w:rtl w:val="true"/>
        </w:rPr>
        <w:t>אך לא הוגש כל תוצר לצו זה</w:t>
      </w:r>
      <w:r>
        <w:rPr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גזר הדין</w:t>
      </w:r>
      <w:r>
        <w:rPr>
          <w:rtl w:val="true"/>
        </w:rPr>
        <w:t xml:space="preserve">, </w:t>
      </w:r>
      <w:r>
        <w:rPr>
          <w:rtl w:val="true"/>
        </w:rPr>
        <w:t>המשיבה טוענת כי העונש שהוטל על המערער הולם את חומרת המעשים וכן עולה בקנה אחד עם רף הענישה הראוי בעבירות מעין אלה</w:t>
      </w:r>
      <w:r>
        <w:rPr>
          <w:rtl w:val="true"/>
        </w:rPr>
        <w:t xml:space="preserve">. </w:t>
      </w:r>
      <w:r>
        <w:rPr>
          <w:rtl w:val="true"/>
        </w:rPr>
        <w:t>בדיון שנערך בפנינו המשיבה התייחסה לטענות המערער בדבר אפליה בענישה בין יהודים וערבים אשר ביצעו עבירות דומות</w:t>
      </w:r>
      <w:r>
        <w:rPr>
          <w:rtl w:val="true"/>
        </w:rPr>
        <w:t xml:space="preserve">, </w:t>
      </w:r>
      <w:r>
        <w:rPr>
          <w:rtl w:val="true"/>
        </w:rPr>
        <w:t>וטענה כי המערער לא הציג תימוכין לטענתו</w:t>
      </w:r>
      <w:r>
        <w:rPr>
          <w:rtl w:val="true"/>
        </w:rPr>
        <w:t xml:space="preserve">, </w:t>
      </w:r>
      <w:r>
        <w:rPr>
          <w:rtl w:val="true"/>
        </w:rPr>
        <w:t>ועל כן מדובר בטענה בעלמא שאין לקבלה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ציינה המשיבה כי העונש שנגזר על המערער מתיישב עם עיקרון אחידות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שכן הוא קרוב לעונש שנגזר על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אך נמוך ממנו לאור השוני בין המעשים ונסיבותיהם</w:t>
      </w:r>
      <w:r>
        <w:rPr>
          <w:rtl w:val="true"/>
        </w:rPr>
        <w:t xml:space="preserve">. </w:t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בטענות הצדדים ובחומר הראיות</w:t>
      </w:r>
      <w:r>
        <w:rPr>
          <w:rtl w:val="true"/>
        </w:rPr>
        <w:t xml:space="preserve">, </w:t>
      </w:r>
      <w:r>
        <w:rPr>
          <w:rtl w:val="true"/>
        </w:rPr>
        <w:t xml:space="preserve">ולאחר ששמענו את טיעוני הצדדים בדיון בפנינו – סבורני כי דין </w:t>
      </w:r>
      <w:r>
        <w:rPr>
          <w:rtl w:val="true"/>
        </w:rPr>
        <w:t>הערעור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הן </w:t>
      </w:r>
      <w:r>
        <w:rPr>
          <w:rtl w:val="true"/>
        </w:rPr>
        <w:t>על הכרעת הדין</w:t>
      </w:r>
      <w:r>
        <w:rPr>
          <w:rtl w:val="true"/>
        </w:rPr>
        <w:t xml:space="preserve"> והן על גזר הדין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ערעורו של המערער על הכרעת הדין מושתת על שלושה אדנים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טענתו בדבר קבילות הודאותיו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טענתו כי בית משפט קמא הרשיעו רק על בסיס הודאותיו</w:t>
      </w:r>
      <w:r>
        <w:rPr>
          <w:rtl w:val="true"/>
        </w:rPr>
        <w:t xml:space="preserve">, </w:t>
      </w:r>
      <w:r>
        <w:rPr>
          <w:rtl w:val="true"/>
        </w:rPr>
        <w:t>אשר יש לייחס להן משקל נמוך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בחומר</w:t>
      </w:r>
      <w:r>
        <w:rPr>
          <w:rtl w:val="true"/>
        </w:rPr>
        <w:t xml:space="preserve"> הראיות לא קיימת תוספת ראייתית התומכת באמיתות הודאותיו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טענתו כי לא ניתן משקל משמעותי ומספק למחדלי חקירה</w:t>
      </w:r>
      <w:r>
        <w:rPr>
          <w:rtl w:val="true"/>
        </w:rPr>
        <w:t xml:space="preserve">. </w:t>
      </w:r>
      <w:r>
        <w:rPr>
          <w:rtl w:val="true"/>
        </w:rPr>
        <w:t>אדון בטענות אלה כסדרן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numPr>
          <w:ilvl w:val="0"/>
          <w:numId w:val="3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קבילות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טענתו של המערער כי שגה בית משפט קמא עת קבע כי חזר בו מטענת הזוטא </w:t>
      </w:r>
      <w:r>
        <w:rPr>
          <w:rtl w:val="true"/>
        </w:rPr>
        <w:t>–</w:t>
      </w:r>
      <w:r>
        <w:rPr>
          <w:rtl w:val="true"/>
        </w:rPr>
        <w:t xml:space="preserve"> דינה דחייה</w:t>
      </w:r>
      <w:r>
        <w:rPr>
          <w:rtl w:val="true"/>
        </w:rPr>
        <w:t xml:space="preserve">. </w:t>
      </w:r>
      <w:r>
        <w:rPr>
          <w:rtl w:val="true"/>
        </w:rPr>
        <w:t xml:space="preserve">בדיון שנערך בבית משפט קמא ביום </w:t>
      </w:r>
      <w:r>
        <w:rPr/>
        <w:t>12.1.2023</w:t>
      </w:r>
      <w:r>
        <w:rPr>
          <w:rtl w:val="true"/>
        </w:rPr>
        <w:t xml:space="preserve">, </w:t>
      </w:r>
      <w:r>
        <w:rPr>
          <w:rtl w:val="true"/>
        </w:rPr>
        <w:t xml:space="preserve">אמר בא כוח המערער כי </w:t>
      </w:r>
      <w:r>
        <w:rPr>
          <w:rtl w:val="true"/>
        </w:rPr>
        <w:t xml:space="preserve">"[...]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אזכיר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בסיכומים שהגיש בא כוח המערער ביום </w:t>
      </w:r>
      <w:r>
        <w:rPr/>
        <w:t>18.1.2023</w:t>
      </w:r>
      <w:r>
        <w:rPr>
          <w:rtl w:val="true"/>
        </w:rPr>
        <w:t xml:space="preserve"> </w:t>
      </w:r>
      <w:r>
        <w:rPr>
          <w:rtl w:val="true"/>
        </w:rPr>
        <w:t>צוין 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ההודאות </w:t>
      </w:r>
      <w:r>
        <w:rPr>
          <w:rtl w:val="true"/>
        </w:rPr>
        <w:t>–</w:t>
      </w:r>
      <w:r>
        <w:rPr>
          <w:rtl w:val="true"/>
        </w:rPr>
        <w:t xml:space="preserve"> 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חופשיות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ומרצון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בסיכומים בבית משפט קמא גם לא אוזכרה טענה לפסילת ההודאות מכוח דוקטרינת הפסילה הפסיקתית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צדק בית משפט קמא בקביעתו כי המערער זנח את טענת הזוטא אשר הייתה בפיו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על אף שטענת הזוטא בדבר קבילות ההודאות נזנחה</w:t>
      </w:r>
      <w:r>
        <w:rPr>
          <w:rtl w:val="true"/>
        </w:rPr>
        <w:t xml:space="preserve">, </w:t>
      </w:r>
      <w:r>
        <w:rPr>
          <w:rtl w:val="true"/>
        </w:rPr>
        <w:t>עמד בית משפט קמא</w:t>
      </w:r>
      <w:r>
        <w:rPr>
          <w:rtl w:val="true"/>
        </w:rPr>
        <w:t xml:space="preserve">, </w:t>
      </w:r>
      <w:r>
        <w:rPr>
          <w:rtl w:val="true"/>
        </w:rPr>
        <w:t>בבחינת למעלה מן הצורך</w:t>
      </w:r>
      <w:r>
        <w:rPr>
          <w:rtl w:val="true"/>
        </w:rPr>
        <w:t xml:space="preserve">, </w:t>
      </w:r>
      <w:r>
        <w:rPr>
          <w:rtl w:val="true"/>
        </w:rPr>
        <w:t xml:space="preserve">על שני האפיקים לבחינת קבילותן של ההודאות </w:t>
      </w:r>
      <w:r>
        <w:rPr>
          <w:rtl w:val="true"/>
        </w:rPr>
        <w:t>–</w:t>
      </w:r>
      <w:r>
        <w:rPr>
          <w:rtl w:val="true"/>
        </w:rPr>
        <w:t xml:space="preserve"> הן 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והן לפי דוקטרינת הפסילה הפסיקתית</w:t>
      </w:r>
      <w:r>
        <w:rPr>
          <w:rtl w:val="true"/>
        </w:rPr>
        <w:t xml:space="preserve">, </w:t>
      </w:r>
      <w:r>
        <w:rPr>
          <w:rtl w:val="true"/>
        </w:rPr>
        <w:t>ובחן את תחולתם על עניינו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קבע כי הנסיבות המצדיקות החלת מי מהחלופות שלעיל אינן מתקיימות בעניין דנן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אף אם היה ממש בטענת המערער כי לא זנח</w:t>
      </w:r>
      <w:r>
        <w:rPr>
          <w:rtl w:val="true"/>
        </w:rPr>
        <w:t xml:space="preserve">, </w:t>
      </w:r>
      <w:r>
        <w:rPr>
          <w:rtl w:val="true"/>
        </w:rPr>
        <w:t>בסיכומיו</w:t>
      </w:r>
      <w:r>
        <w:rPr>
          <w:rtl w:val="true"/>
        </w:rPr>
        <w:t xml:space="preserve">, </w:t>
      </w:r>
      <w:r>
        <w:rPr>
          <w:rtl w:val="true"/>
        </w:rPr>
        <w:t xml:space="preserve">את טענת הזוטא שהעלה בהליך קמא </w:t>
      </w:r>
      <w:r>
        <w:rPr>
          <w:rtl w:val="true"/>
        </w:rPr>
        <w:t>(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איני קובע כך</w:t>
      </w:r>
      <w:r>
        <w:rPr>
          <w:rtl w:val="true"/>
        </w:rPr>
        <w:t xml:space="preserve">), </w:t>
      </w:r>
      <w:r>
        <w:rPr>
          <w:rtl w:val="true"/>
        </w:rPr>
        <w:t>הרי שממילא הטענה נבחנה לגופה בהכרעת הדין ונדחתה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ככל שהמערער מלין על העובדה כי קבילות הודאותיו נבחנה בגדרי הכרעת הדין ולא עובר לכך</w:t>
      </w:r>
      <w:r>
        <w:rPr>
          <w:rtl w:val="true"/>
        </w:rPr>
        <w:t xml:space="preserve">: </w:t>
      </w:r>
      <w:r>
        <w:rPr>
          <w:rtl w:val="true"/>
        </w:rPr>
        <w:t>בפסיקה נקבע כי אי</w:t>
      </w:r>
      <w:r>
        <w:rPr>
          <w:rtl w:val="true"/>
        </w:rPr>
        <w:t>-</w:t>
      </w:r>
      <w:r>
        <w:rPr>
          <w:rtl w:val="true"/>
        </w:rPr>
        <w:t>קיום משפט זוטא</w:t>
      </w:r>
      <w:r>
        <w:rPr>
          <w:rtl w:val="true"/>
        </w:rPr>
        <w:t xml:space="preserve">, </w:t>
      </w:r>
      <w:r>
        <w:rPr>
          <w:rtl w:val="true"/>
        </w:rPr>
        <w:t xml:space="preserve">על אף התנגדותו של נאשם לקבילות הודאתו 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אינו מוביל בהכרח לפסילת ההודאה באופן </w:t>
      </w:r>
      <w:r>
        <w:rPr>
          <w:rtl w:val="true"/>
        </w:rPr>
        <w:t>"</w:t>
      </w:r>
      <w:r>
        <w:rPr>
          <w:rtl w:val="true"/>
        </w:rPr>
        <w:t>אוטומטי</w:t>
      </w:r>
      <w:r>
        <w:rPr>
          <w:rtl w:val="true"/>
        </w:rPr>
        <w:t xml:space="preserve">", </w:t>
      </w:r>
      <w:r>
        <w:rPr>
          <w:rtl w:val="true"/>
        </w:rPr>
        <w:t xml:space="preserve">אלא במקרים שבהם נגרם לנאשם עוול והגנתו קופחה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11331/03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נט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453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/>
        <w:t>466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1520/97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נה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337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347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2000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יניב ואקי 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920-919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כרך 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2020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בערעור שבפנינו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זנח את טענת הקבילות לפי </w:t>
      </w:r>
      <w:hyperlink r:id="rId4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4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ומתמקד בדוקטרינת הפסילה הפסיקתית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ובאפיק בחינה זה ממילא הדעות חלוקות באשר לצורך להכריע בטענות עובר להכרעת הדין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6144/10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גטצאו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10.4.2013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ומכאן לטענות המערער באשר לבחינת קבילות הודאתו</w:t>
      </w:r>
      <w:r>
        <w:rPr>
          <w:rtl w:val="true"/>
        </w:rPr>
        <w:t xml:space="preserve">, </w:t>
      </w:r>
      <w:r>
        <w:rPr>
          <w:rtl w:val="true"/>
        </w:rPr>
        <w:t>לגופם של דברים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בחן את טענות המערער בשני האפיקים שבדין</w:t>
      </w:r>
      <w:r>
        <w:rPr>
          <w:rtl w:val="true"/>
        </w:rPr>
        <w:t xml:space="preserve">, </w:t>
      </w:r>
      <w:r>
        <w:rPr>
          <w:rtl w:val="true"/>
        </w:rPr>
        <w:t>וקבע כי הודאת המערער קבילה היא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ממקד את טענותיו בערעור באפיק הבחינה השני </w:t>
      </w:r>
      <w:r>
        <w:rPr>
          <w:rtl w:val="true"/>
        </w:rPr>
        <w:t>–</w:t>
      </w:r>
      <w:r>
        <w:rPr>
          <w:rtl w:val="true"/>
        </w:rPr>
        <w:t xml:space="preserve"> דוקטרינת הפסילה הפסיקתית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לפי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 xml:space="preserve">דוקטרינת הפסילה הפסיקתית שהתגבשה ועוגנה </w:t>
      </w:r>
      <w:r>
        <w:rPr>
          <w:rtl w:val="true"/>
        </w:rPr>
        <w:t>ב</w:t>
      </w:r>
      <w:r>
        <w:rPr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מוקנה לבית המשפט שיקול דעת לפסול ראיות מסוגים שונים</w:t>
      </w:r>
      <w:r>
        <w:rPr>
          <w:rtl w:val="true"/>
        </w:rPr>
        <w:t xml:space="preserve">, </w:t>
      </w:r>
      <w:r>
        <w:rPr>
          <w:rtl w:val="true"/>
        </w:rPr>
        <w:t>לרבות הודאת נאשם</w:t>
      </w:r>
      <w:r>
        <w:rPr>
          <w:rtl w:val="true"/>
        </w:rPr>
        <w:t xml:space="preserve">, </w:t>
      </w:r>
      <w:r>
        <w:rPr>
          <w:rtl w:val="true"/>
        </w:rPr>
        <w:t>אם הושגו שלא כדין</w:t>
      </w:r>
      <w:r>
        <w:rPr>
          <w:rtl w:val="true"/>
        </w:rPr>
        <w:t xml:space="preserve">. </w:t>
      </w:r>
      <w:r>
        <w:rPr>
          <w:rtl w:val="true"/>
        </w:rPr>
        <w:t>בדין הותוו שני תנאים לפסילת ראיה על פי דוקטרינה זו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הושגה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מנוגדים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הוגנים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מוגנת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557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בזכותו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ההגבלה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558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לשם הכרעה בשאלת התקיימותו של התנאי השני</w:t>
      </w:r>
      <w:r>
        <w:rPr>
          <w:rtl w:val="true"/>
        </w:rPr>
        <w:t xml:space="preserve">, </w:t>
      </w:r>
      <w:r>
        <w:rPr>
          <w:rtl w:val="true"/>
        </w:rPr>
        <w:t>על בית המשפט לבחון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אופייה ואת חומרתה של אי</w:t>
      </w:r>
      <w:r>
        <w:rPr>
          <w:rtl w:val="true"/>
        </w:rPr>
        <w:t>-</w:t>
      </w:r>
      <w:r>
        <w:rPr>
          <w:rtl w:val="true"/>
        </w:rPr>
        <w:t>החוקיות שהייתה כרוכה בהשגת ה</w:t>
      </w:r>
      <w:r>
        <w:rPr>
          <w:rtl w:val="true"/>
        </w:rPr>
        <w:t>ראיה</w:t>
      </w:r>
      <w:r>
        <w:rPr>
          <w:rtl w:val="true"/>
        </w:rPr>
        <w:t xml:space="preserve">; </w:t>
      </w:r>
      <w:r>
        <w:rPr>
          <w:rtl w:val="true"/>
        </w:rPr>
        <w:t>את מידת ההשפעה ש</w:t>
      </w:r>
      <w:r>
        <w:rPr>
          <w:rtl w:val="true"/>
        </w:rPr>
        <w:t>ל ה</w:t>
      </w:r>
      <w:r>
        <w:rPr>
          <w:rtl w:val="true"/>
        </w:rPr>
        <w:t>א</w:t>
      </w:r>
      <w:r>
        <w:rPr>
          <w:rtl w:val="true"/>
        </w:rPr>
        <w:t>מצעי הפסול על הראיה שהושגה</w:t>
      </w:r>
      <w:r>
        <w:rPr>
          <w:rtl w:val="true"/>
        </w:rPr>
        <w:t xml:space="preserve">; </w:t>
      </w:r>
      <w:r>
        <w:rPr>
          <w:rtl w:val="true"/>
        </w:rPr>
        <w:t>ואת הנזק</w:t>
      </w:r>
      <w:r>
        <w:rPr>
          <w:rtl w:val="true"/>
        </w:rPr>
        <w:t xml:space="preserve"> מול התועלת החברתיים הכרוכים בפסילת הראייה </w:t>
      </w:r>
      <w:r>
        <w:rPr>
          <w:rtl w:val="true"/>
        </w:rPr>
        <w:t>(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567-562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בדימ</w:t>
      </w:r>
      <w:r>
        <w:rPr>
          <w:rFonts w:cs="Century" w:ascii="Century" w:hAnsi="Century"/>
          <w:sz w:val="22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9.7.2017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מירז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915-911</w:t>
      </w:r>
      <w:r>
        <w:rPr>
          <w:rtl w:val="true"/>
        </w:rPr>
        <w:t xml:space="preserve">).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תנאי הכרחי לפסילת ראיה על פי דוקטרינת הפסילה הפסיקתית</w:t>
      </w:r>
      <w:r>
        <w:rPr>
          <w:rtl w:val="true"/>
        </w:rPr>
        <w:t xml:space="preserve">, </w:t>
      </w:r>
      <w:r>
        <w:rPr>
          <w:rtl w:val="true"/>
        </w:rPr>
        <w:t xml:space="preserve">כפי שהותוותה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 xml:space="preserve">הוא כי הראיה הושגה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1.9.2022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20.12.2018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לא מתקיים התנאי הראשון להחלת הדוקטרינה</w:t>
      </w:r>
      <w:r>
        <w:rPr>
          <w:rtl w:val="true"/>
        </w:rPr>
        <w:t xml:space="preserve">; </w:t>
      </w:r>
      <w:r>
        <w:rPr>
          <w:rtl w:val="true"/>
        </w:rPr>
        <w:t xml:space="preserve">קרי </w:t>
      </w:r>
      <w:r>
        <w:rPr>
          <w:rtl w:val="true"/>
        </w:rPr>
        <w:t>–</w:t>
      </w:r>
      <w:r>
        <w:rPr>
          <w:rtl w:val="true"/>
        </w:rPr>
        <w:t xml:space="preserve"> נקבע כי הודאת הנאשם הושגה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המערער כופר בקביעה זו</w:t>
      </w:r>
      <w:r>
        <w:rPr>
          <w:rtl w:val="true"/>
        </w:rPr>
        <w:t xml:space="preserve">, </w:t>
      </w:r>
      <w:r>
        <w:rPr>
          <w:rtl w:val="true"/>
        </w:rPr>
        <w:t>ולטענתו ננקטו בעניינו אמצעי חקירה פסולים שמצדיקים את פסילת הודאתו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: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ותרגילי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ותכסיסי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ויתקון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התקבלו כהלכה מושרשת בבית משפט זה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</w:t>
      </w:r>
      <w:r>
        <w:rPr>
          <w:rtl w:val="true"/>
        </w:rPr>
        <w:t>-</w:t>
      </w:r>
      <w:r>
        <w:rPr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</w:t>
      </w:r>
      <w:r>
        <w:rPr>
          <w:rtl w:val="true"/>
        </w:rPr>
        <w:t xml:space="preserve">. </w:t>
      </w:r>
      <w:r>
        <w:rPr>
          <w:rtl w:val="true"/>
        </w:rPr>
        <w:t>במשא</w:t>
      </w:r>
      <w:r>
        <w:rPr>
          <w:rtl w:val="true"/>
        </w:rPr>
        <w:t>-</w:t>
      </w:r>
      <w:r>
        <w:rPr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מחוקר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הגינות</w:t>
      </w:r>
      <w:r>
        <w:rPr>
          <w:rtl w:val="true"/>
        </w:rPr>
        <w:t xml:space="preserve">' </w:t>
      </w:r>
      <w:r>
        <w:rPr>
          <w:rtl w:val="true"/>
        </w:rPr>
        <w:t>כזאת</w:t>
      </w:r>
      <w:r>
        <w:rPr>
          <w:rtl w:val="true"/>
        </w:rPr>
        <w:t xml:space="preserve">.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הישבר</w:t>
      </w:r>
      <w:r>
        <w:rPr>
          <w:rtl w:val="true"/>
        </w:rPr>
        <w:t xml:space="preserve">';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tl w:val="true"/>
        </w:rPr>
        <w:t>" 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216/74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340</w:t>
      </w:r>
      <w:r>
        <w:rPr>
          <w:rtl w:val="true"/>
        </w:rPr>
        <w:t xml:space="preserve">, </w:t>
      </w:r>
      <w:r>
        <w:rPr/>
        <w:t>352</w:t>
      </w:r>
      <w:r>
        <w:rPr>
          <w:rtl w:val="true"/>
        </w:rPr>
        <w:t xml:space="preserve"> (</w:t>
      </w:r>
      <w:r>
        <w:rPr/>
        <w:t>1974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מירז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והאסמכאות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השאלה היא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האם בענייננו ננקטו על</w:t>
      </w:r>
      <w:r>
        <w:rPr>
          <w:rtl w:val="true"/>
        </w:rPr>
        <w:t>-</w:t>
      </w:r>
      <w:r>
        <w:rPr>
          <w:rtl w:val="true"/>
        </w:rPr>
        <w:t>ידי החוקרים פעולות חקירה בלתי חוקיות</w:t>
      </w:r>
      <w:r>
        <w:rPr>
          <w:rtl w:val="true"/>
        </w:rPr>
        <w:t xml:space="preserve">, </w:t>
      </w:r>
      <w:r>
        <w:rPr>
          <w:rtl w:val="true"/>
        </w:rPr>
        <w:t>כפי שטוען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קבע בית משפט קמא</w:t>
      </w:r>
      <w:r>
        <w:rPr>
          <w:rtl w:val="true"/>
        </w:rPr>
        <w:t xml:space="preserve">, </w:t>
      </w:r>
      <w:r>
        <w:rPr>
          <w:rtl w:val="true"/>
        </w:rPr>
        <w:t>בהתבסס על עדויות החוקרים וזיכרונות הדברים שהוגשו</w:t>
      </w:r>
      <w:r>
        <w:rPr>
          <w:rtl w:val="true"/>
        </w:rPr>
        <w:t xml:space="preserve">, </w:t>
      </w:r>
      <w:r>
        <w:rPr>
          <w:rtl w:val="true"/>
        </w:rPr>
        <w:t>אשר התקבלו כמהימנים על ידי בית משפט קמא</w:t>
      </w:r>
      <w:r>
        <w:rPr>
          <w:rtl w:val="true"/>
        </w:rPr>
        <w:t xml:space="preserve">, </w:t>
      </w:r>
      <w:r>
        <w:rPr>
          <w:rtl w:val="true"/>
        </w:rPr>
        <w:t>כי השגת הודאותיו של המערער לא הייתה כרוכה באי</w:t>
      </w:r>
      <w:r>
        <w:rPr>
          <w:rtl w:val="true"/>
        </w:rPr>
        <w:t>-</w:t>
      </w:r>
      <w:r>
        <w:rPr>
          <w:rtl w:val="true"/>
        </w:rPr>
        <w:t>חוקיות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הושפעו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בזכויותיו</w:t>
      </w:r>
      <w:r>
        <w:rPr>
          <w:rtl w:val="true"/>
        </w:rPr>
        <w:t xml:space="preserve">.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tl w:val="true"/>
        </w:rPr>
        <w:t xml:space="preserve">, </w:t>
      </w:r>
      <w:r>
        <w:rPr>
          <w:rtl w:val="true"/>
        </w:rPr>
        <w:t>הפסקות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</w:t>
      </w:r>
      <w:r>
        <w:rPr>
          <w:rtl w:val="true"/>
        </w:rPr>
        <w:t>-</w:t>
      </w:r>
      <w:r>
        <w:rPr>
          <w:rtl w:val="true"/>
        </w:rPr>
        <w:t>מפתח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הלגיטימי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טענותיו של המערער במישור זה</w:t>
      </w:r>
      <w:r>
        <w:rPr>
          <w:rtl w:val="true"/>
        </w:rPr>
        <w:t xml:space="preserve">, </w:t>
      </w:r>
      <w:r>
        <w:rPr>
          <w:rtl w:val="true"/>
        </w:rPr>
        <w:t>נדחו אפוא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אשר קבע</w:t>
      </w:r>
      <w:r>
        <w:rPr>
          <w:rtl w:val="true"/>
        </w:rPr>
        <w:t xml:space="preserve">, </w:t>
      </w:r>
      <w:r>
        <w:rPr>
          <w:rtl w:val="true"/>
        </w:rPr>
        <w:t>כממצא שבעובדה</w:t>
      </w:r>
      <w:r>
        <w:rPr>
          <w:rtl w:val="true"/>
        </w:rPr>
        <w:t xml:space="preserve">, </w:t>
      </w:r>
      <w:r>
        <w:rPr>
          <w:rtl w:val="true"/>
        </w:rPr>
        <w:t>כי שיטות חקירה פסולות לא ננקטו</w:t>
      </w:r>
      <w:r>
        <w:rPr>
          <w:rtl w:val="true"/>
        </w:rPr>
        <w:t xml:space="preserve">. </w:t>
      </w:r>
      <w:r>
        <w:rPr>
          <w:rtl w:val="true"/>
        </w:rPr>
        <w:t xml:space="preserve">מדובר בממצאי עובדה ומהימנות אשר ערכאת הערעור אינה נוטה להתערב בהם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20.2.2024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10.9.2023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9.2.2011</w:t>
      </w:r>
      <w:r>
        <w:rPr>
          <w:rtl w:val="true"/>
        </w:rPr>
        <w:t xml:space="preserve">)), </w:t>
      </w:r>
      <w:r>
        <w:rPr>
          <w:rtl w:val="true"/>
        </w:rPr>
        <w:t>ולא מצאתי הצדקה להתערבות במקרה שלפנינו</w:t>
      </w:r>
      <w:r>
        <w:rPr>
          <w:rtl w:val="true"/>
        </w:rPr>
        <w:t xml:space="preserve">. </w:t>
      </w:r>
      <w:r>
        <w:rPr>
          <w:rtl w:val="true"/>
        </w:rPr>
        <w:t>משנקבע כי פעולות החקירה שבוצעו בעניינו של המערער הינן לגיטימיות</w:t>
      </w:r>
      <w:r>
        <w:rPr>
          <w:rtl w:val="true"/>
        </w:rPr>
        <w:t xml:space="preserve">, </w:t>
      </w:r>
      <w:r>
        <w:rPr>
          <w:rtl w:val="true"/>
        </w:rPr>
        <w:t xml:space="preserve">הרי שאין אנו מצויים כלל בתחומיה של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numPr>
          <w:ilvl w:val="0"/>
          <w:numId w:val="3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ודרישה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משמצאנו כי הודאת הנאשם קבילה</w:t>
      </w:r>
      <w:r>
        <w:rPr>
          <w:rtl w:val="true"/>
        </w:rPr>
        <w:t xml:space="preserve">, </w:t>
      </w:r>
      <w:r>
        <w:rPr>
          <w:rtl w:val="true"/>
        </w:rPr>
        <w:t>יש לבחון את משקלה</w:t>
      </w:r>
      <w:r>
        <w:rPr>
          <w:rtl w:val="true"/>
        </w:rPr>
        <w:t xml:space="preserve">. </w:t>
      </w:r>
      <w:r>
        <w:rPr>
          <w:rtl w:val="true"/>
        </w:rPr>
        <w:t>משקלה של הודאה נבחן על פי שני מבחנים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הפנימי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עניינו במהימנות ההודאה עצמה בהתאם לסימני האמת העולים ממנה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החיצוני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לפיו נדרשת תוספת ראייתית מאמתת להודאת הנאשם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דבר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מה נוסף</w:t>
      </w:r>
      <w:r>
        <w:rPr>
          <w:rFonts w:cs="Century" w:ascii="Century" w:hAnsi="Century"/>
          <w:sz w:val="22"/>
          <w:rtl w:val="true"/>
        </w:rPr>
        <w:t>" (</w:t>
      </w:r>
      <w:hyperlink r:id="rId5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715/78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לג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228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1979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בין שני המבחנים הללו מתקיים יחס 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מקבילית כוחות</w:t>
      </w:r>
      <w:r>
        <w:rPr>
          <w:rFonts w:cs="Century" w:ascii="Century" w:hAnsi="Century"/>
          <w:sz w:val="22"/>
          <w:rtl w:val="true"/>
        </w:rPr>
        <w:t xml:space="preserve">": </w:t>
      </w:r>
      <w:r>
        <w:rPr>
          <w:rFonts w:ascii="Century" w:hAnsi="Century" w:cs="Century"/>
          <w:sz w:val="22"/>
          <w:sz w:val="22"/>
          <w:rtl w:val="true"/>
        </w:rPr>
        <w:t>ככל שמהימנות ההודאה על פי המבחן הפנימי גבוהה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ניתן יהיה להסתפק בתוספת ראייתית בעלת משקל פחות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ולהפך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8589/13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רמילאת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34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Century" w:hAnsi="Century" w:cs="Century"/>
          <w:sz w:val="22"/>
          <w:sz w:val="22"/>
          <w:rtl w:val="true"/>
        </w:rPr>
        <w:t xml:space="preserve"> והאסמכתאות שם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27.1.2015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רמילאת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תכלית הדרישה לתוספת ראייתית מסוג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>-</w:t>
      </w:r>
      <w:r>
        <w:rPr>
          <w:rtl w:val="true"/>
        </w:rPr>
        <w:t>מה נוסף</w:t>
      </w:r>
      <w:r>
        <w:rPr>
          <w:rtl w:val="true"/>
        </w:rPr>
        <w:t xml:space="preserve">" </w:t>
      </w:r>
      <w:r>
        <w:rPr>
          <w:rtl w:val="true"/>
        </w:rPr>
        <w:t xml:space="preserve">להודאת נאשם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tl w:val="true"/>
        </w:rPr>
        <w:t>" 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25.8.2016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tl w:val="true"/>
        </w:rPr>
        <w:t>ובנוסף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סטקלר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11.5.2006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טיב הראיה הנדרשת הוא ראיה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מאמתת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יהיה בה כדי לאשר את תוכן הודאת הנאשם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בשונה מתוספת ראייתית </w:t>
      </w:r>
      <w:r>
        <w:rPr>
          <w:rFonts w:ascii="Century" w:hAnsi="Century" w:cs="Century"/>
          <w:sz w:val="22"/>
          <w:sz w:val="22"/>
          <w:rtl w:val="true"/>
        </w:rPr>
        <w:t>מסבכת</w:t>
      </w:r>
      <w:r>
        <w:rPr>
          <w:rFonts w:cs="Century" w:ascii="Century" w:hAnsi="Century"/>
          <w:sz w:val="22"/>
          <w:rtl w:val="true"/>
        </w:rPr>
        <w:t>) (</w:t>
      </w:r>
      <w:hyperlink r:id="rId6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3577/12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 כ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23.7.2014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>משמעות הדבר היא שאין צורך שהתוספת הראייתית תוכיח את עובדת התרחשות העבירה</w:t>
      </w:r>
      <w:r>
        <w:rPr>
          <w:rtl w:val="true"/>
        </w:rPr>
        <w:t xml:space="preserve">, </w:t>
      </w:r>
      <w:r>
        <w:rPr>
          <w:rtl w:val="true"/>
        </w:rPr>
        <w:t>או שתזהה את הנאשם כמבצעה</w:t>
      </w:r>
      <w:r>
        <w:rPr>
          <w:rtl w:val="true"/>
        </w:rPr>
        <w:t xml:space="preserve">, </w:t>
      </w:r>
      <w:r>
        <w:rPr>
          <w:rtl w:val="true"/>
        </w:rPr>
        <w:t>וכי ניתן להסתפק בכל ראיה</w:t>
      </w:r>
      <w:r>
        <w:rPr>
          <w:rtl w:val="true"/>
        </w:rPr>
        <w:t xml:space="preserve">, </w:t>
      </w:r>
      <w:r>
        <w:rPr>
          <w:rtl w:val="true"/>
        </w:rPr>
        <w:t>ישירה או נסיבתית</w:t>
      </w:r>
      <w:r>
        <w:rPr>
          <w:rtl w:val="true"/>
        </w:rPr>
        <w:t xml:space="preserve">, </w:t>
      </w:r>
      <w:r>
        <w:rPr>
          <w:rtl w:val="true"/>
        </w:rPr>
        <w:t xml:space="preserve">אשר מאמתת את תוכן ההודאה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7939/10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זדורוב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308</w:t>
      </w:r>
      <w:r>
        <w:rPr>
          <w:rtl w:val="true"/>
        </w:rPr>
        <w:t xml:space="preserve"> </w:t>
      </w:r>
      <w:r>
        <w:rPr>
          <w:rtl w:val="true"/>
        </w:rPr>
        <w:t>לפסק דינו של 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23.12.2015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וכפי שציינתי לעיל</w:t>
      </w:r>
      <w:r>
        <w:rPr>
          <w:rtl w:val="true"/>
        </w:rPr>
        <w:t xml:space="preserve">, </w:t>
      </w:r>
      <w:r>
        <w:rPr>
          <w:rtl w:val="true"/>
        </w:rPr>
        <w:t>עוצמת התוספת הראייתית הדרושה</w:t>
      </w:r>
      <w:r>
        <w:rPr>
          <w:rtl w:val="true"/>
        </w:rPr>
        <w:t xml:space="preserve">,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עומדת ביחס ישיר למהימנות הודאת הנאשם עצמה </w:t>
      </w:r>
      <w:r>
        <w:rPr>
          <w:rtl w:val="true"/>
        </w:rPr>
        <w:t>(</w:t>
      </w:r>
      <w:r>
        <w:rPr>
          <w:rtl w:val="true"/>
        </w:rPr>
        <w:t>על פי המבחן הפנימי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בהתאם ליחס </w:t>
      </w:r>
      <w:r>
        <w:rPr>
          <w:rtl w:val="true"/>
        </w:rPr>
        <w:t>"</w:t>
      </w:r>
      <w:r>
        <w:rPr>
          <w:rtl w:val="true"/>
        </w:rPr>
        <w:t>מקבילית הכוחות</w:t>
      </w:r>
      <w:r>
        <w:rPr>
          <w:rtl w:val="true"/>
        </w:rPr>
        <w:t xml:space="preserve">" </w:t>
      </w:r>
      <w:r>
        <w:rPr>
          <w:rtl w:val="true"/>
        </w:rPr>
        <w:t>עליו עמדתי לעיל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ביישום המבחן הפנימי בעניינו של המערער דנן</w:t>
      </w:r>
      <w:r>
        <w:rPr>
          <w:rtl w:val="true"/>
        </w:rPr>
        <w:t xml:space="preserve">, </w:t>
      </w:r>
      <w:r>
        <w:rPr>
          <w:rtl w:val="true"/>
        </w:rPr>
        <w:t>בית המשפט קמא ראה כמהימנה את גרסת שתי המכות שמסר המערער בהודאה מפורטת</w:t>
      </w:r>
      <w:r>
        <w:rPr>
          <w:rtl w:val="true"/>
        </w:rPr>
        <w:t xml:space="preserve">, </w:t>
      </w:r>
      <w:r>
        <w:rPr>
          <w:rtl w:val="true"/>
        </w:rPr>
        <w:t>במסגרת חקירתו</w:t>
      </w:r>
      <w:r>
        <w:rPr>
          <w:rtl w:val="true"/>
        </w:rPr>
        <w:t>:</w:t>
      </w:r>
    </w:p>
    <w:p>
      <w:pPr>
        <w:pStyle w:val="Ruller42"/>
        <w:keepNext w:val="true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keepNext w:val="true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כזבים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, </w:t>
      </w:r>
      <w:r>
        <w:rPr>
          <w:rtl w:val="true"/>
        </w:rPr>
        <w:t>ומגמת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מחושבת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מחושב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לראותן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ויסבכו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</w:t>
      </w:r>
      <w:r>
        <w:rPr>
          <w:rtl w:val="true"/>
        </w:rPr>
        <w:t xml:space="preserve">, </w:t>
      </w:r>
      <w:r>
        <w:rPr>
          <w:rtl w:val="true"/>
        </w:rPr>
        <w:t>שהסתיים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ואן</w:t>
      </w:r>
      <w:r>
        <w:rPr>
          <w:rtl w:val="true"/>
        </w:rPr>
        <w:t>-</w:t>
      </w:r>
      <w:r>
        <w:rPr>
          <w:rtl w:val="true"/>
        </w:rPr>
        <w:t>פאסן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נשבר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>." (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79-78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מכיוון שהמערער אינו טוען לעניין המבחן הפנימי</w:t>
      </w:r>
      <w:r>
        <w:rPr>
          <w:rtl w:val="true"/>
        </w:rPr>
        <w:t xml:space="preserve">, </w:t>
      </w:r>
      <w:r>
        <w:rPr>
          <w:rtl w:val="true"/>
        </w:rPr>
        <w:t>הרי שאינני נדרש להתייחס לקביעה הנ</w:t>
      </w:r>
      <w:r>
        <w:rPr>
          <w:rtl w:val="true"/>
        </w:rPr>
        <w:t>"</w:t>
      </w:r>
      <w:r>
        <w:rPr>
          <w:rtl w:val="true"/>
        </w:rPr>
        <w:t>ל של בית משפט קמא</w:t>
      </w:r>
      <w:r>
        <w:rPr>
          <w:rtl w:val="true"/>
        </w:rPr>
        <w:t xml:space="preserve">, </w:t>
      </w:r>
      <w:r>
        <w:rPr>
          <w:rtl w:val="true"/>
        </w:rPr>
        <w:t>אולם אציין כי לא מצאתי כל טעם להתערב בה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הדברים הובאו על מנת להצביע על משקל התוספת הראייתית הנדרשת</w:t>
      </w:r>
      <w:r>
        <w:rPr>
          <w:rtl w:val="true"/>
        </w:rPr>
        <w:t xml:space="preserve">, </w:t>
      </w:r>
      <w:r>
        <w:rPr>
          <w:rtl w:val="true"/>
        </w:rPr>
        <w:t>במסגרת המבחן החיצוני</w:t>
      </w:r>
      <w:r>
        <w:rPr>
          <w:rtl w:val="true"/>
        </w:rPr>
        <w:t xml:space="preserve">: </w:t>
      </w:r>
      <w:r>
        <w:rPr>
          <w:rtl w:val="true"/>
        </w:rPr>
        <w:t>אין מדובר במקרה שבו מיוחסת להודאת המערער מהימנות פחותה</w:t>
      </w:r>
      <w:r>
        <w:rPr>
          <w:rtl w:val="true"/>
        </w:rPr>
        <w:t xml:space="preserve">, </w:t>
      </w:r>
      <w:r>
        <w:rPr>
          <w:rtl w:val="true"/>
        </w:rPr>
        <w:t>בגדרו נדרשת</w:t>
      </w:r>
      <w:r>
        <w:rPr>
          <w:rtl w:val="true"/>
        </w:rPr>
        <w:t xml:space="preserve">, </w:t>
      </w:r>
      <w:r>
        <w:rPr>
          <w:rtl w:val="true"/>
        </w:rPr>
        <w:t>במסגרת המבחן החיצוני</w:t>
      </w:r>
      <w:r>
        <w:rPr>
          <w:rtl w:val="true"/>
        </w:rPr>
        <w:t xml:space="preserve">, </w:t>
      </w:r>
      <w:r>
        <w:rPr>
          <w:rtl w:val="true"/>
        </w:rPr>
        <w:t>תוספת ראייתית בעלת משקל גבוה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הסרטונים שתיעדו את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ושקרי המערער בחקירותיו ובעדותו בבית המשפט קמא </w:t>
      </w:r>
      <w:r>
        <w:rPr>
          <w:rtl w:val="true"/>
        </w:rPr>
        <w:t>–</w:t>
      </w:r>
      <w:r>
        <w:rPr>
          <w:rtl w:val="true"/>
        </w:rPr>
        <w:t xml:space="preserve"> מהווים תוספת ראייתית מספקת </w:t>
      </w:r>
      <w:r>
        <w:rPr>
          <w:rtl w:val="true"/>
        </w:rPr>
        <w:t>(</w:t>
      </w:r>
      <w:r>
        <w:rPr>
          <w:rtl w:val="true"/>
        </w:rPr>
        <w:t>ואף מעבר לכך</w:t>
      </w:r>
      <w:r>
        <w:rPr>
          <w:rtl w:val="true"/>
        </w:rPr>
        <w:t xml:space="preserve">) </w:t>
      </w:r>
      <w:r>
        <w:rPr>
          <w:rtl w:val="true"/>
        </w:rPr>
        <w:t>לעניין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הסרטונים המתעדים את מעורבות המערער באירוע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דבר מה נוסף מספק לתמיכה בגרסת שתי המכות שמסר המערער בחקירתו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קבע בית משפט קמא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ההדרגתי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באחרונים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שהצטרף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התוקפים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אתנחתא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ובקרבת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הניידת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מהפורעים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מתיישב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בהשתתפות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בתקיפת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לנוסעי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מתיישב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היכרות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בפרטיהם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ההודאה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כוזבת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ומצדיק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כמבואר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לכזבים שנמצאו בגרסאות המערער </w:t>
      </w:r>
      <w:r>
        <w:rPr>
          <w:rtl w:val="true"/>
        </w:rPr>
        <w:t>–</w:t>
      </w:r>
      <w:r>
        <w:rPr>
          <w:rtl w:val="true"/>
        </w:rPr>
        <w:t xml:space="preserve"> הפסיקה קבעה בעבר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כשלעצמם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לתמיכה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בהודאתו</w:t>
      </w:r>
      <w:r>
        <w:rPr>
          <w:rtl w:val="true"/>
        </w:rPr>
        <w:t>" 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31.12.2019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רמילאת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93" w:end="0"/>
        <w:jc w:val="both"/>
        <w:rPr/>
      </w:pPr>
      <w:r>
        <w:rPr>
          <w:rtl w:val="true"/>
        </w:rPr>
        <w:t>בחקירות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93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93" w:end="0"/>
        <w:jc w:val="both"/>
        <w:rPr/>
      </w:pPr>
      <w:r>
        <w:rPr>
          <w:rtl w:val="true"/>
        </w:rPr>
        <w:t>שינויי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הדומה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הראשוניות</w:t>
      </w:r>
      <w:r>
        <w:rPr>
          <w:rtl w:val="true"/>
        </w:rPr>
        <w:t xml:space="preserve">),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פאסן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זבל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ייפתח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סקרנות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: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לפצועים</w:t>
      </w:r>
      <w:r>
        <w:rPr>
          <w:rtl w:val="true"/>
        </w:rPr>
        <w:t xml:space="preserve">;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ראח</w:t>
      </w:r>
      <w:r>
        <w:rPr>
          <w:rtl w:val="true"/>
        </w:rPr>
        <w:t xml:space="preserve">; </w:t>
      </w:r>
      <w:r>
        <w:rPr>
          <w:rtl w:val="true"/>
        </w:rPr>
        <w:t>ובגרסת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מסקרנות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start="793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93" w:end="0"/>
        <w:jc w:val="both"/>
        <w:rPr/>
      </w:pP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הטרמפיסטים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הטרמפיסטים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הטרמפיסט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הטרמפיסטים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הטרמפיסטים</w:t>
      </w:r>
      <w:r>
        <w:rPr>
          <w:rtl w:val="true"/>
        </w:rPr>
        <w:t xml:space="preserve">, </w:t>
      </w:r>
      <w:r>
        <w:rPr>
          <w:rtl w:val="true"/>
        </w:rPr>
        <w:t>משוחח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93" w:end="0"/>
        <w:jc w:val="both"/>
        <w:rPr/>
      </w:pP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הפורעים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שיתרחקו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הפורעים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שנמצאו סתירות רבות בגרסאות המערער</w:t>
      </w:r>
      <w:r>
        <w:rPr>
          <w:rtl w:val="true"/>
        </w:rPr>
        <w:t xml:space="preserve">, </w:t>
      </w:r>
      <w:r>
        <w:rPr>
          <w:rtl w:val="true"/>
        </w:rPr>
        <w:t>וגרסאות שאינן מתיישבות עם הסרטונים אשר צילמו את השתלשלות האירוע</w:t>
      </w:r>
      <w:r>
        <w:rPr>
          <w:rtl w:val="true"/>
        </w:rPr>
        <w:t xml:space="preserve">. </w:t>
      </w:r>
      <w:r>
        <w:rPr>
          <w:rtl w:val="true"/>
        </w:rPr>
        <w:t>אין זאת אלא שהמערער מסר גרסאות כוזבות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לגבי עצם נוכחותו באירוע ומקום הימצאו</w:t>
      </w:r>
      <w:r>
        <w:rPr>
          <w:rtl w:val="true"/>
        </w:rPr>
        <w:t xml:space="preserve">, </w:t>
      </w:r>
      <w:r>
        <w:rPr>
          <w:rtl w:val="true"/>
        </w:rPr>
        <w:t>הסיבה לנוכחותו באירוע</w:t>
      </w:r>
      <w:r>
        <w:rPr>
          <w:rtl w:val="true"/>
        </w:rPr>
        <w:t xml:space="preserve">, </w:t>
      </w:r>
      <w:r>
        <w:rPr>
          <w:rtl w:val="true"/>
        </w:rPr>
        <w:t>וזהות הטרמפיסטים ששהו איתו ברכב</w:t>
      </w:r>
      <w:r>
        <w:rPr>
          <w:rtl w:val="true"/>
        </w:rPr>
        <w:t xml:space="preserve">. </w:t>
      </w:r>
      <w:r>
        <w:rPr>
          <w:rtl w:val="true"/>
        </w:rPr>
        <w:t xml:space="preserve">מדובר בפרטים מהותיים ומשמעותיים של האירוע </w:t>
      </w:r>
      <w:r>
        <w:rPr>
          <w:rtl w:val="true"/>
        </w:rPr>
        <w:t>(</w:t>
      </w:r>
      <w:r>
        <w:rPr>
          <w:rtl w:val="true"/>
        </w:rPr>
        <w:t>ויצוין כי הנ</w:t>
      </w:r>
      <w:r>
        <w:rPr>
          <w:rtl w:val="true"/>
        </w:rPr>
        <w:t>"</w:t>
      </w:r>
      <w:r>
        <w:rPr>
          <w:rtl w:val="true"/>
        </w:rPr>
        <w:t>ל מהווים רשימה חלקית בלבד של הסתירות והכזבים שמצא בית המשפט בעדותו של המערער</w:t>
      </w:r>
      <w:r>
        <w:rPr>
          <w:rtl w:val="true"/>
        </w:rPr>
        <w:t xml:space="preserve">).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אין לי אלא להצטרף למסקנת בית משפט קמא</w:t>
      </w:r>
      <w:r>
        <w:rPr>
          <w:rtl w:val="true"/>
        </w:rPr>
        <w:t xml:space="preserve">, </w:t>
      </w:r>
      <w:r>
        <w:rPr>
          <w:rtl w:val="true"/>
        </w:rPr>
        <w:t>שלפיה הכזבים בדברי המערער</w:t>
      </w:r>
      <w:r>
        <w:rPr>
          <w:rtl w:val="true"/>
        </w:rPr>
        <w:t xml:space="preserve">, </w:t>
      </w:r>
      <w:r>
        <w:rPr>
          <w:rtl w:val="true"/>
        </w:rPr>
        <w:t>אשר להם לא סיפק כל הסבר מניח את הדעת</w:t>
      </w:r>
      <w:r>
        <w:rPr>
          <w:rtl w:val="true"/>
        </w:rPr>
        <w:t xml:space="preserve">, </w:t>
      </w:r>
      <w:r>
        <w:rPr>
          <w:rtl w:val="true"/>
        </w:rPr>
        <w:t>מהווים אף הם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דבר מה נוסף לתמיכה בהודאת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numPr>
          <w:ilvl w:val="0"/>
          <w:numId w:val="3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מחדלי החקירה</w:t>
      </w:r>
      <w:r>
        <w:rPr>
          <w:rtl w:val="true"/>
        </w:rPr>
        <w:t xml:space="preserve">, </w:t>
      </w:r>
      <w:r>
        <w:rPr>
          <w:rtl w:val="true"/>
        </w:rPr>
        <w:t>המערער מלין</w:t>
      </w:r>
      <w:r>
        <w:rPr>
          <w:rtl w:val="true"/>
        </w:rPr>
        <w:t xml:space="preserve">,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על קביעת בית משפט קמא כי אין לייחס משקל ל</w:t>
      </w:r>
      <w:r>
        <w:rPr>
          <w:rtl w:val="true"/>
        </w:rPr>
        <w:t>-"</w:t>
      </w:r>
      <w:r>
        <w:rPr>
          <w:rtl w:val="true"/>
        </w:rPr>
        <w:t>מחדל חקירה</w:t>
      </w:r>
      <w:r>
        <w:rPr>
          <w:rtl w:val="true"/>
        </w:rPr>
        <w:t xml:space="preserve">" </w:t>
      </w:r>
      <w:r>
        <w:rPr>
          <w:rtl w:val="true"/>
        </w:rPr>
        <w:t>באיתור מצלמות נוספות המתעדות את האירוע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הצביע על מצלמה קונקרטית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מעבר למצלמות מהן התקבלו הסרטונים הקיימים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פעלה בעת האירוע וכיסתה את אזור ההתרחשות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שניתן בהליך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פי בקשת המערער לפי </w:t>
      </w:r>
      <w:hyperlink r:id="rId6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 שיפוטי אשר הורה למספר גורמים שלישיים למסור למערער סרטונים מזירת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ככל שאלו מצויים בידיהם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החלטה מיום </w:t>
      </w:r>
      <w:r>
        <w:rPr>
          <w:rFonts w:cs="Century" w:ascii="Century" w:hAnsi="Century"/>
        </w:rPr>
        <w:t>9.11.2021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לא המציא כל תוצר שהתקבל כתוצאה מהצו האמור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בהינתן קיומם של סרטונים אחרים המתעדים את זירת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הרי שלכל היותר עסקינן בטענה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מיצויו של כיוון חקירתי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נקיטה בו או זניחתו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בפסיקה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מעמיקה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פירושה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שנפלו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בחקירה</w:t>
      </w:r>
      <w:r>
        <w:rPr>
          <w:rFonts w:cs="Century" w:ascii="Century" w:hAnsi="Century"/>
          <w:rtl w:val="true"/>
        </w:rPr>
        <w:t>" (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1643/10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נבו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25.1.2015</w:t>
      </w:r>
      <w:r>
        <w:rPr>
          <w:rFonts w:cs="Century" w:ascii="Century" w:hAnsi="Century"/>
          <w:rtl w:val="true"/>
        </w:rPr>
        <w:t xml:space="preserve">); 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2478/12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13.5.2015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אם אניח לטובת המערער כי נפלו מחדלים בחקירה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ואיני קובע כך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הלכה היא כי אין די במחדלי חקירה על מנת להביא לזיכויו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יש לבחון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הנטענים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להתמודד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קופחה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הוגן</w:t>
      </w:r>
      <w:r>
        <w:rPr>
          <w:rFonts w:cs="Century" w:ascii="Century" w:hAnsi="Century"/>
          <w:rtl w:val="true"/>
        </w:rPr>
        <w:t>" (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5633/12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10.7.2013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בסיס לסברה כי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איתורן של מצלמות נוספות הביא לפגיעה כה חמורה בהגנתו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יש בה כדי להביא לזיכויו מהעבירות המיוחסות 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כמפורט בהרחבה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שלוש הטענות העומדות בבסיס הערעור על הכרעת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דינן דחייה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הודאת המערער קבילה על פי דוקטרינת הפסילה הפסיקתית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הסרטונים והכזבים בדברי המערער מהווים דבר מה נוסף לתמיכה בהודאת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ולא נפל בחקירה כל מחדל שהינו בעל פוטנציאל להביא לזיכויו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משכך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 לדחות את הערעור על הכרעת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keepNext w:val="true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keepNext w:val="true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הלכה היא כי </w:t>
      </w:r>
      <w:r>
        <w:rPr>
          <w:rtl w:val="true"/>
        </w:rPr>
        <w:t>אין זו דרכה של ערכאת הערעור להתערב במידת העונש שגזר</w:t>
      </w:r>
      <w:r>
        <w:rPr>
          <w:rtl w:val="true"/>
        </w:rPr>
        <w:t xml:space="preserve"> בית המשפט קמא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ניכרת סטייה קיצונית ובולטת ממדיניות הענישה המקובלת בנסיבות דומות</w:t>
      </w:r>
      <w:r>
        <w:rPr>
          <w:rtl w:val="true"/>
        </w:rPr>
        <w:t xml:space="preserve">, </w:t>
      </w:r>
      <w:r>
        <w:rPr>
          <w:rtl w:val="true"/>
        </w:rPr>
        <w:t>או כאשר נפלה על פני הדברים טעות מהותית בגזר 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3371/17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‏</w:t>
      </w:r>
      <w:r>
        <w:rPr>
          <w:rtl w:val="true"/>
        </w:rPr>
        <w:t>(</w:t>
      </w:r>
      <w:r>
        <w:rPr/>
        <w:t>3.7.2018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שמהווה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144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>" (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901/22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24.2.2022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: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5.12.2005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634/23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; 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3982/22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27.10.2022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מתחם הענישה שנקבע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הגם שהינו רחב מהרצוי </w:t>
      </w:r>
      <w:r>
        <w:rPr>
          <w:rtl w:val="true"/>
        </w:rPr>
        <w:t>(</w:t>
      </w:r>
      <w:r>
        <w:rPr/>
        <w:t>84-34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הולם את החומרה המיוחסת לעבירות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וייתכן כי הוא אף על הצד הנמוך </w:t>
      </w:r>
      <w:r>
        <w:rPr>
          <w:rtl w:val="true"/>
        </w:rPr>
        <w:t>(</w:t>
      </w:r>
      <w:r>
        <w:rPr>
          <w:rtl w:val="true"/>
        </w:rPr>
        <w:t>בכל הנוגע לרף התחתון שלו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מלין על כך שמתחם הענישה שנקבע בעניינו אינו הולם את חלקו המועט</w:t>
      </w:r>
      <w:r>
        <w:rPr>
          <w:rtl w:val="true"/>
        </w:rPr>
        <w:t xml:space="preserve">, </w:t>
      </w:r>
      <w:r>
        <w:rPr>
          <w:rtl w:val="true"/>
        </w:rPr>
        <w:t>באופן יחסי</w:t>
      </w:r>
      <w:r>
        <w:rPr>
          <w:rtl w:val="true"/>
        </w:rPr>
        <w:t xml:space="preserve">, </w:t>
      </w:r>
      <w:r>
        <w:rPr>
          <w:rtl w:val="true"/>
        </w:rPr>
        <w:t>באירוע הלינץ</w:t>
      </w:r>
      <w:r>
        <w:rPr>
          <w:rtl w:val="true"/>
        </w:rPr>
        <w:t xml:space="preserve">'.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בגזר דינו של בית המשפט המחוזי ניתן משקל לחלקו היחסי של המערער באירוע </w:t>
      </w:r>
      <w:r>
        <w:rPr>
          <w:rtl w:val="true"/>
        </w:rPr>
        <w:t>–</w:t>
      </w:r>
      <w:r>
        <w:rPr>
          <w:rtl w:val="true"/>
        </w:rPr>
        <w:t xml:space="preserve"> הן ביחס למעורבים אחרים באירוע </w:t>
      </w:r>
      <w:r>
        <w:rPr>
          <w:rtl w:val="true"/>
        </w:rPr>
        <w:t>(</w:t>
      </w:r>
      <w:r>
        <w:rPr>
          <w:rtl w:val="true"/>
        </w:rPr>
        <w:t xml:space="preserve">פסקאות </w:t>
      </w:r>
      <w:r>
        <w:rPr/>
        <w:t>21-20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 </w:t>
      </w:r>
      <w:r>
        <w:rPr>
          <w:rtl w:val="true"/>
        </w:rPr>
        <w:t>מושא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והן ביחס לפסיקה קודמת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ומתחם הענישה נקבע בהתאם לכך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לעניין זה די להזכיר מספר פסקי דין שניתנו בבית משפט זה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hyperlink r:id="rId7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5633/22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28.11.2022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החמיר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עונשו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רמי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סלאח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Century"/>
          <w:sz w:val="22"/>
          <w:sz w:val="22"/>
          <w:rtl w:val="true"/>
        </w:rPr>
        <w:t>שש שנות מאסר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הורשע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הודאתו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בהשתתפות בלינץ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נגד זוג יהודים על רקע לאומני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במסגרתו תקף אל דין את המתלונן בבעיטות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יצויין כי בתיק זה אל דין הורשע גם באישום 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בגין אירוע של תקיפת כוחות ביטחון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hyperlink r:id="rId7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634/23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עסק בעניינם של נאשמים אחרים באירוע מושא כתב האישום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הוחמר עונשו של המשיב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איברהים זעתרי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בגדרי ערעור המדינה על קולת העונש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לחמש וחצי שנות מאסר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זעתרי הכה את המתלונן בבעיטות בזמן שהיה שרוע על הקרקע ודימם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זרק על גופו עגלת סופרמרקט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בפסק הדין ב</w:t>
      </w:r>
      <w:r>
        <w:rPr>
          <w:rFonts w:cs="Century" w:ascii="Century" w:hAnsi="Century"/>
          <w:sz w:val="22"/>
          <w:rtl w:val="true"/>
        </w:rPr>
        <w:t>-</w:t>
      </w:r>
      <w:hyperlink r:id="rId7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634/23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הודגשה חומרת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ונקבע כי החמרת העונש היא לחמש וחצי שנות מאסר בלבד בשל הכלל כי ערכאת הערעור אינה ממצה את מלוא חומרת הדין עם הנאשם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hyperlink r:id="rId7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6894/22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אסכאפי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15.8.2023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נדחה ערעורם של שני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שנותר על כנו העונש שנגזר עליהם בבית המשפט המחוזי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שמונה שנות מאסר על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אסכאפי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ולאסכאפי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עבירות 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פעולה או עסקה בנשק למטרות טרור ומעשה טרור של חבלה בכוונה מחמירה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יצויין כי על נאשם נוסף שהורשע בהליך הפלילי בעניין זה נגזרו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שבע שנות מאסר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והוא לא ערער על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כתב האישום בגינו הורשעו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שתואר בפסק דינו של בית משפט זה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שהתרחשו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2021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בעיצומו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והתפרעויות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לאומני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גזעני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יוחסו למערערים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באותה 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מעשים של בעיטות ודחיפות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יידוי בקבוקי תבערה ואבנים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הכאה באמצעות אבנים ומקלות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השלכת בקבוקי זכוכית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הצתת קטנוע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ושדידת קטנוע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7848/22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2.5.2023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נדחה ערעור על חומרת העונש שהוטל בבית המשפט המחוזי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בגין הרשעתו של המערער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לטענת המערער בעניין הבדלים בחומרת הענישה בין ערבים ליהודים המבצעים עבירות דומות </w:t>
      </w:r>
      <w:r>
        <w:rPr>
          <w:rtl w:val="true"/>
        </w:rPr>
        <w:t>(</w:t>
      </w:r>
      <w:r>
        <w:rPr>
          <w:rtl w:val="true"/>
        </w:rPr>
        <w:t>לינץ</w:t>
      </w:r>
      <w:r>
        <w:rPr>
          <w:rtl w:val="true"/>
        </w:rPr>
        <w:t xml:space="preserve">' </w:t>
      </w:r>
      <w:r>
        <w:rPr>
          <w:rtl w:val="true"/>
        </w:rPr>
        <w:t>על רקע לאומני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טענה זו</w:t>
      </w:r>
      <w:r>
        <w:rPr>
          <w:rtl w:val="true"/>
        </w:rPr>
        <w:t xml:space="preserve">, </w:t>
      </w:r>
      <w:r>
        <w:rPr>
          <w:rtl w:val="true"/>
        </w:rPr>
        <w:t>אילו היה בה ממש</w:t>
      </w:r>
      <w:r>
        <w:rPr>
          <w:rtl w:val="true"/>
        </w:rPr>
        <w:t xml:space="preserve">, </w:t>
      </w:r>
      <w:r>
        <w:rPr>
          <w:rtl w:val="true"/>
        </w:rPr>
        <w:t>הינה טענה חמורה שאין להקל בה ראש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ספק אם אכן קיים בסיס לטענה זו</w:t>
      </w:r>
      <w:r>
        <w:rPr>
          <w:rtl w:val="true"/>
        </w:rPr>
        <w:t xml:space="preserve">. </w:t>
      </w:r>
      <w:r>
        <w:rPr>
          <w:rtl w:val="true"/>
        </w:rPr>
        <w:t>די לעניין זה להפנות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לגזר הדין שניתן ב</w:t>
      </w:r>
      <w:r>
        <w:rPr>
          <w:rtl w:val="true"/>
        </w:rPr>
        <w:t>-</w:t>
      </w:r>
      <w:hyperlink r:id="rId8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62030-05-21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13.9.2023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בגדרו נגזרו על שניים מהנאשמים עונשים חמורים של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שנות מאסר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הנאשם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ושל </w:t>
      </w:r>
      <w:r>
        <w:rPr>
          <w:rFonts w:cs="Century" w:ascii="Century" w:hAnsi="Century"/>
          <w:sz w:val="22"/>
        </w:rPr>
        <w:t>4.5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שנות מאסר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הנאשם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בגין אירוע אלימות חמור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כלפי עובר אורח ערבי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רקע לאומני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יצויין כי הוגשו ערעורים על פסקי הדין בהליך זה</w:t>
      </w:r>
      <w:r>
        <w:rPr>
          <w:rtl w:val="true"/>
        </w:rPr>
        <w:t xml:space="preserve">, </w:t>
      </w:r>
      <w:r>
        <w:rPr>
          <w:rtl w:val="true"/>
        </w:rPr>
        <w:t xml:space="preserve">ואלו תלויים ועומדים בפני בית משפט זה </w:t>
      </w:r>
      <w:r>
        <w:rPr>
          <w:rtl w:val="true"/>
        </w:rPr>
        <w:t>(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1415/24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8114/23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7641/23</w:t>
        </w:r>
      </w:hyperlink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על יסוד הטעמים המפורטים לעיל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אציע לחבריי </w:t>
      </w:r>
      <w:r>
        <w:rPr>
          <w:rtl w:val="true"/>
        </w:rPr>
        <w:t>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ממלא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הנשיא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16"/>
          <w:szCs w:val="22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הוחלט כאמור בפסק דינו של השופט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כשר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21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29.7.2024</w:t>
      </w:r>
      <w:r>
        <w:rPr>
          <w:rFonts w:cs="Century" w:ascii="Century" w:hAnsi="Century"/>
          <w:rtl w:val="true"/>
        </w:rPr>
        <w:t xml:space="preserve">). </w:t>
      </w:r>
      <w:bookmarkEnd w:id="21"/>
    </w:p>
    <w:p>
      <w:pPr>
        <w:pStyle w:val="Ruller41"/>
        <w:ind w:end="0"/>
        <w:jc w:val="both"/>
        <w:rPr/>
      </w:pPr>
      <w:r>
        <w:rPr>
          <w:rFonts w:cs="Century" w:ascii="Century" w:hAnsi="Century"/>
          <w:color w:val="FFFFFF"/>
          <w:sz w:val="2"/>
          <w:szCs w:val="2"/>
        </w:rPr>
        <w:t>5129371</w:t>
      </w: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312"/>
        <w:gridCol w:w="3264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</w:p>
        </w:tc>
        <w:tc>
          <w:tcPr>
            <w:tcW w:w="231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3264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23049950</w:t>
      </w:r>
      <w:r>
        <w:rPr>
          <w:sz w:val="16"/>
          <w:rtl w:val="true"/>
        </w:rPr>
        <w:t>_</w:t>
      </w:r>
      <w:r>
        <w:rPr>
          <w:sz w:val="16"/>
        </w:rPr>
        <w:t>L06.docx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54678313-4995/23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6"/>
      <w:footerReference w:type="default" r:id="rId8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4995/23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1521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term3">
    <w:name w:val="term_3"/>
    <w:basedOn w:val="DefaultParagraph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221628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329.a.1.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40ja.7" TargetMode="External"/><Relationship Id="rId11" Type="http://schemas.openxmlformats.org/officeDocument/2006/relationships/hyperlink" Target="http://www.nevo.co.il/law/141771" TargetMode="External"/><Relationship Id="rId12" Type="http://schemas.openxmlformats.org/officeDocument/2006/relationships/hyperlink" Target="http://www.nevo.co.il/law/141771/1" TargetMode="External"/><Relationship Id="rId13" Type="http://schemas.openxmlformats.org/officeDocument/2006/relationships/hyperlink" Target="http://www.nevo.co.il/law/141771/37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2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08" TargetMode="External"/><Relationship Id="rId18" Type="http://schemas.openxmlformats.org/officeDocument/2006/relationships/hyperlink" Target="http://www.nevo.co.il/case/29221628" TargetMode="External"/><Relationship Id="rId19" Type="http://schemas.openxmlformats.org/officeDocument/2006/relationships/hyperlink" Target="http://www.nevo.co.il/law/70301/329.a.1.;329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141771/37" TargetMode="External"/><Relationship Id="rId22" Type="http://schemas.openxmlformats.org/officeDocument/2006/relationships/hyperlink" Target="http://www.nevo.co.il/law/141771" TargetMode="External"/><Relationship Id="rId23" Type="http://schemas.openxmlformats.org/officeDocument/2006/relationships/hyperlink" Target="http://www.nevo.co.il/law/98569/12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98569/12" TargetMode="External"/><Relationship Id="rId26" Type="http://schemas.openxmlformats.org/officeDocument/2006/relationships/hyperlink" Target="http://www.nevo.co.il/law/98569" TargetMode="External"/><Relationship Id="rId27" Type="http://schemas.openxmlformats.org/officeDocument/2006/relationships/hyperlink" Target="http://www.nevo.co.il/law/70301/329.a.1" TargetMode="External"/><Relationship Id="rId28" Type="http://schemas.openxmlformats.org/officeDocument/2006/relationships/hyperlink" Target="http://www.nevo.co.il/law/70301/329.a.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141771/37" TargetMode="External"/><Relationship Id="rId32" Type="http://schemas.openxmlformats.org/officeDocument/2006/relationships/hyperlink" Target="http://www.nevo.co.il/law/141771/1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8271730" TargetMode="External"/><Relationship Id="rId36" Type="http://schemas.openxmlformats.org/officeDocument/2006/relationships/hyperlink" Target="http://www.nevo.co.il/case/28271730" TargetMode="External"/><Relationship Id="rId37" Type="http://schemas.openxmlformats.org/officeDocument/2006/relationships/hyperlink" Target="http://www.nevo.co.il/law/70301/40ja.7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883040" TargetMode="External"/><Relationship Id="rId40" Type="http://schemas.openxmlformats.org/officeDocument/2006/relationships/hyperlink" Target="http://www.nevo.co.il/law/98569/12" TargetMode="External"/><Relationship Id="rId41" Type="http://schemas.openxmlformats.org/officeDocument/2006/relationships/hyperlink" Target="http://www.nevo.co.il/law/98569" TargetMode="External"/><Relationship Id="rId42" Type="http://schemas.openxmlformats.org/officeDocument/2006/relationships/hyperlink" Target="http://www.nevo.co.il/law/98569/12" TargetMode="External"/><Relationship Id="rId43" Type="http://schemas.openxmlformats.org/officeDocument/2006/relationships/hyperlink" Target="http://www.nevo.co.il/law/98569" TargetMode="External"/><Relationship Id="rId44" Type="http://schemas.openxmlformats.org/officeDocument/2006/relationships/hyperlink" Target="http://www.nevo.co.il/case/5758526" TargetMode="External"/><Relationship Id="rId45" Type="http://schemas.openxmlformats.org/officeDocument/2006/relationships/hyperlink" Target="http://www.nevo.co.il/case/5774620" TargetMode="External"/><Relationship Id="rId46" Type="http://schemas.openxmlformats.org/officeDocument/2006/relationships/hyperlink" Target="http://www.nevo.co.il/safrut/bookgroup/4173" TargetMode="External"/><Relationship Id="rId47" Type="http://schemas.openxmlformats.org/officeDocument/2006/relationships/hyperlink" Target="http://www.nevo.co.il/law/98569/12" TargetMode="External"/><Relationship Id="rId48" Type="http://schemas.openxmlformats.org/officeDocument/2006/relationships/hyperlink" Target="http://www.nevo.co.il/law/98569" TargetMode="External"/><Relationship Id="rId49" Type="http://schemas.openxmlformats.org/officeDocument/2006/relationships/hyperlink" Target="http://www.nevo.co.il/case/5751283" TargetMode="External"/><Relationship Id="rId50" Type="http://schemas.openxmlformats.org/officeDocument/2006/relationships/hyperlink" Target="http://www.nevo.co.il/case/20352508" TargetMode="External"/><Relationship Id="rId51" Type="http://schemas.openxmlformats.org/officeDocument/2006/relationships/hyperlink" Target="http://www.nevo.co.il/case/27107961" TargetMode="External"/><Relationship Id="rId52" Type="http://schemas.openxmlformats.org/officeDocument/2006/relationships/hyperlink" Target="http://www.nevo.co.il/case/20329656" TargetMode="External"/><Relationship Id="rId53" Type="http://schemas.openxmlformats.org/officeDocument/2006/relationships/hyperlink" Target="http://www.nevo.co.il/case/17944682" TargetMode="External"/><Relationship Id="rId54" Type="http://schemas.openxmlformats.org/officeDocument/2006/relationships/hyperlink" Target="http://www.nevo.co.il/case/29490938" TargetMode="External"/><Relationship Id="rId55" Type="http://schemas.openxmlformats.org/officeDocument/2006/relationships/hyperlink" Target="http://www.nevo.co.il/case/29042839" TargetMode="External"/><Relationship Id="rId56" Type="http://schemas.openxmlformats.org/officeDocument/2006/relationships/hyperlink" Target="http://www.nevo.co.il/case/6144887" TargetMode="External"/><Relationship Id="rId57" Type="http://schemas.openxmlformats.org/officeDocument/2006/relationships/hyperlink" Target="http://www.nevo.co.il/case/17931422" TargetMode="External"/><Relationship Id="rId58" Type="http://schemas.openxmlformats.org/officeDocument/2006/relationships/hyperlink" Target="http://www.nevo.co.il/case/18718494" TargetMode="External"/><Relationship Id="rId59" Type="http://schemas.openxmlformats.org/officeDocument/2006/relationships/hyperlink" Target="http://www.nevo.co.il/case/20666422" TargetMode="External"/><Relationship Id="rId60" Type="http://schemas.openxmlformats.org/officeDocument/2006/relationships/hyperlink" Target="http://www.nevo.co.il/case/5770260" TargetMode="External"/><Relationship Id="rId61" Type="http://schemas.openxmlformats.org/officeDocument/2006/relationships/hyperlink" Target="http://www.nevo.co.il/case/5583777" TargetMode="External"/><Relationship Id="rId62" Type="http://schemas.openxmlformats.org/officeDocument/2006/relationships/hyperlink" Target="http://www.nevo.co.il/case/5675516" TargetMode="External"/><Relationship Id="rId63" Type="http://schemas.openxmlformats.org/officeDocument/2006/relationships/hyperlink" Target="http://www.nevo.co.il/case/22637150" TargetMode="External"/><Relationship Id="rId64" Type="http://schemas.openxmlformats.org/officeDocument/2006/relationships/hyperlink" Target="http://www.nevo.co.il/law/74903/108" TargetMode="External"/><Relationship Id="rId65" Type="http://schemas.openxmlformats.org/officeDocument/2006/relationships/hyperlink" Target="http://www.nevo.co.il/law/74903" TargetMode="External"/><Relationship Id="rId66" Type="http://schemas.openxmlformats.org/officeDocument/2006/relationships/hyperlink" Target="http://www.nevo.co.il/case/6243705" TargetMode="External"/><Relationship Id="rId67" Type="http://schemas.openxmlformats.org/officeDocument/2006/relationships/hyperlink" Target="http://www.nevo.co.il/case/5580687" TargetMode="External"/><Relationship Id="rId68" Type="http://schemas.openxmlformats.org/officeDocument/2006/relationships/hyperlink" Target="http://www.nevo.co.il/case/6246489" TargetMode="External"/><Relationship Id="rId69" Type="http://schemas.openxmlformats.org/officeDocument/2006/relationships/hyperlink" Target="http://www.nevo.co.il/case/22546596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28296934" TargetMode="External"/><Relationship Id="rId72" Type="http://schemas.openxmlformats.org/officeDocument/2006/relationships/hyperlink" Target="http://www.nevo.co.il/case/5823680" TargetMode="External"/><Relationship Id="rId73" Type="http://schemas.openxmlformats.org/officeDocument/2006/relationships/hyperlink" Target="http://www.nevo.co.il/case/29329871" TargetMode="External"/><Relationship Id="rId74" Type="http://schemas.openxmlformats.org/officeDocument/2006/relationships/hyperlink" Target="http://www.nevo.co.il/case/28681545" TargetMode="External"/><Relationship Id="rId75" Type="http://schemas.openxmlformats.org/officeDocument/2006/relationships/hyperlink" Target="http://www.nevo.co.il/case/28889052" TargetMode="External"/><Relationship Id="rId76" Type="http://schemas.openxmlformats.org/officeDocument/2006/relationships/hyperlink" Target="http://www.nevo.co.il/case/29329871" TargetMode="External"/><Relationship Id="rId77" Type="http://schemas.openxmlformats.org/officeDocument/2006/relationships/hyperlink" Target="http://www.nevo.co.il/case/29329871" TargetMode="External"/><Relationship Id="rId78" Type="http://schemas.openxmlformats.org/officeDocument/2006/relationships/hyperlink" Target="http://www.nevo.co.il/case/29090109" TargetMode="External"/><Relationship Id="rId79" Type="http://schemas.openxmlformats.org/officeDocument/2006/relationships/hyperlink" Target="http://www.nevo.co.il/case/29145070" TargetMode="External"/><Relationship Id="rId80" Type="http://schemas.openxmlformats.org/officeDocument/2006/relationships/hyperlink" Target="http://www.nevo.co.il/case/27660654" TargetMode="External"/><Relationship Id="rId81" Type="http://schemas.openxmlformats.org/officeDocument/2006/relationships/hyperlink" Target="http://www.nevo.co.il/case/30455131" TargetMode="External"/><Relationship Id="rId82" Type="http://schemas.openxmlformats.org/officeDocument/2006/relationships/hyperlink" Target="http://www.nevo.co.il/case/30188012" TargetMode="External"/><Relationship Id="rId83" Type="http://schemas.openxmlformats.org/officeDocument/2006/relationships/hyperlink" Target="http://www.nevo.co.il/case/30157017" TargetMode="External"/><Relationship Id="rId84" Type="http://schemas.openxmlformats.org/officeDocument/2006/relationships/hyperlink" Target="https://supreme.court.gov.il/" TargetMode="External"/><Relationship Id="rId85" Type="http://schemas.openxmlformats.org/officeDocument/2006/relationships/hyperlink" Target="http://www.nevo.co.il/advertisements/nevo-100.doc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2024-07-30T10:21:00Z</dcterms:created>
  <dc:creator>h4</dc:creator>
  <dc:description/>
  <cp:keywords/>
  <dc:language>en-IL</dc:language>
  <cp:lastModifiedBy>orly</cp:lastModifiedBy>
  <cp:lastPrinted>2024-07-29T12:01:00Z</cp:lastPrinted>
  <dcterms:modified xsi:type="dcterms:W3CDTF">2024-07-30T10:21:00Z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</vt:lpwstr>
  </property>
  <property fmtid="{D5CDD505-2E9C-101B-9397-08002B2CF9AE}" pid="4" name="BOOKGROUPTMP1">
    <vt:lpwstr>4173</vt:lpwstr>
  </property>
  <property fmtid="{D5CDD505-2E9C-101B-9397-08002B2CF9AE}" pid="5" name="CASESLISTTMP1">
    <vt:lpwstr>29221628:2;28271730:2;5883040;5758526;5774620;5751283;20352508;27107961;20329656;17944682;29490938;29042839;6144887;17931422;18718494;20666422;5770260;5583777;5675516;22637150;6243705;5580687;6246489;22546596;28296934;5823680;29329871:3;28681545</vt:lpwstr>
  </property>
  <property fmtid="{D5CDD505-2E9C-101B-9397-08002B2CF9AE}" pid="6" name="CASESLISTTMP2">
    <vt:lpwstr>28889052;29090109;29145070;27660654;30455131;30188012;30157017</vt:lpwstr>
  </property>
  <property fmtid="{D5CDD505-2E9C-101B-9397-08002B2CF9AE}" pid="7" name="DATE">
    <vt:lpwstr>20240729</vt:lpwstr>
  </property>
  <property fmtid="{D5CDD505-2E9C-101B-9397-08002B2CF9AE}" pid="8" name="ISABSTRACT">
    <vt:lpwstr>Y</vt:lpwstr>
  </property>
  <property fmtid="{D5CDD505-2E9C-101B-9397-08002B2CF9AE}" pid="9" name="JUDGE">
    <vt:lpwstr>ד' מינץ;י' כשר;ע' פוגלמן</vt:lpwstr>
  </property>
  <property fmtid="{D5CDD505-2E9C-101B-9397-08002B2CF9AE}" pid="10" name="LAWLISTTMP1">
    <vt:lpwstr>70301/329.a.1:2;329.a.2:2;029;040i;40ja.7</vt:lpwstr>
  </property>
  <property fmtid="{D5CDD505-2E9C-101B-9397-08002B2CF9AE}" pid="11" name="LAWLISTTMP2">
    <vt:lpwstr>141771/037:2;001</vt:lpwstr>
  </property>
  <property fmtid="{D5CDD505-2E9C-101B-9397-08002B2CF9AE}" pid="12" name="LAWLISTTMP3">
    <vt:lpwstr>98569/012:5</vt:lpwstr>
  </property>
  <property fmtid="{D5CDD505-2E9C-101B-9397-08002B2CF9AE}" pid="13" name="LAWLISTTMP4">
    <vt:lpwstr>74903/108</vt:lpwstr>
  </property>
  <property fmtid="{D5CDD505-2E9C-101B-9397-08002B2CF9AE}" pid="14" name="LAWYER">
    <vt:lpwstr>מורן פולמן;חיים בלייכר;ראובן טקו</vt:lpwstr>
  </property>
  <property fmtid="{D5CDD505-2E9C-101B-9397-08002B2CF9AE}" pid="15" name="METAKZER">
    <vt:lpwstr>אהוד</vt:lpwstr>
  </property>
  <property fmtid="{D5CDD505-2E9C-101B-9397-08002B2CF9AE}" pid="16" name="NOSE11">
    <vt:lpwstr>ראיות</vt:lpwstr>
  </property>
  <property fmtid="{D5CDD505-2E9C-101B-9397-08002B2CF9AE}" pid="17" name="NOSE110">
    <vt:lpwstr>ראיות</vt:lpwstr>
  </property>
  <property fmtid="{D5CDD505-2E9C-101B-9397-08002B2CF9AE}" pid="18" name="NOSE111">
    <vt:lpwstr>ראיות</vt:lpwstr>
  </property>
  <property fmtid="{D5CDD505-2E9C-101B-9397-08002B2CF9AE}" pid="19" name="NOSE112">
    <vt:lpwstr>בתי-משפט</vt:lpwstr>
  </property>
  <property fmtid="{D5CDD505-2E9C-101B-9397-08002B2CF9AE}" pid="20" name="NOSE113">
    <vt:lpwstr>דיון פלילי</vt:lpwstr>
  </property>
  <property fmtid="{D5CDD505-2E9C-101B-9397-08002B2CF9AE}" pid="21" name="NOSE114">
    <vt:lpwstr>דיון פלילי</vt:lpwstr>
  </property>
  <property fmtid="{D5CDD505-2E9C-101B-9397-08002B2CF9AE}" pid="22" name="NOSE115">
    <vt:lpwstr>בתי-משפט</vt:lpwstr>
  </property>
  <property fmtid="{D5CDD505-2E9C-101B-9397-08002B2CF9AE}" pid="23" name="NOSE116">
    <vt:lpwstr>עונשין</vt:lpwstr>
  </property>
  <property fmtid="{D5CDD505-2E9C-101B-9397-08002B2CF9AE}" pid="24" name="NOSE117">
    <vt:lpwstr>עונשין</vt:lpwstr>
  </property>
  <property fmtid="{D5CDD505-2E9C-101B-9397-08002B2CF9AE}" pid="25" name="NOSE118">
    <vt:lpwstr/>
  </property>
  <property fmtid="{D5CDD505-2E9C-101B-9397-08002B2CF9AE}" pid="26" name="NOSE119">
    <vt:lpwstr/>
  </property>
  <property fmtid="{D5CDD505-2E9C-101B-9397-08002B2CF9AE}" pid="27" name="NOSE12">
    <vt:lpwstr>ראיות</vt:lpwstr>
  </property>
  <property fmtid="{D5CDD505-2E9C-101B-9397-08002B2CF9AE}" pid="28" name="NOSE120">
    <vt:lpwstr/>
  </property>
  <property fmtid="{D5CDD505-2E9C-101B-9397-08002B2CF9AE}" pid="29" name="NOSE13">
    <vt:lpwstr>ראיות</vt:lpwstr>
  </property>
  <property fmtid="{D5CDD505-2E9C-101B-9397-08002B2CF9AE}" pid="30" name="NOSE14">
    <vt:lpwstr>ראיות</vt:lpwstr>
  </property>
  <property fmtid="{D5CDD505-2E9C-101B-9397-08002B2CF9AE}" pid="31" name="NOSE15">
    <vt:lpwstr>ראיות</vt:lpwstr>
  </property>
  <property fmtid="{D5CDD505-2E9C-101B-9397-08002B2CF9AE}" pid="32" name="NOSE16">
    <vt:lpwstr>ראיות</vt:lpwstr>
  </property>
  <property fmtid="{D5CDD505-2E9C-101B-9397-08002B2CF9AE}" pid="33" name="NOSE17">
    <vt:lpwstr>ראיות</vt:lpwstr>
  </property>
  <property fmtid="{D5CDD505-2E9C-101B-9397-08002B2CF9AE}" pid="34" name="NOSE18">
    <vt:lpwstr>ראיות</vt:lpwstr>
  </property>
  <property fmtid="{D5CDD505-2E9C-101B-9397-08002B2CF9AE}" pid="35" name="NOSE19">
    <vt:lpwstr>ראיות</vt:lpwstr>
  </property>
  <property fmtid="{D5CDD505-2E9C-101B-9397-08002B2CF9AE}" pid="36" name="NOSE1ID">
    <vt:lpwstr>89;89;89;89;89;89;89;89;89;89;89;14;18;18;14;77;77</vt:lpwstr>
  </property>
  <property fmtid="{D5CDD505-2E9C-101B-9397-08002B2CF9AE}" pid="37" name="NOSE21">
    <vt:lpwstr>הודאה</vt:lpwstr>
  </property>
  <property fmtid="{D5CDD505-2E9C-101B-9397-08002B2CF9AE}" pid="38" name="NOSE210">
    <vt:lpwstr>דבר-מה נוסף</vt:lpwstr>
  </property>
  <property fmtid="{D5CDD505-2E9C-101B-9397-08002B2CF9AE}" pid="39" name="NOSE211">
    <vt:lpwstr>דבר-מה נוסף</vt:lpwstr>
  </property>
  <property fmtid="{D5CDD505-2E9C-101B-9397-08002B2CF9AE}" pid="40" name="NOSE212">
    <vt:lpwstr>ערעור</vt:lpwstr>
  </property>
  <property fmtid="{D5CDD505-2E9C-101B-9397-08002B2CF9AE}" pid="41" name="NOSE213">
    <vt:lpwstr>ערעור</vt:lpwstr>
  </property>
  <property fmtid="{D5CDD505-2E9C-101B-9397-08002B2CF9AE}" pid="42" name="NOSE214">
    <vt:lpwstr>חקירה במשטרה</vt:lpwstr>
  </property>
  <property fmtid="{D5CDD505-2E9C-101B-9397-08002B2CF9AE}" pid="43" name="NOSE215">
    <vt:lpwstr>ערעור</vt:lpwstr>
  </property>
  <property fmtid="{D5CDD505-2E9C-101B-9397-08002B2CF9AE}" pid="44" name="NOSE216">
    <vt:lpwstr>ענישה</vt:lpwstr>
  </property>
  <property fmtid="{D5CDD505-2E9C-101B-9397-08002B2CF9AE}" pid="45" name="NOSE217">
    <vt:lpwstr>ענישה</vt:lpwstr>
  </property>
  <property fmtid="{D5CDD505-2E9C-101B-9397-08002B2CF9AE}" pid="46" name="NOSE218">
    <vt:lpwstr/>
  </property>
  <property fmtid="{D5CDD505-2E9C-101B-9397-08002B2CF9AE}" pid="47" name="NOSE219">
    <vt:lpwstr/>
  </property>
  <property fmtid="{D5CDD505-2E9C-101B-9397-08002B2CF9AE}" pid="48" name="NOSE22">
    <vt:lpwstr>הודאה</vt:lpwstr>
  </property>
  <property fmtid="{D5CDD505-2E9C-101B-9397-08002B2CF9AE}" pid="49" name="NOSE220">
    <vt:lpwstr/>
  </property>
  <property fmtid="{D5CDD505-2E9C-101B-9397-08002B2CF9AE}" pid="50" name="NOSE23">
    <vt:lpwstr>הודאה</vt:lpwstr>
  </property>
  <property fmtid="{D5CDD505-2E9C-101B-9397-08002B2CF9AE}" pid="51" name="NOSE24">
    <vt:lpwstr>הודאה</vt:lpwstr>
  </property>
  <property fmtid="{D5CDD505-2E9C-101B-9397-08002B2CF9AE}" pid="52" name="NOSE25">
    <vt:lpwstr>קבילות</vt:lpwstr>
  </property>
  <property fmtid="{D5CDD505-2E9C-101B-9397-08002B2CF9AE}" pid="53" name="NOSE26">
    <vt:lpwstr>קבילות</vt:lpwstr>
  </property>
  <property fmtid="{D5CDD505-2E9C-101B-9397-08002B2CF9AE}" pid="54" name="NOSE27">
    <vt:lpwstr>קבילות</vt:lpwstr>
  </property>
  <property fmtid="{D5CDD505-2E9C-101B-9397-08002B2CF9AE}" pid="55" name="NOSE28">
    <vt:lpwstr>מהימנות</vt:lpwstr>
  </property>
  <property fmtid="{D5CDD505-2E9C-101B-9397-08002B2CF9AE}" pid="56" name="NOSE29">
    <vt:lpwstr>מהימנות</vt:lpwstr>
  </property>
  <property fmtid="{D5CDD505-2E9C-101B-9397-08002B2CF9AE}" pid="57" name="NOSE2ID">
    <vt:lpwstr>1622;1622;1622;1622;1661;1661;1661;1635;1635;1617;1617;333;504;475;333;1446;1446</vt:lpwstr>
  </property>
  <property fmtid="{D5CDD505-2E9C-101B-9397-08002B2CF9AE}" pid="58" name="NOSE31">
    <vt:lpwstr>קבילותה</vt:lpwstr>
  </property>
  <property fmtid="{D5CDD505-2E9C-101B-9397-08002B2CF9AE}" pid="59" name="NOSE310">
    <vt:lpwstr>להודאה מחוץ לכותלי בית-המשפט</vt:lpwstr>
  </property>
  <property fmtid="{D5CDD505-2E9C-101B-9397-08002B2CF9AE}" pid="60" name="NOSE311">
    <vt:lpwstr>קיומו</vt:lpwstr>
  </property>
  <property fmtid="{D5CDD505-2E9C-101B-9397-08002B2CF9AE}" pid="61" name="NOSE312">
    <vt:lpwstr>התערבות במהימנות עדים</vt:lpwstr>
  </property>
  <property fmtid="{D5CDD505-2E9C-101B-9397-08002B2CF9AE}" pid="62" name="NOSE313">
    <vt:lpwstr>אי-התערבות בממצאים עובדתיים</vt:lpwstr>
  </property>
  <property fmtid="{D5CDD505-2E9C-101B-9397-08002B2CF9AE}" pid="63" name="NOSE314">
    <vt:lpwstr>מחדלי חקירה</vt:lpwstr>
  </property>
  <property fmtid="{D5CDD505-2E9C-101B-9397-08002B2CF9AE}" pid="64" name="NOSE315">
    <vt:lpwstr>התערבות במידת העונש</vt:lpwstr>
  </property>
  <property fmtid="{D5CDD505-2E9C-101B-9397-08002B2CF9AE}" pid="65" name="NOSE316">
    <vt:lpwstr>מדיניות ענישה: התערבות ערכאת ערעור</vt:lpwstr>
  </property>
  <property fmtid="{D5CDD505-2E9C-101B-9397-08002B2CF9AE}" pid="66" name="NOSE317">
    <vt:lpwstr>מדיניות ענישה: עבירות אלימות על רקע אידיאולוגי</vt:lpwstr>
  </property>
  <property fmtid="{D5CDD505-2E9C-101B-9397-08002B2CF9AE}" pid="67" name="NOSE318">
    <vt:lpwstr/>
  </property>
  <property fmtid="{D5CDD505-2E9C-101B-9397-08002B2CF9AE}" pid="68" name="NOSE319">
    <vt:lpwstr/>
  </property>
  <property fmtid="{D5CDD505-2E9C-101B-9397-08002B2CF9AE}" pid="69" name="NOSE32">
    <vt:lpwstr>פסילתה</vt:lpwstr>
  </property>
  <property fmtid="{D5CDD505-2E9C-101B-9397-08002B2CF9AE}" pid="70" name="NOSE320">
    <vt:lpwstr/>
  </property>
  <property fmtid="{D5CDD505-2E9C-101B-9397-08002B2CF9AE}" pid="71" name="NOSE33">
    <vt:lpwstr>משקלה</vt:lpwstr>
  </property>
  <property fmtid="{D5CDD505-2E9C-101B-9397-08002B2CF9AE}" pid="72" name="NOSE34">
    <vt:lpwstr>דבר מה נוסף</vt:lpwstr>
  </property>
  <property fmtid="{D5CDD505-2E9C-101B-9397-08002B2CF9AE}" pid="73" name="NOSE35">
    <vt:lpwstr>הודאת נאשם</vt:lpwstr>
  </property>
  <property fmtid="{D5CDD505-2E9C-101B-9397-08002B2CF9AE}" pid="74" name="NOSE36">
    <vt:lpwstr>ראיה שהושגה באמצעים פסולים</vt:lpwstr>
  </property>
  <property fmtid="{D5CDD505-2E9C-101B-9397-08002B2CF9AE}" pid="75" name="NOSE37">
    <vt:lpwstr>הודאה שהושגה בתחבולה</vt:lpwstr>
  </property>
  <property fmtid="{D5CDD505-2E9C-101B-9397-08002B2CF9AE}" pid="76" name="NOSE38">
    <vt:lpwstr>בחינתה על-ידי ערכאת הערעור</vt:lpwstr>
  </property>
  <property fmtid="{D5CDD505-2E9C-101B-9397-08002B2CF9AE}" pid="77" name="NOSE39">
    <vt:lpwstr>התערבות ערכאת ערעור</vt:lpwstr>
  </property>
  <property fmtid="{D5CDD505-2E9C-101B-9397-08002B2CF9AE}" pid="78" name="NOSE3ID">
    <vt:lpwstr>10080;10079;10078;10066;10484;10510;10482;10196;10199;10038;10044;13579;3849;3672;2708;8982;17645</vt:lpwstr>
  </property>
  <property fmtid="{D5CDD505-2E9C-101B-9397-08002B2CF9AE}" pid="79" name="PADIDATE">
    <vt:lpwstr>20240730</vt:lpwstr>
  </property>
  <property fmtid="{D5CDD505-2E9C-101B-9397-08002B2CF9AE}" pid="80" name="PADIMAIL">
    <vt:lpwstr>YES</vt:lpwstr>
  </property>
  <property fmtid="{D5CDD505-2E9C-101B-9397-08002B2CF9AE}" pid="81" name="PROCESS">
    <vt:lpwstr>עפ</vt:lpwstr>
  </property>
  <property fmtid="{D5CDD505-2E9C-101B-9397-08002B2CF9AE}" pid="82" name="PROCNUM">
    <vt:lpwstr>4995</vt:lpwstr>
  </property>
  <property fmtid="{D5CDD505-2E9C-101B-9397-08002B2CF9AE}" pid="83" name="PROCYEAR">
    <vt:lpwstr>23</vt:lpwstr>
  </property>
  <property fmtid="{D5CDD505-2E9C-101B-9397-08002B2CF9AE}" pid="84" name="PSAKDIN">
    <vt:lpwstr>פסק-דין</vt:lpwstr>
  </property>
  <property fmtid="{D5CDD505-2E9C-101B-9397-08002B2CF9AE}" pid="85" name="TYPE">
    <vt:lpwstr>1</vt:lpwstr>
  </property>
  <property fmtid="{D5CDD505-2E9C-101B-9397-08002B2CF9AE}" pid="86" name="TYPE_ABS_DATE">
    <vt:lpwstr>410120240729</vt:lpwstr>
  </property>
  <property fmtid="{D5CDD505-2E9C-101B-9397-08002B2CF9AE}" pid="87" name="TYPE_N_DATE">
    <vt:lpwstr>41020240729</vt:lpwstr>
  </property>
  <property fmtid="{D5CDD505-2E9C-101B-9397-08002B2CF9AE}" pid="88" name="WORDNUMPAGES">
    <vt:lpwstr>27</vt:lpwstr>
  </property>
</Properties>
</file>