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5090/18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34429-09-16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מנדלמן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awTable_End"/>
      <w:bookmarkEnd w:id="6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11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הדר דנציג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רוזנברג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רוני רוזנברג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פורנוגרפיית נקם כהטרדה מינית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מרץ </w:t>
        </w:r>
        <w:r>
          <w:rPr>
            <w:rStyle w:val="Hyperlink"/>
            <w:rFonts w:cs="FrankRuehl" w:ascii="FrankRuehl" w:hAnsi="FrankRuehl"/>
            <w:sz w:val="24"/>
          </w:rPr>
          <w:t>2017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265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דן לראשונה במדיניות הענישה בעבירה של הטרדה מינית על ידי פרסום 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סעיף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למניעת הטרדה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בקובעו כי עבירה זו ראויה לענישה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שיקולי הענישה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והחמיר בעונש שהושת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מתן משקל לראשוניות של הטלת עונש בגין העבירה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 נלוותה גם עבירה של 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ליתר רכיבי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הטרדה מינית על ידי פרסום משפיל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Cs w:val="26"/>
        </w:rPr>
        <w:t>1998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בכך שכפה על קטינה להסכים שיצלם את יחסי המין ביניהם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שהפיץ את התיעוד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הורשע בעבירת 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ובשלוש עבירות הטרדה מינית על ידי פרסום 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סעיף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למניעת הטרדה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מערערת על גזר הדין בו הושת על המשיב 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פיצויים למתלוננת בסך </w:t>
      </w:r>
      <w:r>
        <w:rPr>
          <w:rFonts w:cs="Times New Roman" w:ascii="Times New Roman" w:hAnsi="Times New Roman"/>
          <w:spacing w:val="0"/>
          <w:szCs w:val="26"/>
        </w:rPr>
        <w:t>12,000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פוגלמן ובהסכמת השופטים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בקביעת מתחם העונש ההולם יש להתחשב בכמה 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הערך החברתי שנפגע ומידת הפגיעה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הנהוגה והנסיבות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היה מקום לקבוע מתחם ענישה מחמיר יותר מזה שנקבע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6-24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קביעת המתחם לא ניתן משקל הולם לעבירת ההטרדה המינית על ידי פרסום 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זו ראויה לענישה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לשם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הפצת תיעוד מבזה או משפיל המתמקד במיניות אדם היא תופעה פסולה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ההכרה הציבורית בפסול הגלום בתופעה באה לביטוי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 העבירה של הטרדה מינית על ידי פרסום 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זהו המקרה הראשון שבו נדרש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לעונש הראוי בגין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חשיבות התיקון נעוצה בכך שהפצת פרסום משפיל אינה נתפסת רק כפגיעה בפרטיות של מאן דהוא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חמור מכך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כהטרדה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הנוהג בעבירת סחיטה באיומים גבוה מזה שנקבע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המלמדות על חלקו הארי של המשיב בביצוע בהשוואה לחלקו של שותפו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הנזק הרב שנגרם בפועל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 קביעת מתחם גבוה מכפי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אין מקום לקבוע מסמרות בשאלת גבולות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גם בגדר המתחם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צירוף העבירות כחלק מאירוע אחד ורמת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חורג לקולה במידה המצדיקה התערבות של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ההטרדה המינית היא שיקול להחמרה עם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למניעת הטרדה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הורשע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 על מקרים רבים ברמות חומרה משתנות בהתאם לגורמים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גיל הנפגע</w:t>
      </w:r>
      <w:r>
        <w:rPr>
          <w:rFonts w:cs="Times New Roman" w:ascii="Times New Roman" w:hAnsi="Times New Roman"/>
          <w:spacing w:val="0"/>
          <w:szCs w:val="26"/>
          <w:rtl w:val="true"/>
        </w:rPr>
        <w:t>/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מערכת היחסים בין המפיץ לנפגעת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זהות הנמענים של ההפצה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הסכמה לרכיב בשרשרת המעשים שקדמו להפצה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מועד תכנון ההפצה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יש כמה נסיבות 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הסכמת המתלוננת שהמשיב יצלם את יחסי המין ביניהם וישלח את התיעוד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נבעה ממצג שווא ומסחיטה שהפעיל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הפצת הסרטונים לאנשים נוספים חרגה מאותה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החליט להפיץ את הסרטונים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בטרם קיום יחסי המין ואף הורה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כדי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לנקוב בשם של חברו כדי למען אליו את התיעוד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 והסבל שהמשיב הסב למתלוננת מצדיקים ענישה הולמת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היה מקום להבחין בין המשיב לבין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ההבדלים בנסיבות העניין ביניהם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לקבוע את עונשו של המשיב בהתאם לעונשו של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800"/>
          <w:tab w:val="left" w:pos="79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 הנאשם הוא שיקול להקלה בעונש בגדרי המתחם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מתחזק ככל שגילו של הנאשם נמוך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אינו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מסוג זה מבצעים לא פעם בני נוער ואנשים צעירים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לכן המשקל שיש להעניק לגיל צעיר של נאשם מוגבל יותר מזה שנותנים לו בעבירות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לשקול גם את הראשוניות של הטלת עונש בגין עבירה של הטרדה מינית על ידי פרסום 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 הכלל לפיו ערכאת הערעור אינה ממצה את הדין עם הנאשם בקבלת ערעור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אלה מצדיקים כי עונשו של המשיב לא ייקבע ברף הגבוה של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המשיב הועמד על שנה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העונש עומדים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הורשע בכך שכפה על קטינה להסכים שיצלם את יחסי המין ביניהם</w:t>
      </w:r>
      <w:r>
        <w:rPr>
          <w:rtl w:val="true"/>
        </w:rPr>
        <w:t xml:space="preserve">, </w:t>
      </w:r>
      <w:r>
        <w:rPr>
          <w:rtl w:val="true"/>
        </w:rPr>
        <w:t>ובכך שהפיץ את התיעוד האמור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לפנינו</w:t>
      </w:r>
      <w:r>
        <w:rPr>
          <w:rtl w:val="true"/>
          <w:lang w:eastAsia="he-IL"/>
        </w:rPr>
        <w:t xml:space="preserve"> ערעור </w:t>
      </w:r>
      <w:r>
        <w:rPr>
          <w:rtl w:val="true"/>
          <w:lang w:eastAsia="he-IL"/>
        </w:rPr>
        <w:t xml:space="preserve">על </w:t>
      </w:r>
      <w:r>
        <w:rPr>
          <w:rtl w:val="true"/>
          <w:lang w:eastAsia="he-IL"/>
        </w:rPr>
        <w:t>גזר</w:t>
      </w:r>
      <w:r>
        <w:rPr>
          <w:rtl w:val="true"/>
          <w:lang w:eastAsia="he-IL"/>
        </w:rPr>
        <w:t xml:space="preserve"> הדין של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 המשפט המחוזי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השופטים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ר</w:t>
      </w:r>
      <w:r>
        <w:rPr>
          <w:rFonts w:cs="Miriam"/>
          <w:b/>
          <w:spacing w:val="0"/>
          <w:szCs w:val="24"/>
          <w:rtl w:val="true"/>
          <w:lang w:eastAsia="he-IL"/>
        </w:rPr>
        <w:t xml:space="preserve">'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כרמל</w:t>
      </w:r>
      <w:r>
        <w:rPr>
          <w:rtl w:val="true"/>
          <w:lang w:eastAsia="he-IL"/>
        </w:rPr>
        <w:t xml:space="preserve">,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כ</w:t>
      </w:r>
      <w:r>
        <w:rPr>
          <w:rFonts w:cs="Miriam"/>
          <w:b/>
          <w:spacing w:val="0"/>
          <w:szCs w:val="24"/>
          <w:rtl w:val="true"/>
          <w:lang w:eastAsia="he-IL"/>
        </w:rPr>
        <w:t xml:space="preserve">'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מוסק</w:t>
      </w:r>
      <w:r>
        <w:rPr>
          <w:rtl w:val="true"/>
          <w:lang w:eastAsia="he-IL"/>
        </w:rPr>
        <w:t xml:space="preserve"> ו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ש</w:t>
      </w:r>
      <w:r>
        <w:rPr>
          <w:rFonts w:cs="Miriam"/>
          <w:b/>
          <w:spacing w:val="0"/>
          <w:szCs w:val="24"/>
          <w:rtl w:val="true"/>
          <w:lang w:eastAsia="he-IL"/>
        </w:rPr>
        <w:t xml:space="preserve">'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רנר</w:t>
      </w:r>
      <w:r>
        <w:rPr>
          <w:rtl w:val="true"/>
          <w:lang w:eastAsia="he-IL"/>
        </w:rPr>
        <w:t>)</w:t>
      </w:r>
      <w:r>
        <w:rPr>
          <w:rFonts w:cs="Times New Roman" w:ascii="Times New Roman" w:hAnsi="Times New Roman"/>
          <w:spacing w:val="0"/>
          <w:sz w:val="28"/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 שירות</w:t>
      </w:r>
      <w:r>
        <w:rPr>
          <w:rtl w:val="true"/>
          <w:lang w:eastAsia="he-IL"/>
        </w:rPr>
        <w:t xml:space="preserve">;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על תנאי בתנאים שפורטו בגזר הדין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פיצויים למתלוננת בסך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799" w:leader="none"/>
        </w:tabs>
        <w:overflowPunct w:val="true"/>
        <w:autoSpaceDE w:val="true"/>
        <w:ind w:end="0"/>
        <w:jc w:val="both"/>
        <w:textAlignment w:val="auto"/>
        <w:rPr>
          <w:sz w:val="28"/>
          <w:lang w:eastAsia="he-IL"/>
        </w:rPr>
      </w:pPr>
      <w:r>
        <w:rPr>
          <w:rFonts w:cs="Miriam"/>
          <w:b/>
          <w:b/>
          <w:rtl w:val="true"/>
        </w:rPr>
        <w:t>תמצית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העובדות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וההליכים</w:t>
      </w:r>
    </w:p>
    <w:p>
      <w:pPr>
        <w:pStyle w:val="Normal"/>
        <w:tabs>
          <w:tab w:val="clear" w:pos="720"/>
          <w:tab w:val="left" w:pos="799" w:leader="none"/>
        </w:tabs>
        <w:overflowPunct w:val="true"/>
        <w:autoSpaceDE w:val="true"/>
        <w:ind w:end="0"/>
        <w:jc w:val="both"/>
        <w:textAlignment w:val="auto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יליד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1998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הסדר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סחיטה באיומים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428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סיפה </w:t>
      </w:r>
      <w:r>
        <w:rPr>
          <w:rtl w:val="true"/>
          <w:lang w:eastAsia="he-IL"/>
        </w:rPr>
        <w:t>ל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חוק</w:t>
      </w:r>
      <w:r>
        <w:rPr>
          <w:rFonts w:eastAsia="Garamond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העונשין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ובשלוש עבירות הטרדה מינית על ידי פרסום משפיל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5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בצירוף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למניעת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הטרדה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מינית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-</w:t>
      </w:r>
      <w:r>
        <w:rPr>
          <w:lang w:eastAsia="he-IL"/>
        </w:rPr>
        <w:t>1998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החוק</w:t>
      </w:r>
      <w:r>
        <w:rPr>
          <w:rFonts w:eastAsia="Garamond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למניעת</w:t>
      </w:r>
      <w:r>
        <w:rPr>
          <w:rFonts w:eastAsia="Garamond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הטרדה</w:t>
      </w:r>
      <w:r>
        <w:rPr>
          <w:rFonts w:eastAsia="Garamond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מינית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על פי כתב האישום 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המשיב הכיר את המתלוננת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בת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 האירועים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ברשת החברתית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אינסטגרם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 xml:space="preserve">המשיב וחברו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cs="Miriam"/>
          <w:b/>
          <w:b/>
          <w:spacing w:val="0"/>
          <w:szCs w:val="24"/>
          <w:rtl w:val="true"/>
          <w:lang w:eastAsia="he-IL"/>
        </w:rPr>
        <w:t>מ</w:t>
      </w:r>
      <w:r>
        <w:rPr>
          <w:rFonts w:cs="Miriam"/>
          <w:b/>
          <w:spacing w:val="0"/>
          <w:szCs w:val="24"/>
          <w:rtl w:val="true"/>
          <w:lang w:eastAsia="he-IL"/>
        </w:rPr>
        <w:t>'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החליטו למתוח את המתלוננת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שלח למתלוננת מסרים מאיימים בהסתמך על פרטים אישיים שקיבל מהמשיב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במטרה לשכנעה שיש לו קשר לגופי הביטחון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 לאחר מכן שוחח המשיב עם המתלוננת וטען בכזב שמ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מאיים גם עליו ושיש ממש באיומיו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עקב כך כתבה המתלוננת למ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שהיא מתנצלת ושהיא נכונה לעשות כל שירצה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 זה החליט המשיב לנצל לטובתו את המצב שנוצר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הודיע למתלוננת שמפאת האיומים עליה לעשות כל אשר יורה 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בהתאם להוראות הנמסרות לו לכאורה ממ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 xml:space="preserve">ביום </w:t>
      </w:r>
      <w:r>
        <w:rPr>
          <w:lang w:eastAsia="he-IL"/>
        </w:rPr>
        <w:t>21.8.2016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הגיעה המתלוננת לביתו של המשיב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בטרם החלו השניים לקיים יחסי מין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הציג המשיב למתלוננת מצג שווא שלפיו עליו לצלמה במהלכם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להוכיח למ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שדרישותיו מולאו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וכך יסתיימו האיומים לכאורה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 קיום יחסי המין עם המתלוננת צילם המשיב את פניה וגופה העירום בצילום וידאו במכשיר הטלפון הנייד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המשיב הורה למתלוננת לנקוב בשם מסוים </w:t>
      </w:r>
      <w:r>
        <w:rPr>
          <w:rtl w:val="true"/>
          <w:lang w:eastAsia="he-IL"/>
        </w:rPr>
        <w:softHyphen/>
        <w:softHyphen/>
        <w:softHyphen/>
      </w:r>
      <w:r>
        <w:rPr>
          <w:rtl w:val="true"/>
          <w:lang w:eastAsia="he-IL"/>
        </w:rPr>
        <w:t xml:space="preserve">– </w:t>
      </w:r>
      <w:r>
        <w:rPr>
          <w:rtl w:val="true"/>
          <w:lang w:eastAsia="he-IL"/>
        </w:rPr>
        <w:t xml:space="preserve">במטרה לשלוח את הסרטון לחברו הנושא שם זה </w:t>
      </w:r>
      <w:r>
        <w:rPr>
          <w:rFonts w:ascii="Times New Roman" w:hAnsi="Times New Roman" w:cs="Times New Roman"/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והיא עשתה 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בעת שהמתלוננת עשתה בו מין אוראלי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צילם המשיב את פניה ואת איבר מינו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נזף במתלוננת על שהתלוננה שהיא נחנקת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ולבסוף הגיע לסיפוקו בפיה ואף הורה לה לבלוע את זרעו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 מכן שלח המשיב שלושה סרטונים שצילם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המתעדים את 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לכמה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ובהם מ</w:t>
      </w:r>
      <w:r>
        <w:rPr>
          <w:rtl w:val="true"/>
          <w:lang w:eastAsia="he-IL"/>
        </w:rPr>
        <w:t xml:space="preserve">'. </w:t>
      </w:r>
      <w:r>
        <w:rPr>
          <w:rFonts w:ascii="Century" w:hAnsi="Century" w:cs="Century"/>
          <w:rtl w:val="true"/>
          <w:lang w:eastAsia="he-IL"/>
        </w:rPr>
        <w:t xml:space="preserve">בגין מעשים </w:t>
      </w:r>
      <w:r>
        <w:rPr>
          <w:rFonts w:ascii="Century" w:hAnsi="Century" w:cs="Century"/>
          <w:rtl w:val="true"/>
          <w:lang w:eastAsia="he-IL"/>
        </w:rPr>
        <w:t>אלה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הורשע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המשיב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כאמור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בעבירות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שפורטו</w:t>
      </w:r>
      <w:r>
        <w:rPr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לעיל</w:t>
      </w:r>
      <w:r>
        <w:rPr>
          <w:rFonts w:cs="Century" w:ascii="Century" w:hAnsi="Century"/>
          <w:rtl w:val="true"/>
          <w:lang w:eastAsia="he-IL"/>
        </w:rPr>
        <w:t>.</w:t>
      </w:r>
      <w:r>
        <w:rPr>
          <w:rFonts w:cs="Century" w:ascii="Century" w:hAnsi="Century"/>
          <w:rtl w:val="true"/>
          <w:lang w:eastAsia="he-IL"/>
        </w:rPr>
        <w:t xml:space="preserve">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לשלמות התמונה נציין כי 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הורשע בעבירת סחיטה באיומים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428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רישה ל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והוטל עליו עונש של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בעבודות 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שלושה חודשי מאסר על תנאי ופיצוי למתלוננת בסך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.</w:t>
      </w:r>
    </w:p>
    <w:p>
      <w:pPr>
        <w:pStyle w:val="Ruller42"/>
        <w:tabs>
          <w:tab w:val="clear" w:pos="800"/>
          <w:tab w:val="left" w:pos="799" w:leader="none"/>
        </w:tabs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כאמור 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הודאתו של המשיב ניתנה בגדרו של הסדר 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בהסכמת 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הורה בית המשפט המחוזי על הכנת תסקיר מבחן בעניינו של המשיב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התסקיר שהוגש עמד על גילו הצעיר של המשיב ועברו הנקי מהרשעות קודמות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על הנסיבות המשפחתיות שבעטיין במשך תקופה ארוכה לא היה בקשר יציב וקבוע עם אביו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על כך שהשלים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 לימוד בחינוך המיוחד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על נסיבותיו האישיות שבגינן הפך מושא ללעג במהלך שנות התבגרותו וסבל מבעיות 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דברים שהובילו לצורך להשתייך ולהתקבל חברתית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בהינתן נתוניו האישיים של המשיב ונוכח העובדה שהשתלב בטיפול פסיכו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חינוכי בשירות המבחן והתמיד בטיפול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המליץ שירות המבחן על אפיק שיקומי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 המבחן סבר שהמשך ההליך הטיפולי נדרש כדי לצמצם את הסיכון הנשקף מהמשיב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 ענישה של מאסר בפועל תפגע בסיכויי השיקום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כן הומלץ להסתפק במאסר שירוצה בעבודות שירות ובפיצוי למתלוננת</w:t>
      </w:r>
      <w:r>
        <w:rPr>
          <w:rtl w:val="true"/>
          <w:lang w:eastAsia="he-IL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בגזר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מיום </w:t>
      </w:r>
      <w:r>
        <w:rPr>
          <w:lang w:eastAsia="he-IL"/>
        </w:rPr>
        <w:t>13.2.2018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tl w:val="true"/>
          <w:lang w:eastAsia="he-IL"/>
        </w:rPr>
        <w:t xml:space="preserve"> בית המשפט המחוזי</w:t>
      </w:r>
      <w:r>
        <w:rPr>
          <w:rtl w:val="true"/>
          <w:lang w:eastAsia="he-IL"/>
        </w:rPr>
        <w:t xml:space="preserve"> על הנסיבות שפורטו בתסקיר 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לצד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הדגיש בית המשפט את היותם של מעשי המשיב חמורים ומכוערים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 המשפט קבע שצילום המתלוננת באמתלת שווא הוא מעשה מביש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שהפצת הסרטונים הסבה לה פגיעה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ושבמעשיו פגע המשיב בכבודה של המתלוננת ובפרטיותה</w:t>
      </w:r>
      <w:r>
        <w:rPr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נוכח חלקו המשמעותי של המשיב במעשים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שאף קדם להם תכנון</w:t>
      </w:r>
      <w:r>
        <w:rPr>
          <w:sz w:val="22"/>
          <w:rtl w:val="true"/>
          <w:lang w:eastAsia="he-IL"/>
        </w:rPr>
        <w:t xml:space="preserve">; </w:t>
      </w:r>
      <w:r>
        <w:rPr>
          <w:sz w:val="22"/>
          <w:sz w:val="22"/>
          <w:rtl w:val="true"/>
          <w:lang w:eastAsia="he-IL"/>
        </w:rPr>
        <w:t>העדר ההצדקה הישירה למעשיו</w:t>
      </w:r>
      <w:r>
        <w:rPr>
          <w:sz w:val="22"/>
          <w:rtl w:val="true"/>
          <w:lang w:eastAsia="he-IL"/>
        </w:rPr>
        <w:t xml:space="preserve">; </w:t>
      </w:r>
      <w:r>
        <w:rPr>
          <w:sz w:val="22"/>
          <w:sz w:val="22"/>
          <w:rtl w:val="true"/>
          <w:lang w:eastAsia="he-IL"/>
        </w:rPr>
        <w:t>הנזק הרב שנגרם למתלוננת ושהמשיב היה יכול לצפות</w:t>
      </w:r>
      <w:r>
        <w:rPr>
          <w:sz w:val="22"/>
          <w:rtl w:val="true"/>
          <w:lang w:eastAsia="he-IL"/>
        </w:rPr>
        <w:t xml:space="preserve">; </w:t>
      </w:r>
      <w:r>
        <w:rPr>
          <w:sz w:val="22"/>
          <w:sz w:val="22"/>
          <w:rtl w:val="true"/>
          <w:lang w:eastAsia="he-IL"/>
        </w:rPr>
        <w:t xml:space="preserve">יכולתו של המשיב להבין את המעשים ולהימנע מהם </w:t>
      </w:r>
      <w:r>
        <w:rPr>
          <w:sz w:val="22"/>
          <w:sz w:val="22"/>
          <w:rtl w:val="true"/>
          <w:lang w:eastAsia="he-IL"/>
        </w:rPr>
        <w:t>–</w:t>
      </w:r>
      <w:r>
        <w:rPr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העמיד</w:t>
      </w:r>
      <w:r>
        <w:rPr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 xml:space="preserve">בית המשפט </w:t>
      </w:r>
      <w:r>
        <w:rPr>
          <w:sz w:val="22"/>
          <w:sz w:val="22"/>
          <w:rtl w:val="true"/>
          <w:lang w:eastAsia="he-IL"/>
        </w:rPr>
        <w:t>את</w:t>
      </w:r>
      <w:r>
        <w:rPr>
          <w:sz w:val="22"/>
          <w:sz w:val="22"/>
          <w:rtl w:val="true"/>
          <w:lang w:eastAsia="he-IL"/>
        </w:rPr>
        <w:t xml:space="preserve"> מתחם </w:t>
      </w:r>
      <w:r>
        <w:rPr>
          <w:sz w:val="22"/>
          <w:sz w:val="22"/>
          <w:rtl w:val="true"/>
          <w:lang w:eastAsia="he-IL"/>
        </w:rPr>
        <w:t>העונש</w:t>
      </w:r>
      <w:r>
        <w:rPr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ההולם</w:t>
      </w:r>
      <w:r>
        <w:rPr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 xml:space="preserve">על </w:t>
      </w:r>
      <w:r>
        <w:rPr>
          <w:sz w:val="22"/>
          <w:lang w:eastAsia="he-IL"/>
        </w:rPr>
        <w:t>6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 xml:space="preserve">עד </w:t>
      </w:r>
      <w:r>
        <w:rPr>
          <w:sz w:val="22"/>
          <w:lang w:eastAsia="he-IL"/>
        </w:rPr>
        <w:t>24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 מאסר בפועל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99" w:leader="none"/>
        </w:tabs>
        <w:overflowPunct w:val="true"/>
        <w:autoSpaceDE w:val="true"/>
        <w:ind w:end="0"/>
        <w:jc w:val="both"/>
        <w:textAlignment w:val="auto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בכל הנוגע לעונש המתאים בתוך מתחם העונש 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שקל בית המשפט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 את גילו הצעיר של 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 הנקי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נסיבותיו האישיות והשתלבותו בהליך טיפולי שיקומי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צוין כי לא ניתן להתעלם מכך שעל 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נגזרו רק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בעבודות 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 שהוא שהקים את הבמה שהמשיב פעל עליה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וחלקו בעבירה לא היה קטן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 לכך קבע בית המשפט את העונש על הצד הנמוך של מתחם הענישה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בית המשפט גזר על המשיב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 xml:space="preserve">ביום </w:t>
      </w:r>
      <w:r>
        <w:rPr>
          <w:lang w:eastAsia="he-IL"/>
        </w:rPr>
        <w:t>19.6.2018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 כי יהיו בעבודות שירות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 xml:space="preserve">מאסר </w:t>
      </w:r>
      <w:r>
        <w:rPr>
          <w:rtl w:val="true"/>
          <w:lang w:eastAsia="he-IL"/>
        </w:rPr>
        <w:t xml:space="preserve">על תנאי למשך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חודשים ופיצוי </w:t>
      </w:r>
      <w:r>
        <w:rPr>
          <w:rtl w:val="true"/>
          <w:lang w:eastAsia="he-IL"/>
        </w:rPr>
        <w:t>למתלוננת</w:t>
      </w:r>
      <w:r>
        <w:rPr>
          <w:rtl w:val="true"/>
          <w:lang w:eastAsia="he-IL"/>
        </w:rPr>
        <w:t xml:space="preserve"> על סך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.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מכאן הערעור שלפנינו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המכוון לקולת 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 מבקשת לשלוח את המשיב למאסר מאחורי סורג ובריח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חלף מאסר בעבודות 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 המערערת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המשיב השיג את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הסכמתה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 המתלוננת לצילום יחסי מין באמצעות סחיטה באיומים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ובכך פגע קשות בכבודה ובאוטונומיה שלה על גופה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דבר שעולה כדי פגיעה מינית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 אם יחסי המין עצמם היו בהסכמה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 מזכירה כי המחוקק ביקש להילחם בתופעה המתפשטת של הפצת תצלומים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סרטים והקלטות בעלי אופי מיני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 טוענת כי הסרטונים הנדונים פוגעים פגיעה אנושה בפרטיות המתלוננת ובכבודה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ושליחתם היא פגיעה מינית בפני עצמה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לשיטת המערערת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להוקיע הן את הסחיטה ואת פירותיה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 את הפצת הסרטונים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 ענישה ראויה וממשית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 טוענת שהחלק של המשיב במעשים ובעבירות גדול מחלקו של מ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ועל כן אין להסתפק בעונש שעולה אך במעט על העונש של מ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היא מוסיפה ששיקולי השיקום ונסיבותיו האישיות של המשיב אינם מצדיקים סטייה משמעותית כל כך מן העונש ההולם</w:t>
      </w:r>
      <w:r>
        <w:rPr>
          <w:rtl w:val="true"/>
          <w:lang w:eastAsia="he-IL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>המשיב סומך את ידיו על גזר הדין של בית המשפט המחוזי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לטענתו</w:t>
      </w:r>
      <w:r>
        <w:rPr>
          <w:rtl w:val="true"/>
          <w:lang w:eastAsia="he-IL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המערערת לא הניחה עילה להתערבות במתחם העונש ההולם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כמו גם בעונש שהוטל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המשיב טוען כי מ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ולא 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 להניע את האירועים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 על אף תסקיר לא חיובי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ולמרות שלא קיבל על עצמו אחריות והחל בהליך שיקומי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עונשו נקבע ל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עבודות שירות 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 כן נטען כי יחסי המין נעשו בהסכמה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המשיב מוסיף כי יש להתחשב בנסיבותיו האישיות הקשות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 שמדובר בעבירה ראשונה ובגילו הצעיר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 הוא מציין כי שהה במעצר מאחורי סורג ובריח במשך חודש ובמעצר בפיקוח אלקטרוני במשך 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 לא גויס לצבא עקב המעשים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המשיב טוען כי הסכנות האורבות לו במאסר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ניצול בידי אסירים אחרים וקושי להמשיך את ההליך השיקומי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מצדיקות שלא להחמיר את עונשו למאסר מאחורי סורג ובריח</w:t>
      </w:r>
      <w:r>
        <w:rPr>
          <w:rtl w:val="true"/>
          <w:lang w:eastAsia="he-IL"/>
        </w:rPr>
        <w:t>.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שירות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לעיוננו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להשלמתו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והתנאים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המיטביים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לכותלי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הכלא</w:t>
      </w:r>
      <w:r>
        <w:rPr>
          <w:rtl w:val="true"/>
          <w:lang w:eastAsia="he-IL"/>
        </w:rPr>
        <w:t>.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rFonts w:ascii="Century" w:hAnsi="Century" w:cs="Miriam"/>
          <w:b/>
          <w:spacing w:val="0"/>
          <w:szCs w:val="24"/>
          <w:lang w:eastAsia="he-IL"/>
        </w:rPr>
      </w:pPr>
      <w:r>
        <w:rPr>
          <w:rFonts w:cs="Miriam" w:ascii="Century" w:hAnsi="Century"/>
          <w:b/>
          <w:spacing w:val="0"/>
          <w:szCs w:val="24"/>
          <w:rtl w:val="true"/>
          <w:lang w:eastAsia="he-IL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  <w:t>לאחר שעיינו בערעור ו</w:t>
      </w:r>
      <w:r>
        <w:rPr>
          <w:rtl w:val="true"/>
        </w:rPr>
        <w:t>שקלנו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מצאנו כי דין הערעור להתקבל כך שעונשו של המשיב יעמוד </w:t>
      </w:r>
      <w:r>
        <w:rPr>
          <w:rtl w:val="true"/>
          <w:lang w:eastAsia="he-IL"/>
        </w:rPr>
        <w:t>על</w:t>
      </w:r>
      <w:r>
        <w:rPr>
          <w:rtl w:val="true"/>
        </w:rPr>
        <w:t xml:space="preserve"> שנה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התערבות בגזר הדין של הערכאה הדיונית תיעשה במקרים חריגים שבהם נפלה בו טעות מהותית או שעה שהעונש שנגזר חורג חריגה ממשית מרמת הענישה המקובלת בנסיבות דומות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21.7.2016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20.9.2015</w:t>
      </w:r>
      <w:r>
        <w:rPr>
          <w:rtl w:val="true"/>
        </w:rPr>
        <w:t xml:space="preserve">)). </w:t>
      </w:r>
      <w:r>
        <w:rPr>
          <w:rtl w:val="true"/>
        </w:rPr>
        <w:t>ענייננו הוא אחד מאותם מקרים חריגים המצדיקים התערבות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  <w:t>בקביעת מתחם העונש ההולם יש להתחשב בכמה שיקולים</w:t>
      </w:r>
      <w:r>
        <w:rPr>
          <w:rtl w:val="true"/>
        </w:rPr>
        <w:t xml:space="preserve">, </w:t>
      </w:r>
      <w:r>
        <w:rPr>
          <w:rtl w:val="true"/>
        </w:rPr>
        <w:t>ובהם הערך החברתי שנפגע ומידת הפגיעה בו</w:t>
      </w:r>
      <w:r>
        <w:rPr>
          <w:rtl w:val="true"/>
        </w:rPr>
        <w:t xml:space="preserve">, </w:t>
      </w:r>
      <w:r>
        <w:rPr>
          <w:rtl w:val="true"/>
        </w:rPr>
        <w:t xml:space="preserve">מדיניות הענישה הנהוגה והנסיבות הקשורות בביצוע העבירה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אנו סבורים שבמקרה דנא היה מקום לקבוע מתחם ענישה מחמיר יותר</w:t>
      </w:r>
      <w:r>
        <w:rPr>
          <w:rtl w:val="true"/>
        </w:rPr>
        <w:t xml:space="preserve">, </w:t>
      </w:r>
      <w:r>
        <w:rPr>
          <w:rtl w:val="true"/>
        </w:rPr>
        <w:t>מכמה טעמים מרכזיים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בשלב קביעת המתחם לא נתן בית המשפט המחוזי משקל הולם לעבירת ההטרדה המינית על ידי פרסום משפיל</w:t>
      </w:r>
      <w:r>
        <w:rPr>
          <w:rtl w:val="true"/>
        </w:rPr>
        <w:t xml:space="preserve">. </w:t>
      </w:r>
      <w:r>
        <w:rPr>
          <w:rtl w:val="true"/>
        </w:rPr>
        <w:t>עבירה זו ראויה לענישה מחמירה</w:t>
      </w:r>
      <w:r>
        <w:rPr>
          <w:rtl w:val="true"/>
        </w:rPr>
        <w:t xml:space="preserve">, </w:t>
      </w:r>
      <w:r>
        <w:rPr>
          <w:rtl w:val="true"/>
        </w:rPr>
        <w:t>בין היתר לשם הרתעת הרבים</w:t>
      </w:r>
      <w:r>
        <w:rPr>
          <w:rtl w:val="true"/>
        </w:rPr>
        <w:t xml:space="preserve">. </w:t>
      </w:r>
      <w:r>
        <w:rPr>
          <w:rtl w:val="true"/>
        </w:rPr>
        <w:t>הפצתו של תיעוד מבזה או משפיל המתמקד במיניותו של אדם היא תופעה פסולה מכול וכול</w:t>
      </w:r>
      <w:r>
        <w:rPr>
          <w:rtl w:val="true"/>
        </w:rPr>
        <w:t xml:space="preserve">. </w:t>
      </w:r>
      <w:r>
        <w:rPr>
          <w:rtl w:val="true"/>
        </w:rPr>
        <w:t xml:space="preserve">הפצת סרטונים מיניים מבזה את המופיעה בהם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ועל פי רוב זו אישה או נערה צעירה </w:t>
      </w:r>
      <w:r>
        <w:rPr>
          <w:rtl w:val="true"/>
        </w:rPr>
        <w:t>(</w:t>
      </w:r>
      <w:r>
        <w:rPr>
          <w:rtl w:val="true"/>
        </w:rPr>
        <w:t>נורית יכימוביץ</w:t>
      </w:r>
      <w:r>
        <w:rPr>
          <w:rtl w:val="true"/>
        </w:rPr>
        <w:t>-</w:t>
      </w:r>
      <w:r>
        <w:rPr>
          <w:rtl w:val="true"/>
        </w:rPr>
        <w:t xml:space="preserve">כהן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תצלומים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מרכז מחקר ומידע</w:t>
      </w:r>
      <w:r>
        <w:rPr>
          <w:rtl w:val="true"/>
        </w:rPr>
        <w:t xml:space="preserve">, </w:t>
      </w:r>
      <w:r>
        <w:rPr/>
        <w:t>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tl w:val="true"/>
        </w:rPr>
        <w:t xml:space="preserve">)) </w:t>
      </w:r>
      <w:r>
        <w:rPr>
          <w:rFonts w:cs="Times New Roman" w:ascii="Times New Roman" w:hAnsi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תוך חדירה להיבטים הפרטיים ביותר של חייה </w:t>
      </w:r>
      <w:r>
        <w:rPr>
          <w:rtl w:val="true"/>
        </w:rPr>
        <w:t>(</w:t>
      </w:r>
      <w:r>
        <w:rPr>
          <w:rtl w:val="true"/>
        </w:rPr>
        <w:t>השוו למשל ל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8954/11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691</w:t>
      </w:r>
      <w:r>
        <w:rPr>
          <w:rtl w:val="true"/>
        </w:rPr>
        <w:t xml:space="preserve">, </w:t>
      </w:r>
      <w:r>
        <w:rPr/>
        <w:t>770</w:t>
      </w:r>
      <w:r>
        <w:rPr>
          <w:rFonts w:cs="Times New Roman" w:ascii="Times New Roman" w:hAnsi="Times New Roman"/>
          <w:rtl w:val="true"/>
        </w:rPr>
        <w:t>–</w:t>
      </w:r>
      <w:r>
        <w:rPr/>
        <w:t>771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היא פוגעת בה מבחינה חברתית פגיעה אנושה</w:t>
      </w:r>
      <w:r>
        <w:rPr>
          <w:rtl w:val="true"/>
        </w:rPr>
        <w:t xml:space="preserve">, </w:t>
      </w:r>
      <w:r>
        <w:rPr>
          <w:rtl w:val="true"/>
        </w:rPr>
        <w:t>ודאי אם מדובר בנערה בגיל ההתבגרות</w:t>
      </w:r>
      <w:r>
        <w:rPr>
          <w:rtl w:val="true"/>
        </w:rPr>
        <w:t xml:space="preserve">, </w:t>
      </w:r>
      <w:r>
        <w:rPr>
          <w:rtl w:val="true"/>
        </w:rPr>
        <w:t>והסרטון מופץ בין מכריה</w:t>
      </w:r>
      <w:r>
        <w:rPr>
          <w:rtl w:val="true"/>
        </w:rPr>
        <w:t xml:space="preserve">. </w:t>
      </w:r>
      <w:r>
        <w:rPr>
          <w:rtl w:val="true"/>
        </w:rPr>
        <w:t xml:space="preserve">מדובר בגיל שברירי של עיצוב אישיותו של אדם ודמותו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3792/18</w:t>
        </w:r>
      </w:hyperlink>
      <w:r>
        <w:rPr>
          <w:rtl w:val="true"/>
        </w:rPr>
        <w:t xml:space="preserve">)), </w:t>
      </w:r>
      <w:r>
        <w:rPr>
          <w:rtl w:val="true"/>
        </w:rPr>
        <w:t>ופגיעה חמורה כל כך ביסודות הנפש עלולה להוביל לפגיעה ארוכת טווח</w:t>
      </w:r>
      <w:r>
        <w:rPr>
          <w:rtl w:val="true"/>
        </w:rPr>
        <w:t xml:space="preserve">. </w:t>
      </w:r>
      <w:r>
        <w:rPr>
          <w:rtl w:val="true"/>
        </w:rPr>
        <w:t xml:space="preserve">נדמה כי מקרים רבים של הפצת סרטונים מתרחשים בגילים רגישים אלו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), </w:t>
      </w:r>
      <w:r>
        <w:rPr>
          <w:rtl w:val="true"/>
        </w:rPr>
        <w:t>שבהם אדם מגלה את מיניותו ושבהם נודעת חשיבות יתרה לדימוי החברתי ולתגובות של הסביבה הקרובה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ההכרה הציבורית בפסול הגלום בתופעה באה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בקביעת העבירה החדשה יחסית של הטרדה מינית על ידי פרסום משפיל </w:t>
      </w:r>
      <w:r>
        <w:rPr>
          <w:rtl w:val="true"/>
        </w:rPr>
        <w:t>(</w:t>
      </w:r>
      <w:hyperlink r:id="rId2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למניעת הטרדה מינית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263</w:t>
      </w:r>
      <w:r>
        <w:rPr>
          <w:rtl w:val="true"/>
        </w:rPr>
        <w:t xml:space="preserve"> (</w:t>
      </w:r>
      <w:r>
        <w:rPr>
          <w:rtl w:val="true"/>
        </w:rPr>
        <w:t>להלן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הסרטונים</w:t>
      </w:r>
      <w:r>
        <w:rPr>
          <w:rtl w:val="true"/>
        </w:rPr>
        <w:t xml:space="preserve">)). </w:t>
      </w:r>
      <w:r>
        <w:rPr>
          <w:rtl w:val="true"/>
        </w:rPr>
        <w:t xml:space="preserve">יוער כי מדובר בשדה לא חרוש </w:t>
      </w:r>
      <w:r>
        <w:rPr>
          <w:rtl w:val="true"/>
        </w:rPr>
        <w:t>–</w:t>
      </w:r>
      <w:r>
        <w:rPr>
          <w:rtl w:val="true"/>
        </w:rPr>
        <w:t xml:space="preserve"> במרבית התיקים הנפתחים בעקבות דיווח לא ננקטו הליכים פליליים</w:t>
      </w:r>
      <w:r>
        <w:rPr>
          <w:rtl w:val="true"/>
        </w:rPr>
        <w:t xml:space="preserve">, </w:t>
      </w:r>
      <w:r>
        <w:rPr>
          <w:rtl w:val="true"/>
        </w:rPr>
        <w:t xml:space="preserve">מספר כתבי האישום שהוגשו בגין עבירה זו מצומצם </w:t>
      </w:r>
      <w:r>
        <w:rPr>
          <w:rtl w:val="true"/>
        </w:rPr>
        <w:t>(</w:t>
      </w:r>
      <w:r>
        <w:rPr>
          <w:rtl w:val="true"/>
        </w:rPr>
        <w:t xml:space="preserve">ראו בהקשר זה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Fonts w:cs="Times New Roman" w:ascii="Times New Roman" w:hAnsi="Times New Roman"/>
          <w:rtl w:val="true"/>
        </w:rPr>
        <w:t>–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וזהו המקרה הראשון שבו נדרש בית משפט זה לעונש הראוי בגינה</w:t>
      </w:r>
      <w:r>
        <w:rPr>
          <w:rtl w:val="true"/>
        </w:rPr>
        <w:t xml:space="preserve">. </w:t>
      </w:r>
      <w:r>
        <w:rPr>
          <w:rtl w:val="true"/>
        </w:rPr>
        <w:t>חשיבותו של התיקון נעוצה בכך שהפצת פרסום משפיל אינה נתפסת רק כפגיעה בפרטיותו של מאן דהוא</w:t>
      </w:r>
      <w:r>
        <w:rPr>
          <w:rtl w:val="true"/>
        </w:rPr>
        <w:t xml:space="preserve">, </w:t>
      </w:r>
      <w:r>
        <w:rPr>
          <w:rtl w:val="true"/>
        </w:rPr>
        <w:t xml:space="preserve">אלא חמור מכך </w:t>
      </w:r>
      <w:r>
        <w:rPr>
          <w:rtl w:val="true"/>
        </w:rPr>
        <w:t>–</w:t>
      </w:r>
      <w:r>
        <w:rPr>
          <w:rtl w:val="true"/>
        </w:rPr>
        <w:t xml:space="preserve"> כהטרדה מינית</w:t>
      </w:r>
      <w:r>
        <w:rPr>
          <w:rtl w:val="true"/>
        </w:rPr>
        <w:t xml:space="preserve">. </w:t>
      </w:r>
      <w:r>
        <w:rPr>
          <w:rtl w:val="true"/>
        </w:rPr>
        <w:t xml:space="preserve">כל הטרדה מינית מבזה את אנושיותו של אדם ושוללת את האוטונומיה שלו ואת שליטתו בגופו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484</w:t>
      </w:r>
      <w:r>
        <w:rPr>
          <w:rtl w:val="true"/>
        </w:rPr>
        <w:t xml:space="preserve">, </w:t>
      </w:r>
      <w:r>
        <w:rPr/>
        <w:t>484</w:t>
      </w:r>
      <w:r>
        <w:rPr>
          <w:rtl w:val="true"/>
        </w:rPr>
        <w:t xml:space="preserve">).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ואף ביתר שאת</w:t>
      </w:r>
      <w:r>
        <w:rPr>
          <w:rtl w:val="true"/>
        </w:rPr>
        <w:t xml:space="preserve">, </w:t>
      </w:r>
      <w:r>
        <w:rPr>
          <w:rtl w:val="true"/>
        </w:rPr>
        <w:t>בהפצת תיעוד מבזה או משפיל המתמקד במיניות של אדם</w:t>
      </w:r>
      <w:r>
        <w:rPr>
          <w:rtl w:val="true"/>
        </w:rPr>
        <w:t xml:space="preserve">. </w:t>
      </w:r>
      <w:r>
        <w:rPr>
          <w:rtl w:val="true"/>
        </w:rPr>
        <w:t>המתועדת</w:t>
      </w:r>
      <w:r>
        <w:rPr>
          <w:rtl w:val="true"/>
        </w:rPr>
        <w:t xml:space="preserve">, </w:t>
      </w:r>
      <w:r>
        <w:rPr>
          <w:rtl w:val="true"/>
        </w:rPr>
        <w:t>מוצגת בתור אובייקט מיני להנאת הצופים והשומעים</w:t>
      </w:r>
      <w:r>
        <w:rPr>
          <w:rtl w:val="true"/>
        </w:rPr>
        <w:t xml:space="preserve">. </w:t>
      </w:r>
      <w:r>
        <w:rPr>
          <w:rtl w:val="true"/>
        </w:rPr>
        <w:t>היא נחשפת לעיני כול</w:t>
      </w:r>
      <w:r>
        <w:rPr>
          <w:rtl w:val="true"/>
        </w:rPr>
        <w:t xml:space="preserve">, </w:t>
      </w:r>
      <w:r>
        <w:rPr>
          <w:rtl w:val="true"/>
        </w:rPr>
        <w:t>פשוטו כמשמעו</w:t>
      </w:r>
      <w:r>
        <w:rPr>
          <w:rtl w:val="true"/>
        </w:rPr>
        <w:t xml:space="preserve">, </w:t>
      </w:r>
      <w:r>
        <w:rPr>
          <w:rtl w:val="true"/>
        </w:rPr>
        <w:t>בלי שביקשו את הסכמתה</w:t>
      </w:r>
      <w:r>
        <w:rPr>
          <w:rtl w:val="true"/>
        </w:rPr>
        <w:t xml:space="preserve">. </w:t>
      </w:r>
      <w:r>
        <w:rPr>
          <w:rtl w:val="true"/>
        </w:rPr>
        <w:t>יסוד ההסכמה חשוב במיוחד</w:t>
      </w:r>
      <w:r>
        <w:rPr>
          <w:rtl w:val="true"/>
        </w:rPr>
        <w:t xml:space="preserve">, </w:t>
      </w:r>
      <w:r>
        <w:rPr>
          <w:rtl w:val="true"/>
        </w:rPr>
        <w:t>שכן הוא מבטא את האוטונומיה של הפרט במובנה המובהק ביותר</w:t>
      </w:r>
      <w:r>
        <w:rPr>
          <w:rtl w:val="true"/>
        </w:rPr>
        <w:t xml:space="preserve">, </w:t>
      </w:r>
      <w:r>
        <w:rPr>
          <w:rtl w:val="true"/>
        </w:rPr>
        <w:t>דהיינו בהחלטות של אדם אילו פרטים אינטימיים לחשוף לאחרים</w:t>
      </w:r>
      <w:r>
        <w:rPr>
          <w:rtl w:val="true"/>
        </w:rPr>
        <w:t xml:space="preserve">, </w:t>
      </w:r>
      <w:r>
        <w:rPr>
          <w:rtl w:val="true"/>
        </w:rPr>
        <w:t xml:space="preserve">למי לחשוף אותם ובניסיונו לשלוט בדימוי שלו בקרב מכריו ובציבור בכלל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737</w:t>
      </w:r>
      <w:r>
        <w:rPr>
          <w:rFonts w:cs="Times New Roman" w:ascii="Times New Roman" w:hAnsi="Times New Roman"/>
          <w:rtl w:val="true"/>
        </w:rPr>
        <w:t>–</w:t>
      </w:r>
      <w:r>
        <w:rPr/>
        <w:t>738</w:t>
      </w:r>
      <w:r>
        <w:rPr>
          <w:rtl w:val="true"/>
        </w:rPr>
        <w:t xml:space="preserve">). </w:t>
      </w:r>
      <w:r>
        <w:rPr>
          <w:rtl w:val="true"/>
        </w:rPr>
        <w:t>לפיכך מדובר בפגיעה חמורה וממשית בעלת מאפיינים של פגיעה מינית</w:t>
      </w:r>
      <w:r>
        <w:rPr>
          <w:rtl w:val="true"/>
        </w:rPr>
        <w:t xml:space="preserve">, </w:t>
      </w:r>
      <w:r>
        <w:rPr>
          <w:rtl w:val="true"/>
        </w:rPr>
        <w:t>והיא מצדיקה את החלת הכלים המשפטיים של ה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דברי ההסבר להצעת חוק למניעת הטרדה מינית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 w:cs="David"/>
          <w:rtl w:val="true"/>
        </w:rPr>
        <w:t>פרסום תצלום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סרט או הקלטה המתמקד במיניותו של אדם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הכנסת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cs="David" w:ascii="David" w:hAnsi="David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התיקון אף קובע עונש חמור במדרג העונשים לפי ה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firstLine="72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firstLine="720" w:start="0" w:end="0"/>
        <w:jc w:val="both"/>
        <w:rPr/>
      </w:pPr>
      <w:r>
        <w:rPr>
          <w:rtl w:val="true"/>
        </w:rPr>
        <w:t xml:space="preserve">חומרת התופעה מתחזקת בשל קלות ההפצה שמאפשרת הקִדמה הטכנולוגית </w:t>
      </w:r>
      <w:r>
        <w:rPr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>דברי ההסבר</w:t>
      </w:r>
      <w:r>
        <w:rPr>
          <w:rFonts w:cs="Times New Roman" w:ascii="Times New Roman" w:hAnsi="Times New Roman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ראו גם הדר דנציג</w:t>
      </w:r>
      <w:r>
        <w:rPr>
          <w:rtl w:val="true"/>
        </w:rPr>
        <w:t>-</w:t>
      </w:r>
      <w:r>
        <w:rPr>
          <w:rtl w:val="true"/>
        </w:rPr>
        <w:t xml:space="preserve">רוזנברג ורוני </w:t>
      </w:r>
      <w:hyperlink r:id="rId32">
        <w:r>
          <w:rPr>
            <w:rStyle w:val="Hyperlink"/>
            <w:color w:val="0000FF"/>
            <w:u w:val="single"/>
            <w:rtl w:val="true"/>
          </w:rPr>
          <w:t>רוזנברג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פורנוגרפיית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נקם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חוקים</w:t>
      </w:r>
      <w:r>
        <w:rPr>
          <w:rtl w:val="true"/>
        </w:rPr>
        <w:t xml:space="preserve"> ט </w:t>
      </w:r>
      <w:r>
        <w:rPr/>
        <w:t>265</w:t>
      </w:r>
      <w:r>
        <w:rPr>
          <w:rtl w:val="true"/>
        </w:rPr>
        <w:t xml:space="preserve">, </w:t>
      </w:r>
      <w:r>
        <w:rPr/>
        <w:t>272</w:t>
      </w:r>
      <w:r>
        <w:rPr>
          <w:rtl w:val="true"/>
        </w:rPr>
        <w:t xml:space="preserve"> (</w:t>
      </w:r>
      <w:r>
        <w:rPr/>
        <w:t>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פורנוגרפיית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)). </w:t>
      </w:r>
      <w:r>
        <w:rPr>
          <w:rtl w:val="true"/>
        </w:rPr>
        <w:t>על אף הכלים הקיימים המאפשרים הסרה של חומרים מן הרשת</w:t>
      </w:r>
      <w:r>
        <w:rPr>
          <w:rtl w:val="true"/>
        </w:rPr>
        <w:t xml:space="preserve">, </w:t>
      </w:r>
      <w:r>
        <w:rPr>
          <w:rtl w:val="true"/>
        </w:rPr>
        <w:t>הרי שנוכח הקושי להתחקות במרחב הווירטואלי אחר חומרים ולמנוע את המשך הפצתם</w:t>
      </w:r>
      <w:r>
        <w:rPr>
          <w:rtl w:val="true"/>
        </w:rPr>
        <w:t xml:space="preserve">, </w:t>
      </w:r>
      <w:r>
        <w:rPr>
          <w:rtl w:val="true"/>
        </w:rPr>
        <w:t>הפגיעה עשויה להיות מתמשכת ולא להתמצות במקרה בודד ומגודר</w:t>
      </w:r>
      <w:r>
        <w:rPr>
          <w:rtl w:val="true"/>
        </w:rPr>
        <w:t xml:space="preserve">. </w:t>
      </w:r>
      <w:r>
        <w:rPr>
          <w:rtl w:val="true"/>
        </w:rPr>
        <w:t xml:space="preserve">כל אלה מייצרים יחס הפוך בין חומרת המעשים לקלות עשייתם </w:t>
      </w:r>
      <w:r>
        <w:rPr>
          <w:rtl w:val="true"/>
        </w:rPr>
        <w:t>–</w:t>
      </w:r>
      <w:r>
        <w:rPr>
          <w:rtl w:val="true"/>
        </w:rPr>
        <w:t xml:space="preserve"> בבחינת </w:t>
      </w:r>
      <w:r>
        <w:rPr>
          <w:rtl w:val="true"/>
        </w:rPr>
        <w:t>"</w:t>
      </w:r>
      <w:r>
        <w:rPr>
          <w:rtl w:val="true"/>
        </w:rPr>
        <w:t>היד קלה על המקלדת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firstLine="72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הנוהג בעבירת סחיטה באיומים גבוה מזה שנקבע בגזר הדין </w:t>
      </w:r>
      <w:r>
        <w:rPr>
          <w:rtl w:val="true"/>
        </w:rPr>
        <w:t>(</w:t>
      </w:r>
      <w:r>
        <w:rPr>
          <w:rtl w:val="true"/>
        </w:rPr>
        <w:t xml:space="preserve">השוו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14.11.2018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2.3.2016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7.1.2016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14.8.2013</w:t>
      </w:r>
      <w:r>
        <w:rPr>
          <w:rtl w:val="true"/>
        </w:rPr>
        <w:t xml:space="preserve">)), </w:t>
      </w:r>
      <w:r>
        <w:rPr>
          <w:rtl w:val="true"/>
        </w:rPr>
        <w:t>שיקול המצדיק כשלעצמו החמרה במתחם הענישה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המלמדות על חלקו הארי של המשיב בביצוע </w:t>
      </w:r>
      <w:r>
        <w:rPr>
          <w:rtl w:val="true"/>
          <w:lang w:eastAsia="he-IL"/>
        </w:rPr>
        <w:t>בהשוואה</w:t>
      </w:r>
      <w:r>
        <w:rPr>
          <w:rtl w:val="true"/>
        </w:rPr>
        <w:t xml:space="preserve"> לחלקו של מ</w:t>
      </w:r>
      <w:r>
        <w:rPr>
          <w:rtl w:val="true"/>
        </w:rPr>
        <w:t xml:space="preserve">',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ועל הנזק הרב שהיה צפוי להיגרם ושאכן נגרם בפועל למתלוננת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מצדיקות קביעת מתחם גבוה מכפי שנקבע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איננו רואים לקבוע מסמרות בשאלת גבולותיו של המתחם</w:t>
      </w:r>
      <w:r>
        <w:rPr>
          <w:rtl w:val="true"/>
        </w:rPr>
        <w:t xml:space="preserve">, </w:t>
      </w:r>
      <w:r>
        <w:rPr>
          <w:rtl w:val="true"/>
        </w:rPr>
        <w:t>שכן גם בגדר המתחם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ששוקלים אנו את צירוף העבירות כחלק מאירוע אחד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ואת רמת הענישה הנוהגת</w:t>
      </w:r>
      <w:r>
        <w:rPr>
          <w:rtl w:val="true"/>
        </w:rPr>
        <w:t xml:space="preserve">, </w:t>
      </w:r>
      <w:r>
        <w:rPr>
          <w:rtl w:val="true"/>
        </w:rPr>
        <w:t>מצאנו כי במקרה זה העונש שקבע בית המשפט המחוזי חורג לקולה במידה המצדיקה התערבות</w:t>
      </w:r>
      <w:r>
        <w:rPr>
          <w:rtl w:val="true"/>
        </w:rPr>
        <w:t xml:space="preserve">, </w:t>
      </w:r>
      <w:r>
        <w:rPr>
          <w:rtl w:val="true"/>
        </w:rPr>
        <w:t>כפי המבואר להלן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800"/>
          <w:tab w:val="left" w:pos="799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עבירת ההטרדה המינית היא שיקול להחמרה עם המשיב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חוק הסרטונים </w:t>
      </w:r>
      <w:r>
        <w:rPr>
          <w:rFonts w:ascii="David" w:hAnsi="David" w:cs="David"/>
          <w:rtl w:val="true"/>
        </w:rPr>
        <w:t>הוסיף ל</w:t>
      </w:r>
      <w:r>
        <w:rPr>
          <w:rFonts w:ascii="David" w:hAnsi="David" w:cs="David"/>
          <w:rtl w:val="true"/>
        </w:rPr>
        <w:t>ספר</w:t>
      </w:r>
      <w:r>
        <w:rPr>
          <w:rFonts w:ascii="David" w:hAnsi="David" w:cs="David"/>
          <w:rtl w:val="true"/>
        </w:rPr>
        <w:t xml:space="preserve"> החוקים </w:t>
      </w:r>
      <w:r>
        <w:rPr>
          <w:rFonts w:ascii="David" w:hAnsi="David" w:cs="David"/>
          <w:rtl w:val="true"/>
        </w:rPr>
        <w:t>את</w:t>
      </w:r>
      <w:r>
        <w:rPr>
          <w:rFonts w:ascii="David" w:hAnsi="David" w:cs="David"/>
          <w:rtl w:val="true"/>
        </w:rPr>
        <w:t xml:space="preserve"> </w:t>
      </w:r>
      <w:hyperlink r:id="rId3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5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שבו הורשע המשיב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סעיף זה חל על מקרים רבים ברמות חומרה משתנות בהתאם לגורמים שונים</w:t>
      </w:r>
      <w:r>
        <w:rPr>
          <w:rtl w:val="true"/>
        </w:rPr>
        <w:t xml:space="preserve">: </w:t>
      </w:r>
      <w:r>
        <w:rPr>
          <w:rtl w:val="true"/>
        </w:rPr>
        <w:t>גיל הנפגע או הנפגעת</w:t>
      </w:r>
      <w:r>
        <w:rPr>
          <w:rtl w:val="true"/>
        </w:rPr>
        <w:t xml:space="preserve">; </w:t>
      </w:r>
      <w:r>
        <w:rPr>
          <w:rtl w:val="true"/>
        </w:rPr>
        <w:t>מערכת היחסים בין המפיץ לנפגעת</w:t>
      </w:r>
      <w:r>
        <w:rPr>
          <w:rtl w:val="true"/>
        </w:rPr>
        <w:t xml:space="preserve">; </w:t>
      </w:r>
      <w:r>
        <w:rPr>
          <w:rtl w:val="true"/>
        </w:rPr>
        <w:t xml:space="preserve">זהות הנמענים של ההפצה </w:t>
      </w:r>
      <w:r>
        <w:rPr>
          <w:rtl w:val="true"/>
        </w:rPr>
        <w:t>(</w:t>
      </w:r>
      <w:r>
        <w:rPr>
          <w:rtl w:val="true"/>
        </w:rPr>
        <w:t>הקבוצה החברתית של הנפגעת</w:t>
      </w:r>
      <w:r>
        <w:rPr>
          <w:rtl w:val="true"/>
        </w:rPr>
        <w:t xml:space="preserve">, </w:t>
      </w:r>
      <w:r>
        <w:rPr>
          <w:rtl w:val="true"/>
        </w:rPr>
        <w:t>ציבור רחב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); </w:t>
      </w:r>
      <w:r>
        <w:rPr>
          <w:rtl w:val="true"/>
        </w:rPr>
        <w:t xml:space="preserve">הסכמה לרכיב בשרשרת המעשים שקדמו להפצה </w:t>
      </w:r>
      <w:r>
        <w:rPr>
          <w:rtl w:val="true"/>
        </w:rPr>
        <w:t>(</w:t>
      </w:r>
      <w:r>
        <w:rPr>
          <w:rtl w:val="true"/>
        </w:rPr>
        <w:t>המעשה המיני או התיעוד</w:t>
      </w:r>
      <w:r>
        <w:rPr>
          <w:rtl w:val="true"/>
        </w:rPr>
        <w:t xml:space="preserve">); </w:t>
      </w:r>
      <w:r>
        <w:rPr>
          <w:rtl w:val="true"/>
        </w:rPr>
        <w:t xml:space="preserve">מועד תכנון ההפצה </w:t>
      </w:r>
      <w:r>
        <w:rPr>
          <w:rtl w:val="true"/>
        </w:rPr>
        <w:t>(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במהלך המעשה המיני או בדיעבד</w:t>
      </w:r>
      <w:r>
        <w:rPr>
          <w:rtl w:val="true"/>
        </w:rPr>
        <w:t xml:space="preserve">),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במקרה שלפנינו יש כמה נסיבות חומרה</w:t>
      </w:r>
      <w:r>
        <w:rPr>
          <w:rtl w:val="true"/>
        </w:rPr>
        <w:t xml:space="preserve">. </w:t>
      </w:r>
      <w:r>
        <w:rPr>
          <w:rtl w:val="true"/>
        </w:rPr>
        <w:t>בגיל המתלוננת נדון בהמשך</w:t>
      </w:r>
      <w:r>
        <w:rPr>
          <w:rtl w:val="true"/>
        </w:rPr>
        <w:t xml:space="preserve">. </w:t>
      </w:r>
      <w:r>
        <w:rPr>
          <w:rtl w:val="true"/>
        </w:rPr>
        <w:t>אשר להסכמה</w:t>
      </w:r>
      <w:r>
        <w:rPr>
          <w:rtl w:val="true"/>
        </w:rPr>
        <w:t xml:space="preserve">, </w:t>
      </w:r>
      <w:r>
        <w:rPr>
          <w:rtl w:val="true"/>
        </w:rPr>
        <w:t>לכאורה המתלוננת הסכימה שהמשיב יצלם את יחסי המין ביניהם וישלח את התיעוד למ</w:t>
      </w:r>
      <w:r>
        <w:rPr>
          <w:rtl w:val="true"/>
        </w:rPr>
        <w:t xml:space="preserve">'. </w:t>
      </w:r>
      <w:r>
        <w:rPr>
          <w:rtl w:val="true"/>
        </w:rPr>
        <w:t>אולם ההסכמה של המתלוננת נבעה ממצג השווא ומאמצעי הסחיטה שהפעיל המשיב</w:t>
      </w:r>
      <w:r>
        <w:rPr>
          <w:rtl w:val="true"/>
        </w:rPr>
        <w:t xml:space="preserve">. </w:t>
      </w:r>
      <w:r>
        <w:rPr>
          <w:rtl w:val="true"/>
        </w:rPr>
        <w:t xml:space="preserve">הפצת הסרטונים לאנשים נוספים חרגה אף מאותה 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". </w:t>
      </w:r>
      <w:r>
        <w:rPr>
          <w:rtl w:val="true"/>
        </w:rPr>
        <w:t>במובן זה ענייננו חמור למשל ממקרה שבו אף שהצילום נעשה בהסכמה מלאה</w:t>
      </w:r>
      <w:r>
        <w:rPr>
          <w:rtl w:val="true"/>
        </w:rPr>
        <w:t xml:space="preserve">, </w:t>
      </w:r>
      <w:r>
        <w:rPr>
          <w:rtl w:val="true"/>
        </w:rPr>
        <w:t xml:space="preserve">ההפצה נעשתה בלא הסכמה </w:t>
      </w:r>
      <w:r>
        <w:rPr>
          <w:rtl w:val="true"/>
        </w:rPr>
        <w:t>(</w:t>
      </w:r>
      <w:r>
        <w:rPr>
          <w:rtl w:val="true"/>
        </w:rPr>
        <w:t xml:space="preserve">תופעה המוכרת במקרים מסוימים בשם </w:t>
      </w:r>
      <w:r>
        <w:rPr>
          <w:rtl w:val="true"/>
        </w:rPr>
        <w:t>"</w:t>
      </w:r>
      <w:r>
        <w:rPr>
          <w:rtl w:val="true"/>
        </w:rPr>
        <w:t>פורנוגרפיית נקם</w:t>
      </w:r>
      <w:r>
        <w:rPr>
          <w:rtl w:val="true"/>
        </w:rPr>
        <w:t xml:space="preserve">". </w:t>
      </w:r>
      <w:r>
        <w:rPr>
          <w:rtl w:val="true"/>
        </w:rPr>
        <w:t xml:space="preserve">ראו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פורנוגרפיית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/>
        <w:t>273</w:t>
      </w:r>
      <w:r>
        <w:rPr>
          <w:rtl w:val="true"/>
        </w:rPr>
        <w:t xml:space="preserve">). </w:t>
      </w:r>
      <w:r>
        <w:rPr>
          <w:rtl w:val="true"/>
        </w:rPr>
        <w:t>בכל הנוגע למועד תכנון ההפצה</w:t>
      </w:r>
      <w:r>
        <w:rPr>
          <w:rtl w:val="true"/>
        </w:rPr>
        <w:t xml:space="preserve">, </w:t>
      </w:r>
      <w:r>
        <w:rPr>
          <w:rtl w:val="true"/>
        </w:rPr>
        <w:t>אנו למדים כי המשיב החליט להפיץ את הסרטונים</w:t>
      </w:r>
      <w:r>
        <w:rPr>
          <w:rtl w:val="true"/>
        </w:rPr>
        <w:t xml:space="preserve">, </w:t>
      </w:r>
      <w:r>
        <w:rPr>
          <w:rtl w:val="true"/>
        </w:rPr>
        <w:t xml:space="preserve">עוד בטרם קיום יחסי המין ואף הורה למתלוננת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תוך כדי מעשה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לנקוב בשם של חברו כדי למען אליו את התיעוד</w:t>
      </w:r>
      <w:r>
        <w:rPr>
          <w:rtl w:val="true"/>
        </w:rPr>
        <w:t xml:space="preserve">. </w:t>
      </w:r>
      <w:r>
        <w:rPr>
          <w:rtl w:val="true"/>
        </w:rPr>
        <w:t>בנסיבות אלה יש בהיבט זה חומרה יתרה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נזקה של המתלוננת גם הוא עומד לנגד עינינו</w:t>
      </w:r>
      <w:r>
        <w:rPr>
          <w:rtl w:val="true"/>
        </w:rPr>
        <w:t xml:space="preserve">. </w:t>
      </w:r>
      <w:r>
        <w:rPr>
          <w:rtl w:val="true"/>
        </w:rPr>
        <w:t>הפגיעה והסבל שהמשיב הסב לה מצדיקים ענישה הולמת</w:t>
      </w:r>
      <w:r>
        <w:rPr>
          <w:rtl w:val="true"/>
        </w:rPr>
        <w:t xml:space="preserve">. </w:t>
      </w:r>
      <w:r>
        <w:rPr>
          <w:rtl w:val="true"/>
        </w:rPr>
        <w:t>כפי שציין בית משפט קמא</w:t>
      </w:r>
      <w:r>
        <w:rPr>
          <w:rtl w:val="true"/>
        </w:rPr>
        <w:t xml:space="preserve">, </w:t>
      </w:r>
      <w:r>
        <w:rPr>
          <w:rtl w:val="true"/>
        </w:rPr>
        <w:t>היה מצופה מהמשיב</w:t>
      </w:r>
      <w:r>
        <w:rPr>
          <w:rtl w:val="true"/>
        </w:rPr>
        <w:t xml:space="preserve">, </w:t>
      </w:r>
      <w:r>
        <w:rPr>
          <w:rtl w:val="true"/>
        </w:rPr>
        <w:t>שגולל את דבר היותו מושא להצקות והטרדות בחברת הילדים ובני הנוער</w:t>
      </w:r>
      <w:r>
        <w:rPr>
          <w:rtl w:val="true"/>
        </w:rPr>
        <w:t xml:space="preserve">, </w:t>
      </w:r>
      <w:r>
        <w:rPr>
          <w:rtl w:val="true"/>
        </w:rPr>
        <w:t>דווקא להבין את המתלוננת ולהביע אמפתיה כלפיה</w:t>
      </w:r>
      <w:r>
        <w:rPr>
          <w:rtl w:val="true"/>
        </w:rPr>
        <w:t xml:space="preserve">. </w:t>
      </w:r>
      <w:r>
        <w:rPr>
          <w:rtl w:val="true"/>
        </w:rPr>
        <w:t>עולמה של המתלוננת התהפך עליה והיא ממשיכה לסבול</w:t>
      </w:r>
      <w:r>
        <w:rPr>
          <w:rtl w:val="true"/>
        </w:rPr>
        <w:t xml:space="preserve">, </w:t>
      </w:r>
      <w:r>
        <w:rPr>
          <w:rtl w:val="true"/>
        </w:rPr>
        <w:t xml:space="preserve">ודאי נוכח היותה בגיל שבו נפשה ואישיותה עודן בשלבי עיצוב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6092/10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  <w:t>בית משפט קמא הפחית במשקל אחריותו של המשיב לאירועים ביחס למ</w:t>
      </w:r>
      <w:r>
        <w:rPr>
          <w:rtl w:val="true"/>
        </w:rPr>
        <w:t xml:space="preserve">'. </w:t>
      </w:r>
      <w:r>
        <w:rPr>
          <w:rtl w:val="true"/>
        </w:rPr>
        <w:t>אחידות ענישה היא שיקול חשוב</w:t>
      </w:r>
      <w:r>
        <w:rPr>
          <w:rtl w:val="true"/>
        </w:rPr>
        <w:t xml:space="preserve">, </w:t>
      </w:r>
      <w:r>
        <w:rPr>
          <w:rtl w:val="true"/>
        </w:rPr>
        <w:t>אך במקרה הנוכחי ההבחנה בין השניים חותכת</w:t>
      </w:r>
      <w:r>
        <w:rPr>
          <w:rtl w:val="true"/>
        </w:rPr>
        <w:t xml:space="preserve">: </w:t>
      </w:r>
      <w:r>
        <w:rPr>
          <w:rtl w:val="true"/>
        </w:rPr>
        <w:t>על בסיס האיום שיצר עם מ</w:t>
      </w:r>
      <w:r>
        <w:rPr>
          <w:rtl w:val="true"/>
        </w:rPr>
        <w:t xml:space="preserve">', </w:t>
      </w:r>
      <w:r>
        <w:rPr>
          <w:rtl w:val="true"/>
        </w:rPr>
        <w:t>בחר המשיב מיוזמתו החופשית להפיק הנאה אישית תוך ניצול מיני של המתלוננת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לא הורשע בעבירת הטרדה מינית</w:t>
      </w:r>
      <w:r>
        <w:rPr>
          <w:rtl w:val="true"/>
        </w:rPr>
        <w:t xml:space="preserve">. </w:t>
      </w:r>
      <w:r>
        <w:rPr>
          <w:rtl w:val="true"/>
        </w:rPr>
        <w:t>נוכח כל זאת היה מקום להבחין בין השניים ולא לקבוע את עונשו של המשיב בהתאם לעונשו של מ</w:t>
      </w:r>
      <w:r>
        <w:rPr>
          <w:rtl w:val="true"/>
        </w:rPr>
        <w:t xml:space="preserve">'.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 xml:space="preserve">שיקום הנאשם הוא שיקול להקלה בעונש בגדרי המתחם שנקבע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335/18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פסקאות </w:t>
      </w:r>
      <w:r>
        <w:rPr>
          <w:color w:val="000000"/>
          <w:sz w:val="28"/>
        </w:rPr>
        <w:t>13</w:t>
      </w:r>
      <w:r>
        <w:rPr>
          <w:rFonts w:cs="Times New Roman" w:ascii="Times New Roman" w:hAnsi="Times New Roman"/>
          <w:color w:val="000000"/>
          <w:sz w:val="28"/>
          <w:rtl w:val="true"/>
        </w:rPr>
        <w:t>–</w:t>
      </w:r>
      <w:r>
        <w:rPr>
          <w:color w:val="000000"/>
          <w:sz w:val="28"/>
        </w:rPr>
        <w:t>14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22.4.2018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והוא מתחזק ככל שגילו של הנאשם נמוך יותר</w:t>
      </w:r>
      <w:r>
        <w:rPr>
          <w:rtl w:val="true"/>
        </w:rPr>
        <w:t xml:space="preserve">, </w:t>
      </w:r>
      <w:r>
        <w:rPr>
          <w:rtl w:val="true"/>
        </w:rPr>
        <w:t xml:space="preserve">אף אם אינו קטין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5725/15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10</w:t>
      </w:r>
      <w:r>
        <w:rPr>
          <w:rFonts w:cs="Times New Roman" w:ascii="Times New Roman" w:hAnsi="Times New Roman"/>
          <w:rtl w:val="true"/>
        </w:rPr>
        <w:t>–</w:t>
      </w:r>
      <w:r>
        <w:rPr/>
        <w:t>12</w:t>
      </w:r>
      <w:r>
        <w:rPr>
          <w:rtl w:val="true"/>
        </w:rPr>
        <w:t xml:space="preserve"> (</w:t>
      </w:r>
      <w:r>
        <w:rPr/>
        <w:t>4.8.2016</w:t>
      </w:r>
      <w:r>
        <w:rPr>
          <w:rtl w:val="true"/>
        </w:rPr>
        <w:t xml:space="preserve">)).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 לזכור כי עבירות מסוג זה מבצעים לא פעם בני נוער ואנשים צעירים</w:t>
      </w:r>
      <w:r>
        <w:rPr>
          <w:rtl w:val="true"/>
        </w:rPr>
        <w:t xml:space="preserve">, </w:t>
      </w:r>
      <w:r>
        <w:rPr>
          <w:rtl w:val="true"/>
        </w:rPr>
        <w:t xml:space="preserve">על כן המשקל שיש להעניק לגיל צעיר של נאשם מוגבל יותר מזה שנותנים לו בעבירות אחרות </w:t>
      </w:r>
      <w:r>
        <w:rPr>
          <w:rtl w:val="true"/>
        </w:rPr>
        <w:t>(</w:t>
      </w:r>
      <w:r>
        <w:rPr>
          <w:rtl w:val="true"/>
        </w:rPr>
        <w:t>השוו למשל ל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26.3.2014</w:t>
      </w:r>
      <w:r>
        <w:rPr>
          <w:rtl w:val="true"/>
        </w:rPr>
        <w:t xml:space="preserve">)). </w:t>
      </w:r>
      <w:r>
        <w:rPr>
          <w:rtl w:val="true"/>
        </w:rPr>
        <w:t>אין לכחד כי שיקום הוא שיקול חשוב</w:t>
      </w:r>
      <w:r>
        <w:rPr>
          <w:rtl w:val="true"/>
        </w:rPr>
        <w:t xml:space="preserve">, </w:t>
      </w:r>
      <w:r>
        <w:rPr>
          <w:rtl w:val="true"/>
        </w:rPr>
        <w:t>הן בגדר המקרה הפרטני הן מבחינה חברתית</w:t>
      </w:r>
      <w:r>
        <w:rPr>
          <w:rtl w:val="true"/>
        </w:rPr>
        <w:t>-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בית משפט זה עמד על כך לא פעם</w:t>
      </w:r>
      <w:r>
        <w:rPr>
          <w:rtl w:val="true"/>
        </w:rPr>
        <w:t>:</w:t>
      </w:r>
      <w:r>
        <w:rPr>
          <w:sz w:val="28"/>
          <w:rtl w:val="true"/>
        </w:rPr>
        <w:t xml:space="preserve"> 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אופקי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ולראשונה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בונה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וקונסטרוקטיבי</w:t>
      </w:r>
      <w:r>
        <w:rPr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והרווחה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ואנושיים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וננקטים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8092/04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חביב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10.9.2006</w:t>
      </w:r>
      <w:r>
        <w:rPr>
          <w:rtl w:val="true"/>
        </w:rPr>
        <w:t>)).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5496/14</w:t>
        </w:r>
      </w:hyperlink>
      <w:r>
        <w:rPr>
          <w:rtl w:val="true"/>
        </w:rPr>
        <w:t xml:space="preserve"> (</w:t>
      </w:r>
      <w:r>
        <w:rPr/>
        <w:t>29.12.2015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19.11.2007</w:t>
      </w:r>
      <w:r>
        <w:rPr>
          <w:rtl w:val="true"/>
        </w:rPr>
        <w:t xml:space="preserve">). 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Fonts w:cs="Times New Roman" w:ascii="Times New Roman" w:hAnsi="Times New Roman"/>
          <w:rtl w:val="true"/>
        </w:rPr>
        <w:t>–</w:t>
      </w:r>
      <w:r>
        <w:rPr/>
        <w:t>10</w:t>
      </w:r>
      <w:r>
        <w:rPr>
          <w:rtl w:val="true"/>
        </w:rPr>
        <w:t xml:space="preserve"> (</w:t>
      </w:r>
      <w:r>
        <w:rPr/>
        <w:t>6.4.2003</w:t>
      </w:r>
      <w:r>
        <w:rPr>
          <w:rtl w:val="true"/>
        </w:rPr>
        <w:t xml:space="preserve">)).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0">
        <w:bookmarkStart w:id="18" w:name="Text1"/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544/14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מחמוד</w:t>
      </w:r>
      <w:bookmarkEnd w:id="18"/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11</w:t>
      </w:r>
      <w:r>
        <w:rPr>
          <w:rtl w:val="true"/>
        </w:rPr>
        <w:t xml:space="preserve"> (</w:t>
      </w:r>
      <w:r>
        <w:rPr/>
        <w:t>29.1.2015</w:t>
      </w:r>
      <w:r>
        <w:rPr>
          <w:rtl w:val="true"/>
        </w:rPr>
        <w:t xml:space="preserve">)).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2"/>
        <w:tabs>
          <w:tab w:val="clear" w:pos="800"/>
          <w:tab w:val="left" w:pos="799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cs="Times New Roman"/>
          <w:spacing w:val="0"/>
          <w:szCs w:val="24"/>
        </w:rPr>
      </w:pPr>
      <w:r>
        <w:rPr>
          <w:rtl w:val="true"/>
        </w:rPr>
        <w:t>לפני חתימה</w:t>
      </w:r>
      <w:r>
        <w:rPr>
          <w:rtl w:val="true"/>
        </w:rPr>
        <w:t xml:space="preserve">, </w:t>
      </w:r>
      <w:r>
        <w:rPr>
          <w:rtl w:val="true"/>
        </w:rPr>
        <w:t>נציין שתוצאות מעשי המשיב ימשיכו ללוות את המתלוננת עוד זמן רב</w:t>
      </w:r>
      <w:r>
        <w:rPr>
          <w:rtl w:val="true"/>
        </w:rPr>
        <w:t xml:space="preserve">, </w:t>
      </w:r>
      <w:r>
        <w:rPr>
          <w:rtl w:val="true"/>
        </w:rPr>
        <w:t>גם לאחר שהוא יסיים לרצות את עונשו</w:t>
      </w:r>
      <w:r>
        <w:rPr>
          <w:rtl w:val="true"/>
        </w:rPr>
        <w:t xml:space="preserve">, </w:t>
      </w:r>
      <w:r>
        <w:rPr>
          <w:rtl w:val="true"/>
        </w:rPr>
        <w:t>ואף הפיצוי הכספי לא יוכל לתקן את אשר אירע</w:t>
      </w:r>
      <w:r>
        <w:rPr>
          <w:rtl w:val="true"/>
        </w:rPr>
        <w:t xml:space="preserve">. </w:t>
      </w:r>
      <w:r>
        <w:rPr>
          <w:rtl w:val="true"/>
        </w:rPr>
        <w:t>נביע את תקוותנו שהמתלוננת תצליח להתגבר על הפגיעה שהמשיב ומ</w:t>
      </w:r>
      <w:r>
        <w:rPr>
          <w:rtl w:val="true"/>
        </w:rPr>
        <w:t xml:space="preserve">' </w:t>
      </w:r>
      <w:r>
        <w:rPr>
          <w:rtl w:val="true"/>
        </w:rPr>
        <w:t>פגעו בה</w:t>
      </w:r>
      <w:r>
        <w:rPr>
          <w:rtl w:val="true"/>
        </w:rPr>
        <w:t xml:space="preserve">, </w:t>
      </w:r>
      <w:r>
        <w:rPr>
          <w:rtl w:val="true"/>
        </w:rPr>
        <w:t>להשתקם עם חלוף הזמן ולשוב למסלול חייה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cs="Times New Roman"/>
          <w:spacing w:val="0"/>
          <w:szCs w:val="24"/>
        </w:rPr>
      </w:pPr>
      <w:r>
        <w:rPr>
          <w:rFonts w:cs="Times New Roman"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800"/>
          <w:tab w:val="left" w:pos="799" w:leader="none"/>
        </w:tabs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מתקבל באופן שעונשו של המשיב יועמד על שנה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העונש עומדים 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פוגלמן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18.12.2018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10:00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כשברשותו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בטלפונים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 w:val="24"/>
          <w:szCs w:val="28"/>
        </w:rPr>
        <w:t>08-9787377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bookmarkStart w:id="19" w:name="Carmel"/>
      <w:bookmarkEnd w:id="19"/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08-9787336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18.11.2018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18050900</w:t>
      </w:r>
      <w:r>
        <w:rPr>
          <w:sz w:val="16"/>
          <w:rtl w:val="true"/>
        </w:rPr>
        <w:t>_</w:t>
      </w:r>
      <w:r>
        <w:rPr>
          <w:sz w:val="16"/>
        </w:rPr>
        <w:t>M06.doc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54678313-5090/18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5090/18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.a.5a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2507" TargetMode="External"/><Relationship Id="rId9" Type="http://schemas.openxmlformats.org/officeDocument/2006/relationships/hyperlink" Target="http://www.nevo.co.il/law/72507/3.a.5a" TargetMode="External"/><Relationship Id="rId10" Type="http://schemas.openxmlformats.org/officeDocument/2006/relationships/hyperlink" Target="http://www.nevo.co.il/law/72507/5.a" TargetMode="External"/><Relationship Id="rId11" Type="http://schemas.openxmlformats.org/officeDocument/2006/relationships/hyperlink" Target="http://www.nevo.co.il/safrut/book/26135" TargetMode="External"/><Relationship Id="rId12" Type="http://schemas.openxmlformats.org/officeDocument/2006/relationships/hyperlink" Target="http://www.nevo.co.il/safrut/book/26135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2507/3.a.5a" TargetMode="External"/><Relationship Id="rId16" Type="http://schemas.openxmlformats.org/officeDocument/2006/relationships/hyperlink" Target="http://www.nevo.co.il/law/72507/5.a" TargetMode="External"/><Relationship Id="rId17" Type="http://schemas.openxmlformats.org/officeDocument/2006/relationships/hyperlink" Target="http://www.nevo.co.il/law/72507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477455" TargetMode="External"/><Relationship Id="rId21" Type="http://schemas.openxmlformats.org/officeDocument/2006/relationships/hyperlink" Target="http://www.nevo.co.il/case/17948153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248783" TargetMode="External"/><Relationship Id="rId26" Type="http://schemas.openxmlformats.org/officeDocument/2006/relationships/hyperlink" Target="http://www.nevo.co.il/case/24263089" TargetMode="External"/><Relationship Id="rId27" Type="http://schemas.openxmlformats.org/officeDocument/2006/relationships/hyperlink" Target="http://www.nevo.co.il/case/24263089" TargetMode="External"/><Relationship Id="rId28" Type="http://schemas.openxmlformats.org/officeDocument/2006/relationships/hyperlink" Target="http://www.nevo.co.il/law/72507" TargetMode="External"/><Relationship Id="rId29" Type="http://schemas.openxmlformats.org/officeDocument/2006/relationships/hyperlink" Target="http://www.nevo.co.il/law/72507" TargetMode="External"/><Relationship Id="rId30" Type="http://schemas.openxmlformats.org/officeDocument/2006/relationships/hyperlink" Target="http://www.nevo.co.il/law/72507" TargetMode="External"/><Relationship Id="rId31" Type="http://schemas.openxmlformats.org/officeDocument/2006/relationships/hyperlink" Target="http://www.nevo.co.il/law/72507" TargetMode="External"/><Relationship Id="rId32" Type="http://schemas.openxmlformats.org/officeDocument/2006/relationships/hyperlink" Target="http://www.nevo.co.il/safrut/book/26135" TargetMode="External"/><Relationship Id="rId33" Type="http://schemas.openxmlformats.org/officeDocument/2006/relationships/hyperlink" Target="http://www.nevo.co.il/case/23775111" TargetMode="External"/><Relationship Id="rId34" Type="http://schemas.openxmlformats.org/officeDocument/2006/relationships/hyperlink" Target="http://www.nevo.co.il/case/20309569" TargetMode="External"/><Relationship Id="rId35" Type="http://schemas.openxmlformats.org/officeDocument/2006/relationships/hyperlink" Target="http://www.nevo.co.il/case/20272212" TargetMode="External"/><Relationship Id="rId36" Type="http://schemas.openxmlformats.org/officeDocument/2006/relationships/hyperlink" Target="http://www.nevo.co.il/case/5592052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.a.5a" TargetMode="External"/><Relationship Id="rId40" Type="http://schemas.openxmlformats.org/officeDocument/2006/relationships/hyperlink" Target="http://www.nevo.co.il/case/24263089" TargetMode="External"/><Relationship Id="rId41" Type="http://schemas.openxmlformats.org/officeDocument/2006/relationships/hyperlink" Target="http://www.nevo.co.il/case/6246845" TargetMode="External"/><Relationship Id="rId42" Type="http://schemas.openxmlformats.org/officeDocument/2006/relationships/hyperlink" Target="http://www.nevo.co.il/case/23563066" TargetMode="External"/><Relationship Id="rId43" Type="http://schemas.openxmlformats.org/officeDocument/2006/relationships/hyperlink" Target="http://www.nevo.co.il/case/20533387" TargetMode="External"/><Relationship Id="rId44" Type="http://schemas.openxmlformats.org/officeDocument/2006/relationships/hyperlink" Target="http://www.nevo.co.il/case/10521289" TargetMode="External"/><Relationship Id="rId45" Type="http://schemas.openxmlformats.org/officeDocument/2006/relationships/hyperlink" Target="http://www.nevo.co.il/case/6120591" TargetMode="External"/><Relationship Id="rId46" Type="http://schemas.openxmlformats.org/officeDocument/2006/relationships/hyperlink" Target="http://www.nevo.co.il/case/17015235" TargetMode="External"/><Relationship Id="rId47" Type="http://schemas.openxmlformats.org/officeDocument/2006/relationships/hyperlink" Target="http://www.nevo.co.il/case/17954218" TargetMode="External"/><Relationship Id="rId48" Type="http://schemas.openxmlformats.org/officeDocument/2006/relationships/hyperlink" Target="http://www.nevo.co.il/case/5698657" TargetMode="External"/><Relationship Id="rId49" Type="http://schemas.openxmlformats.org/officeDocument/2006/relationships/hyperlink" Target="http://www.nevo.co.il/case/5699105" TargetMode="External"/><Relationship Id="rId50" Type="http://schemas.openxmlformats.org/officeDocument/2006/relationships/hyperlink" Target="http://www.nevo.co.il/case/11206549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2018-11-19T13:25:00Z</dcterms:created>
  <dc:creator> </dc:creator>
  <dc:description/>
  <cp:keywords/>
  <dc:language>en-IL</dc:language>
  <cp:lastModifiedBy>hofit</cp:lastModifiedBy>
  <cp:lastPrinted>2018-11-15T17:48:00Z</cp:lastPrinted>
  <dcterms:modified xsi:type="dcterms:W3CDTF">2018-11-19T13:25:00Z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26135</vt:lpwstr>
  </property>
  <property fmtid="{D5CDD505-2E9C-101B-9397-08002B2CF9AE}" pid="9" name="CASESLISTTMP1">
    <vt:lpwstr>21477455;17948153;6248783;24263089:3;23775111;20309569;20272212;5592052;6246845;23563066;20533387;10521289;6120591;17015235;17954218;5698657;5699105;11206549</vt:lpwstr>
  </property>
  <property fmtid="{D5CDD505-2E9C-101B-9397-08002B2CF9AE}" pid="10" name="CITY">
    <vt:lpwstr/>
  </property>
  <property fmtid="{D5CDD505-2E9C-101B-9397-08002B2CF9AE}" pid="11" name="DATE">
    <vt:lpwstr>20181118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פוגלמן;ד' ברק ארז;א' שטיין</vt:lpwstr>
  </property>
  <property fmtid="{D5CDD505-2E9C-101B-9397-08002B2CF9AE}" pid="15" name="LAWLISTTMP1">
    <vt:lpwstr>70301/428:2;040c.a;040i;40jc;003.a.5a</vt:lpwstr>
  </property>
  <property fmtid="{D5CDD505-2E9C-101B-9397-08002B2CF9AE}" pid="16" name="LAWLISTTMP2">
    <vt:lpwstr>72507/003.a.5a;005.a</vt:lpwstr>
  </property>
  <property fmtid="{D5CDD505-2E9C-101B-9397-08002B2CF9AE}" pid="17" name="LAWYER">
    <vt:lpwstr>שלומציון גבאי מנדלמן;אלעד רום;עודד ציון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</vt:lpwstr>
  </property>
  <property fmtid="{D5CDD505-2E9C-101B-9397-08002B2CF9AE}" pid="50" name="NOSE31">
    <vt:lpwstr>מדיניות ענישה: הטרדה מינית על ידי פרסום משפיל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</vt:lpwstr>
  </property>
  <property fmtid="{D5CDD505-2E9C-101B-9397-08002B2CF9AE}" pid="53" name="NOSE33">
    <vt:lpwstr>מדיניות ענישה: שיקום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מתחם הענישה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;8994;14346;8982;14985</vt:lpwstr>
  </property>
  <property fmtid="{D5CDD505-2E9C-101B-9397-08002B2CF9AE}" pid="61" name="PADIDATE">
    <vt:lpwstr>20181119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5090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410120181118</vt:lpwstr>
  </property>
  <property fmtid="{D5CDD505-2E9C-101B-9397-08002B2CF9AE}" pid="71" name="TYPE_N_DATE">
    <vt:lpwstr>41020181118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