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510/22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טויטו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</w:t>
            </w:r>
            <w:r>
              <w:rPr>
                <w:rFonts w:ascii="David" w:hAnsi="David"/>
                <w:rtl w:val="true"/>
              </w:rPr>
              <w:t>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7.10.2021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41881-03-20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אשר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4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דותן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פרדמן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אייל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מתחמים לא הולמים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עקרון ההלימה בקביעת מתחם העונש ההולם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90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).,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449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לראות בעבירת ההצתה עבירת 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ולא עבירה התנהגותית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ascii="Times New Roman" w:hAnsi="Times New Roman" w:cs="Times New Roman"/>
          <w:spacing w:val="0"/>
          <w:szCs w:val="26"/>
          <w:rtl w:val="true"/>
        </w:rPr>
        <w:t>המודעות הנדרשת ביחס לתוצאה היא לאפשרות שכתוצאה מהמעשה תיגרם 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פה אחד נפסק כי אין להתערב בהרשעת המערער בעבירת 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בדעת רוב נפסק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זהו מקרה חריג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שב</w:t>
      </w:r>
      <w:r>
        <w:rPr>
          <w:rFonts w:ascii="Times New Roman" w:hAnsi="Times New Roman" w:cs="Times New Roman"/>
          <w:spacing w:val="0"/>
          <w:szCs w:val="26"/>
          <w:rtl w:val="true"/>
        </w:rPr>
        <w:t>מסגרת גזירת העונש יש לייחס משקל לכך שהמערער פעל מתוך יסוד נפשי של פזיזות ולא של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פחת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מתקופת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שהמערער ירצה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הצתה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פזיזות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אדישות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מודעות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בהצתה ו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שיבוש הליכי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לנפגע העבירה בסך </w:t>
      </w:r>
      <w:r>
        <w:rPr>
          <w:rFonts w:cs="Times New Roman" w:ascii="Times New Roman" w:hAnsi="Times New Roman"/>
          <w:spacing w:val="0"/>
          <w:szCs w:val="26"/>
        </w:rPr>
        <w:t>70,000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 נסב אודות 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האם התקיים היסוד הנפשי של עבירת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 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האם יש מקום להתערב 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רונן ובהסכמת השופטים סולברג ואלרון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,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השופטת רונן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השופט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כנגד דעתו החולקת של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על גזר הדין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הורשע בעבירת הצתה לפי סעיף </w:t>
      </w:r>
      <w:r>
        <w:rPr>
          <w:rFonts w:cs="Times New Roman" w:ascii="Times New Roman" w:hAnsi="Times New Roman"/>
          <w:spacing w:val="0"/>
          <w:szCs w:val="26"/>
        </w:rPr>
        <w:t>448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רישא ל</w:t>
      </w:r>
      <w:r>
        <w:rPr>
          <w:rFonts w:ascii="Times New Roman" w:hAnsi="Times New Roman" w:cs="Times New Roman"/>
          <w:spacing w:val="0"/>
          <w:szCs w:val="26"/>
          <w:rtl w:val="true"/>
        </w:rPr>
        <w:t>חוק העונשין 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המשלח אש במזיד בדבר לא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דינו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מאסר חמש עשרה שנים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היסוד העובדתי של עבירה זו מתקיים אם הוכח שהנאשם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שילח 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 שאינו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קבע כי יסוד זה מתקיים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וקביעה זו אינה עומדת לבחינה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 נוגעת ליסוד הנפשי בעבירה הדורש כי שילוח האש בדבר שאינו של הנאשם נעשה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ידיו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במזיד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משמעות דרישה זו היא שהנאשם יהיה מודע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לטיב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לקיום הנסיבות ולאפשרות הגרימה לתוצאות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ולעניין התוצאה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גם 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שמשמעותה אדישות או קלות דעת לאפשרות התקיימותה של תוצאה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בניגוד לקביעת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 לעבירת ההצתה כעבירה התנהגותית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 עבירה שאינה מותנית בגרם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לראות בעבירת ההצתה משום עבירת 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שמדובר בעבירת 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להרשיע בעבירת ההצתה אין צורך שלנאשם תהא מודעת ביחס לתוצאה המדויקת שתתרחש ובפרט לא מודעות לכך שההצתה תביא לנזק מוחשי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המודעות הנדרשת ביחס לתוצאה היא לאפשרות שכתוצאה מהמעשה תיגרם 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הרשעה בעבירת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להוכיח כי הנאשם היה מודע לטיב המעשה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השלכת נפצים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לקיום הנסיבות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שזריקת הנפצים היא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דבר לא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לאפשרות גרימת התוצאה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שהוא היה למצער פזיז לעניין האפשרות של התוצאה של קרות השריפה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 היא האם בעת קרות האירוע היה המערער מודע לאפשרות גרימת השריפה שנבעה מהשלכת הנפץ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והאם מתקיים היסוד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 התרחשותה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קבע כי היסוד הנפשי של מודעות הוכח מכוח חזקת המודעות שלפיה חזקה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כמי שזרק באופן מכוון חומר לקיח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חצר 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הוא מודע לאפשרות של התלקחות אש כתוצאה ממעשיו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אכן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להוכיח את יסוד המודעות בהסתמך על חזקת המודעות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סתר 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מודע לכל היסודות המהווים את הרכיב העובדתי של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מודע לתוצאה האפשרית של גרימת השריפה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הסכנה של גרימת השריפה כתוצאה מהשלכת הנפץ אינה צריכה להיות ודאית או קרובה לוודאי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ודי בכך שהיא אחת האפשרויות הצפויות כתוצאה של השלכת הנפצים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התוצאה הרווחת של השלכת נפצים היא יצירת רעש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שמדובר בהשלכה של חומר נפיץ העלול להוביל בהסתברות כלשהי גם לגרימ</w:t>
      </w:r>
      <w:r>
        <w:rPr>
          <w:rFonts w:ascii="Times New Roman" w:hAnsi="Times New Roman" w:cs="Times New Roman"/>
          <w:spacing w:val="0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לקבוע שחלה חזקת המודעות לסכנת השריפה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לא סתר את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החזקה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היה מודע בפועל לאפשרות שתגרם 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נטל סיכון בלתי סביר לאפשרות גרימתה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פעל לכל הפחות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עובר לאירוע מלמדת כי היה אדיש ביחס לאפשרות של פרוץ השריפה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על הכרעת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להרשיע את המערער בעבירה </w:t>
      </w:r>
      <w:r>
        <w:rPr>
          <w:rFonts w:ascii="Times New Roman" w:hAnsi="Times New Roman" w:cs="Times New Roman"/>
          <w:spacing w:val="0"/>
          <w:szCs w:val="26"/>
          <w:rtl w:val="true"/>
        </w:rPr>
        <w:t>הנדונה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השריפה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בשקלול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>.</w:t>
      </w:r>
      <w:bookmarkStart w:id="18" w:name="ABSTRACT_END"/>
      <w:bookmarkEnd w:id="1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ערעור על הכרעת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דין וגזר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דין שניתנו על ידי בית המשפט המחוזי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בירושלים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כב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'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השופט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ת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בר</w:t>
      </w:r>
      <w:r>
        <w:rPr>
          <w:rFonts w:cs="Miriam" w:ascii="Century" w:hAnsi="Century"/>
          <w:b/>
          <w:sz w:val="22"/>
          <w:shd w:fill="FFFFFF" w:val="clear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אשר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)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</w:rPr>
          <w:t>41881-03-20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מהימים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7.10.2021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13.1.2022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בהתאמה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בהכרעת הדין הורשע המערער בעבירה של הצתה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לפי </w:t>
      </w:r>
      <w:hyperlink r:id="rId23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shd w:fill="FFFFFF" w:val="clear"/>
            <w:rtl w:val="true"/>
          </w:rPr>
          <w:t>סעיף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shd w:fill="FFFFFF" w:val="clear"/>
          </w:rPr>
          <w:t>448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shd w:fill="FFFFFF" w:val="clear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shd w:fill="FFFFFF" w:val="clear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shd w:fill="FFFFFF" w:val="clear"/>
            <w:rtl w:val="true"/>
          </w:rPr>
          <w:t>)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רישא ל</w:t>
      </w:r>
      <w:hyperlink r:id="rId2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התשל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ז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1977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ושיבוש הליכי משפט לפי </w:t>
      </w:r>
      <w:hyperlink r:id="rId25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shd w:fill="FFFFFF" w:val="clear"/>
            <w:rtl w:val="true"/>
          </w:rPr>
          <w:t>סעיף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shd w:fill="FFFFFF" w:val="clear"/>
          </w:rPr>
          <w:t>244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לחוק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בגזר הדין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הוטל על המערער עונש של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36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חודשי מאסר בפועל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מאסר על תנאי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ופיצוי לנפגע העבירה בסך של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70,000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₪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שישולם תוך שנה ממועד מתן גזר הדין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הכרעת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וגזר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המחוזי</w:t>
      </w:r>
    </w:p>
    <w:p>
      <w:pPr>
        <w:pStyle w:val="Normal"/>
        <w:ind w:end="0"/>
        <w:jc w:val="both"/>
        <w:rPr>
          <w:rFonts w:cs="Miriam"/>
          <w:b/>
          <w:spacing w:val="0"/>
          <w:sz w:val="22"/>
          <w:szCs w:val="24"/>
        </w:rPr>
      </w:pPr>
      <w:r>
        <w:rPr>
          <w:rFonts w:cs="Miriam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המערער התגורר יחד עם הוריו ואחותו בדירה בבניין בשכונת רמת שלמה בירושלים</w:t>
      </w:r>
      <w:r>
        <w:rPr>
          <w:rtl w:val="true"/>
        </w:rPr>
        <w:t xml:space="preserve">, </w:t>
      </w:r>
      <w:r>
        <w:rPr>
          <w:rtl w:val="true"/>
        </w:rPr>
        <w:t>מול דירתה של משפחת ק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השכנים</w:t>
      </w:r>
      <w:r>
        <w:rPr>
          <w:rtl w:val="true"/>
        </w:rPr>
        <w:t xml:space="preserve">). </w:t>
      </w:r>
      <w:r>
        <w:rPr>
          <w:rtl w:val="true"/>
        </w:rPr>
        <w:t>במהלך השנים התגלע סכסוך בין המשפחות שעניינו בין היתר בטענות לרעש והטרדה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9.3.2020</w:t>
      </w:r>
      <w:r>
        <w:rPr>
          <w:rtl w:val="true"/>
        </w:rPr>
        <w:t xml:space="preserve">, </w:t>
      </w:r>
      <w:r>
        <w:rPr>
          <w:rtl w:val="true"/>
        </w:rPr>
        <w:t>במועד שבו חל חג הפורים</w:t>
      </w:r>
      <w:r>
        <w:rPr>
          <w:rtl w:val="true"/>
        </w:rPr>
        <w:t xml:space="preserve">, </w:t>
      </w:r>
      <w:r>
        <w:rPr>
          <w:rtl w:val="true"/>
        </w:rPr>
        <w:t>הלך המערער למקום סמוך למדרגות הכניסה לבניין</w:t>
      </w:r>
      <w:r>
        <w:rPr>
          <w:rtl w:val="true"/>
        </w:rPr>
        <w:t xml:space="preserve">, </w:t>
      </w:r>
      <w:r>
        <w:rPr>
          <w:rtl w:val="true"/>
        </w:rPr>
        <w:t>הדליק נפצים או חומר לקיח אחר שטיבו אינו ידוע</w:t>
      </w:r>
      <w:r>
        <w:rPr>
          <w:rtl w:val="true"/>
        </w:rPr>
        <w:t xml:space="preserve">, </w:t>
      </w:r>
      <w:r>
        <w:rPr>
          <w:rtl w:val="true"/>
        </w:rPr>
        <w:t>והשליכם אל עבר חצר ביתם של השכנים</w:t>
      </w:r>
      <w:r>
        <w:rPr>
          <w:rtl w:val="true"/>
        </w:rPr>
        <w:t xml:space="preserve">. </w:t>
      </w: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>אש התפשטה במהירות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ביקש מעובר אורח שחלף במקום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דניאל</w:t>
      </w:r>
      <w:r>
        <w:rPr>
          <w:rtl w:val="true"/>
        </w:rPr>
        <w:t xml:space="preserve">) </w:t>
      </w:r>
      <w:r>
        <w:rPr>
          <w:rtl w:val="true"/>
        </w:rPr>
        <w:t>להתקשר לכיבוי האש</w:t>
      </w:r>
      <w:r>
        <w:rPr>
          <w:rtl w:val="true"/>
        </w:rPr>
        <w:t xml:space="preserve">. </w:t>
      </w:r>
      <w:r>
        <w:rPr>
          <w:rtl w:val="true"/>
        </w:rPr>
        <w:t>דניאל השיב כי אין לו טלפון</w:t>
      </w:r>
      <w:r>
        <w:rPr>
          <w:rtl w:val="true"/>
        </w:rPr>
        <w:t xml:space="preserve">, </w:t>
      </w:r>
      <w:r>
        <w:rPr>
          <w:rtl w:val="true"/>
        </w:rPr>
        <w:t>אך למרות זאת נמנע המערער עצמו מלהתקשר אל כוחות הכיבוי</w:t>
      </w:r>
      <w:r>
        <w:rPr>
          <w:rtl w:val="true"/>
        </w:rPr>
        <w:t xml:space="preserve">. </w:t>
      </w:r>
      <w:r>
        <w:rPr>
          <w:rtl w:val="true"/>
        </w:rPr>
        <w:t>כתוצאה ממעשים אלה נגרמו נזקים כבדים לבית השכנים</w:t>
      </w:r>
      <w:r>
        <w:rPr>
          <w:rtl w:val="true"/>
        </w:rPr>
        <w:t xml:space="preserve">, </w:t>
      </w:r>
      <w:r>
        <w:rPr>
          <w:rtl w:val="true"/>
        </w:rPr>
        <w:t>וכן נגרמה בהלה לשכנים ולדיירי הבניין האחרים שנאלצו להתפנות במהירות מבתיהם</w:t>
      </w:r>
      <w:r>
        <w:rPr>
          <w:rtl w:val="true"/>
        </w:rPr>
        <w:t xml:space="preserve">. </w:t>
      </w:r>
      <w:r>
        <w:rPr>
          <w:rtl w:val="true"/>
        </w:rPr>
        <w:t>בשל כך הואשם המערער בעבירת ההצתה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סמוך לאחר פרוץ השרפה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התריע בפניה של אמו על התפרצות האש וביקש ממנה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tl w:val="true"/>
        </w:rPr>
        <w:t xml:space="preserve">". </w:t>
      </w:r>
      <w:r>
        <w:rPr>
          <w:rtl w:val="true"/>
        </w:rPr>
        <w:t>בשל כך הואשם המערער בעבירת שיבוש מהלכי 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שומים</w:t>
      </w:r>
      <w:r>
        <w:rPr>
          <w:rtl w:val="true"/>
        </w:rPr>
        <w:t xml:space="preserve">",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. </w:t>
      </w:r>
      <w:r>
        <w:rPr>
          <w:rtl w:val="true"/>
        </w:rPr>
        <w:t>בסיכומיו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לדליקה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להיווצרותה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7.10.2021</w:t>
      </w:r>
      <w:r>
        <w:rPr>
          <w:rtl w:val="true"/>
        </w:rPr>
        <w:t xml:space="preserve"> </w:t>
      </w:r>
      <w:r>
        <w:rPr>
          <w:rtl w:val="true"/>
        </w:rPr>
        <w:t>ניתנה הכרעת הדין בה נקבע כי עובדות כתב האישום הוכחו במלואן מעל ומעבר לכל ספק סביר באמצעות ראיותיה של המשיבה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הגדיר בית משפט קמא את השאלות שבמחלוקות</w:t>
      </w:r>
      <w:r>
        <w:rPr>
          <w:rtl w:val="true"/>
        </w:rPr>
        <w:t xml:space="preserve">. </w:t>
      </w:r>
      <w:r>
        <w:rPr>
          <w:rtl w:val="true"/>
        </w:rPr>
        <w:t>הוא קבע כי במקרה הנדון קיימות שתי שאלות הטעונות הכרעה</w:t>
      </w:r>
      <w:r>
        <w:rPr>
          <w:rtl w:val="true"/>
        </w:rPr>
        <w:t xml:space="preserve">: </w:t>
      </w:r>
      <w:r>
        <w:rPr>
          <w:rtl w:val="true"/>
        </w:rPr>
        <w:t>בעניין עבירת ההצתה השאלה האם המערער זרק חומר לקיח אל עבר חצר ביתם של השכנים</w:t>
      </w:r>
      <w:r>
        <w:rPr>
          <w:rtl w:val="true"/>
        </w:rPr>
        <w:t xml:space="preserve">; </w:t>
      </w:r>
      <w:r>
        <w:rPr>
          <w:rtl w:val="true"/>
        </w:rPr>
        <w:t>או שהוא זרק כטענתו חומר אל הכביש ופרוץ האש מיד לאחר מכן נבע מצירוף מקרים</w:t>
      </w:r>
      <w:r>
        <w:rPr>
          <w:rtl w:val="true"/>
        </w:rPr>
        <w:t xml:space="preserve">; </w:t>
      </w:r>
      <w:r>
        <w:rPr>
          <w:rtl w:val="true"/>
        </w:rPr>
        <w:t>ובעניין עבירת שיבוש מהלכי משפט השאלה שהוגדרה היא האם המערער אמר לאמו את המשפט שעל</w:t>
      </w:r>
      <w:r>
        <w:rPr>
          <w:rtl w:val="true"/>
        </w:rPr>
        <w:t>-</w:t>
      </w:r>
      <w:r>
        <w:rPr>
          <w:rtl w:val="true"/>
        </w:rPr>
        <w:t>פי הנטען אמר 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שומים</w:t>
      </w:r>
      <w:r>
        <w:rPr>
          <w:rtl w:val="true"/>
        </w:rPr>
        <w:t xml:space="preserve">"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"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התלקחות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tl w:val="true"/>
        </w:rPr>
        <w:t xml:space="preserve">, </w:t>
      </w:r>
      <w:r>
        <w:rPr>
          <w:rtl w:val="true"/>
        </w:rPr>
        <w:t>וזרק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ולסכנה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;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תעסוק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שומים</w:t>
      </w:r>
      <w:r>
        <w:rPr>
          <w:rtl w:val="true"/>
        </w:rPr>
        <w:t xml:space="preserve">"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13.1.2022</w:t>
      </w:r>
      <w:r>
        <w:rPr>
          <w:rtl w:val="true"/>
        </w:rPr>
        <w:t xml:space="preserve"> </w:t>
      </w:r>
      <w:r>
        <w:rPr>
          <w:rtl w:val="true"/>
        </w:rPr>
        <w:t>ניתן גזר הדין</w:t>
      </w:r>
      <w:r>
        <w:rPr>
          <w:rtl w:val="true"/>
        </w:rPr>
        <w:t xml:space="preserve">. </w:t>
      </w:r>
      <w:r>
        <w:rPr>
          <w:rtl w:val="true"/>
        </w:rPr>
        <w:t>בית משפט קמא קיבל את עדותו של נפגע העבירה</w:t>
      </w:r>
      <w:r>
        <w:rPr>
          <w:rtl w:val="true"/>
        </w:rPr>
        <w:t xml:space="preserve">, </w:t>
      </w:r>
      <w:r>
        <w:rPr>
          <w:rtl w:val="true"/>
        </w:rPr>
        <w:t>אבי משפחת השכנים</w:t>
      </w:r>
      <w:r>
        <w:rPr>
          <w:rtl w:val="true"/>
        </w:rPr>
        <w:t xml:space="preserve">, </w:t>
      </w:r>
      <w:r>
        <w:rPr>
          <w:rtl w:val="true"/>
        </w:rPr>
        <w:t>ביחס לנזק שנגרם לדירה ולציוד</w:t>
      </w:r>
      <w:r>
        <w:rPr>
          <w:rtl w:val="true"/>
        </w:rPr>
        <w:t xml:space="preserve">, </w:t>
      </w:r>
      <w:r>
        <w:rPr>
          <w:rtl w:val="true"/>
        </w:rPr>
        <w:t>כמו גם בקשר להתנהלות המערער כלפי משפחתו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דחה בית משפט קמא את הראיות לעונש מטעם ההגנה </w:t>
      </w:r>
      <w:r>
        <w:rPr>
          <w:rtl w:val="true"/>
        </w:rPr>
        <w:t>(</w:t>
      </w:r>
      <w:r>
        <w:rPr>
          <w:rtl w:val="true"/>
        </w:rPr>
        <w:t xml:space="preserve">רישיון זמני להחזקה ושימוש בקנאביס רפואי מיום </w:t>
      </w:r>
      <w:r>
        <w:rPr/>
        <w:t>27.11.2021</w:t>
      </w:r>
      <w:r>
        <w:rPr>
          <w:rtl w:val="true"/>
        </w:rPr>
        <w:t xml:space="preserve">; </w:t>
      </w:r>
      <w:r>
        <w:rPr>
          <w:rtl w:val="true"/>
        </w:rPr>
        <w:t xml:space="preserve">מסמך ביקור אצל פסיכיאטר מיום </w:t>
      </w:r>
      <w:r>
        <w:rPr/>
        <w:t>25.10.2021</w:t>
      </w:r>
      <w:r>
        <w:rPr>
          <w:rtl w:val="true"/>
        </w:rPr>
        <w:t xml:space="preserve">; </w:t>
      </w:r>
      <w:r>
        <w:rPr>
          <w:rtl w:val="true"/>
        </w:rPr>
        <w:t xml:space="preserve">מסמך ביקור אצל אחות בריאות הנפש במרפאת קופת חולים מיום </w:t>
      </w:r>
      <w:r>
        <w:rPr/>
        <w:t>19.7.2021</w:t>
      </w:r>
      <w:r>
        <w:rPr>
          <w:rtl w:val="true"/>
        </w:rPr>
        <w:t xml:space="preserve">; </w:t>
      </w:r>
      <w:r>
        <w:rPr>
          <w:rtl w:val="true"/>
        </w:rPr>
        <w:t xml:space="preserve">ומסמך מטעם עובדת סוציאלית מיום </w:t>
      </w:r>
      <w:r>
        <w:rPr/>
        <w:t>4.1.2022</w:t>
      </w:r>
      <w:r>
        <w:rPr>
          <w:rtl w:val="true"/>
        </w:rPr>
        <w:t xml:space="preserve">). </w:t>
      </w:r>
      <w:r>
        <w:rPr>
          <w:rtl w:val="true"/>
        </w:rPr>
        <w:t>בהקשר זה נקבע כי מדובר במסמכים שאין להם ערך ראייתי שכן כל האמור בהם נשען על דברי המערער ללא תמיכה חיצונית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המסמכים סותרים זה את זה ואף נוצרו לשם הגשתם כראיות לעונש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עמד על החומרה של עבירת ההצתה בשל הסיכון הרב הגלום בה</w:t>
      </w:r>
      <w:r>
        <w:rPr>
          <w:rtl w:val="true"/>
        </w:rPr>
        <w:t xml:space="preserve">, </w:t>
      </w:r>
      <w:r>
        <w:rPr>
          <w:rtl w:val="true"/>
        </w:rPr>
        <w:t>ועל הצורך לכן להחמיר בענישה ביחס לעבירה זו</w:t>
      </w:r>
      <w:r>
        <w:rPr>
          <w:rtl w:val="true"/>
        </w:rPr>
        <w:t xml:space="preserve">. </w:t>
      </w:r>
      <w:r>
        <w:rPr>
          <w:rtl w:val="true"/>
        </w:rPr>
        <w:t>עוד נקבע כי אף ביחס למדרגי החומרה של עבירת ההצתה</w:t>
      </w:r>
      <w:r>
        <w:rPr>
          <w:rtl w:val="true"/>
        </w:rPr>
        <w:t xml:space="preserve">, </w:t>
      </w:r>
      <w:r>
        <w:rPr>
          <w:rtl w:val="true"/>
        </w:rPr>
        <w:t>מדובר בהצתה במדרג חומרה גבוה</w:t>
      </w:r>
      <w:r>
        <w:rPr>
          <w:rtl w:val="true"/>
        </w:rPr>
        <w:t xml:space="preserve">. </w:t>
      </w:r>
      <w:r>
        <w:rPr>
          <w:rtl w:val="true"/>
        </w:rPr>
        <w:t>כך נקבע בהקשר זה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;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שקילת נסיבותיה של העבירה נשקלו בעיקר השיקולים הבאים</w:t>
      </w:r>
      <w:r>
        <w:rPr>
          <w:rtl w:val="true"/>
        </w:rPr>
        <w:t xml:space="preserve">: </w:t>
      </w:r>
      <w:r>
        <w:rPr>
          <w:rtl w:val="true"/>
        </w:rPr>
        <w:t>מדובר במעשה מתוכנן</w:t>
      </w:r>
      <w:r>
        <w:rPr>
          <w:rtl w:val="true"/>
        </w:rPr>
        <w:t xml:space="preserve">; </w:t>
      </w:r>
      <w:r>
        <w:rPr>
          <w:rtl w:val="true"/>
        </w:rPr>
        <w:t xml:space="preserve">הנזק העצום שנגרם </w:t>
      </w:r>
      <w:r>
        <w:rPr>
          <w:rtl w:val="true"/>
        </w:rPr>
        <w:t>–</w:t>
      </w:r>
      <w:r>
        <w:rPr>
          <w:rtl w:val="true"/>
        </w:rPr>
        <w:t xml:space="preserve"> השריפה כילתה את כל הרכוש שהיה בדירה לרבות ציוד בסיסי וחפצים בעלי ערך סנטימנטלי</w:t>
      </w:r>
      <w:r>
        <w:rPr>
          <w:rtl w:val="true"/>
        </w:rPr>
        <w:t xml:space="preserve">; </w:t>
      </w:r>
      <w:r>
        <w:rPr>
          <w:rtl w:val="true"/>
        </w:rPr>
        <w:t>לנוכח גילו של המערער והסבריו המפורטים בעניין נפצים</w:t>
      </w:r>
      <w:r>
        <w:rPr>
          <w:rtl w:val="true"/>
        </w:rPr>
        <w:t xml:space="preserve">, </w:t>
      </w:r>
      <w:r>
        <w:rPr>
          <w:rtl w:val="true"/>
        </w:rPr>
        <w:t>חזקה שהבין היטב את מעשיו</w:t>
      </w:r>
      <w:r>
        <w:rPr>
          <w:rtl w:val="true"/>
        </w:rPr>
        <w:t xml:space="preserve">, </w:t>
      </w:r>
      <w:r>
        <w:rPr>
          <w:rtl w:val="true"/>
        </w:rPr>
        <w:t>את הפסול בהם</w:t>
      </w:r>
      <w:r>
        <w:rPr>
          <w:rtl w:val="true"/>
        </w:rPr>
        <w:t xml:space="preserve">, </w:t>
      </w:r>
      <w:r>
        <w:rPr>
          <w:rtl w:val="true"/>
        </w:rPr>
        <w:t>ואת השלכותיהם האפשריות</w:t>
      </w:r>
      <w:r>
        <w:rPr>
          <w:rtl w:val="true"/>
        </w:rPr>
        <w:t xml:space="preserve">; </w:t>
      </w:r>
      <w:r>
        <w:rPr>
          <w:rtl w:val="true"/>
        </w:rPr>
        <w:t>העובדה שמיד לאחר פרוץ האש</w:t>
      </w:r>
      <w:r>
        <w:rPr>
          <w:rtl w:val="true"/>
        </w:rPr>
        <w:t xml:space="preserve">, </w:t>
      </w:r>
      <w:r>
        <w:rPr>
          <w:rtl w:val="true"/>
        </w:rPr>
        <w:t>המערער לא הזמין את כוחות הכיבוי אלא פעל לשיבוש הליכי המשפט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עמד על כך כי טווחי הענישה שנקבעו בפסיקה בעבירות הצתה אינם אחידים</w:t>
      </w:r>
      <w:r>
        <w:rPr>
          <w:rtl w:val="true"/>
        </w:rPr>
        <w:t xml:space="preserve">, </w:t>
      </w:r>
      <w:r>
        <w:rPr>
          <w:rtl w:val="true"/>
        </w:rPr>
        <w:t>אך מסתמנת מגמת החמרה</w:t>
      </w:r>
      <w:r>
        <w:rPr>
          <w:rtl w:val="true"/>
        </w:rPr>
        <w:t xml:space="preserve">. </w:t>
      </w:r>
      <w:r>
        <w:rPr>
          <w:rtl w:val="true"/>
        </w:rPr>
        <w:t xml:space="preserve">בהתחשב בכל אלה נקבע כי מתחם העונש ההולם הוא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לאחר מכן פנה בית המשפט לגזירת עונשו של המערער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>בהסתמך על נסיבותיו שאינן קשורות במעשה העבירה</w:t>
      </w:r>
      <w:r>
        <w:rPr>
          <w:rtl w:val="true"/>
        </w:rPr>
        <w:t xml:space="preserve">. </w:t>
      </w:r>
      <w:r>
        <w:rPr>
          <w:rtl w:val="true"/>
        </w:rPr>
        <w:t>בית המשפט הביא בחשבון את האופן בו ניהל המערער את הגנתו</w:t>
      </w:r>
      <w:r>
        <w:rPr>
          <w:rtl w:val="true"/>
        </w:rPr>
        <w:t xml:space="preserve">; </w:t>
      </w:r>
      <w:r>
        <w:rPr>
          <w:rtl w:val="true"/>
        </w:rPr>
        <w:t>את העובדה שהוא לא הכיר באחריותו למעשיו</w:t>
      </w:r>
      <w:r>
        <w:rPr>
          <w:rtl w:val="true"/>
        </w:rPr>
        <w:t xml:space="preserve">; </w:t>
      </w:r>
      <w:r>
        <w:rPr>
          <w:rtl w:val="true"/>
        </w:rPr>
        <w:t>את העובדה שאין לחובתו הרשעות קודמות</w:t>
      </w:r>
      <w:r>
        <w:rPr>
          <w:rtl w:val="true"/>
        </w:rPr>
        <w:t xml:space="preserve">; </w:t>
      </w:r>
      <w:r>
        <w:rPr>
          <w:rtl w:val="true"/>
        </w:rPr>
        <w:t>וכן ניתן משקל מסוים לכך שבמשך מספר חודשים הורחק מבית הוריו</w:t>
      </w:r>
      <w:r>
        <w:rPr>
          <w:rtl w:val="true"/>
        </w:rPr>
        <w:t xml:space="preserve">. </w:t>
      </w:r>
      <w:r>
        <w:rPr>
          <w:rtl w:val="true"/>
        </w:rPr>
        <w:t>בהסתמך על כל אלה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כאמור מאסר בפועל למשך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בניכוי ימי מעצרו</w:t>
      </w:r>
      <w:r>
        <w:rPr>
          <w:rtl w:val="true"/>
        </w:rPr>
        <w:t xml:space="preserve">; </w:t>
      </w:r>
      <w:r>
        <w:rPr>
          <w:rtl w:val="true"/>
        </w:rPr>
        <w:t>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לנפגעי העבירה בך של </w:t>
      </w:r>
      <w:r>
        <w:rPr/>
        <w:t>70,000</w:t>
      </w:r>
      <w:r>
        <w:rPr>
          <w:rtl w:val="true"/>
        </w:rPr>
        <w:t xml:space="preserve"> ₪.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3.3.2022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העלה בערעורו טענות הן כנגד קיומו של היסוד העובדתי בעבירת ההצתה והן כנגד קיומו של היסוד הנפשי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משפט קמא שגה בניתוח ראיות אובייקטיביות</w:t>
      </w:r>
      <w:r>
        <w:rPr>
          <w:rtl w:val="true"/>
        </w:rPr>
        <w:t xml:space="preserve">, </w:t>
      </w:r>
      <w:r>
        <w:rPr>
          <w:rtl w:val="true"/>
        </w:rPr>
        <w:t>התבסס על ראיות בלתי קבילות וקבע קביעות בעניינים של מומחיות על פי מסקנות והנחות שונות על סמך עיון בתמונות בלבד</w:t>
      </w:r>
      <w:r>
        <w:rPr>
          <w:rtl w:val="true"/>
        </w:rPr>
        <w:t xml:space="preserve">. </w:t>
      </w:r>
      <w:r>
        <w:rPr>
          <w:rtl w:val="true"/>
        </w:rPr>
        <w:t>עוד טען המערער כנגד מחדלי חקירה שפגעו בהגנתו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שומים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".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אף אם יקבע שהשליך </w:t>
      </w:r>
      <w:r>
        <w:rPr>
          <w:rtl w:val="true"/>
        </w:rPr>
        <w:t>"</w:t>
      </w:r>
      <w:r>
        <w:rPr>
          <w:rtl w:val="true"/>
        </w:rPr>
        <w:t>שומים</w:t>
      </w:r>
      <w:r>
        <w:rPr>
          <w:rtl w:val="true"/>
        </w:rPr>
        <w:t xml:space="preserve">" </w:t>
      </w:r>
      <w:r>
        <w:rPr>
          <w:rtl w:val="true"/>
        </w:rPr>
        <w:t>אל עבר דירת השכנים</w:t>
      </w:r>
      <w:r>
        <w:rPr>
          <w:rtl w:val="true"/>
        </w:rPr>
        <w:t xml:space="preserve">, </w:t>
      </w:r>
      <w:r>
        <w:rPr>
          <w:rtl w:val="true"/>
        </w:rPr>
        <w:t>לא התקיים היסוד הנפשי הדרוש לעבירה</w:t>
      </w:r>
      <w:r>
        <w:rPr>
          <w:rtl w:val="true"/>
        </w:rPr>
        <w:t xml:space="preserve">. </w:t>
      </w:r>
      <w:r>
        <w:rPr>
          <w:rtl w:val="true"/>
        </w:rPr>
        <w:t>גם בהקשר זה הוא טען כי לא היה מודע לאפשרות של פרוץ הדליקה</w:t>
      </w:r>
      <w:r>
        <w:rPr>
          <w:rtl w:val="true"/>
        </w:rPr>
        <w:t xml:space="preserve">, </w:t>
      </w:r>
      <w:r>
        <w:rPr>
          <w:rtl w:val="true"/>
        </w:rPr>
        <w:t>לא צפה ולא חפץ בהצתת שריפה</w:t>
      </w:r>
      <w:r>
        <w:rPr>
          <w:rtl w:val="true"/>
        </w:rPr>
        <w:t xml:space="preserve">. </w:t>
      </w:r>
      <w:r>
        <w:rPr>
          <w:rtl w:val="true"/>
        </w:rPr>
        <w:t>המערער הוסיף וטען כי אין זה סביר שביצע מעשה מכוון להצתת אש בסמיכות לבית הוריו</w:t>
      </w:r>
      <w:r>
        <w:rPr>
          <w:rtl w:val="true"/>
        </w:rPr>
        <w:t xml:space="preserve">, </w:t>
      </w:r>
      <w:r>
        <w:rPr>
          <w:rtl w:val="true"/>
        </w:rPr>
        <w:t xml:space="preserve">וכן כי בעבר השליך </w:t>
      </w:r>
      <w:r>
        <w:rPr>
          <w:rtl w:val="true"/>
        </w:rPr>
        <w:t>"</w:t>
      </w:r>
      <w:r>
        <w:rPr>
          <w:rtl w:val="true"/>
        </w:rPr>
        <w:t>שומים</w:t>
      </w:r>
      <w:r>
        <w:rPr>
          <w:rtl w:val="true"/>
        </w:rPr>
        <w:t xml:space="preserve">" </w:t>
      </w:r>
      <w:r>
        <w:rPr>
          <w:rtl w:val="true"/>
        </w:rPr>
        <w:t>מסוג זה בחג הפורים</w:t>
      </w:r>
      <w:r>
        <w:rPr>
          <w:rtl w:val="true"/>
        </w:rPr>
        <w:t xml:space="preserve">, </w:t>
      </w:r>
      <w:r>
        <w:rPr>
          <w:rtl w:val="true"/>
        </w:rPr>
        <w:t>לרבות בבית</w:t>
      </w:r>
      <w:r>
        <w:rPr>
          <w:rtl w:val="true"/>
        </w:rPr>
        <w:t>-</w:t>
      </w:r>
      <w:r>
        <w:rPr>
          <w:rtl w:val="true"/>
        </w:rPr>
        <w:t>כנסת</w:t>
      </w:r>
      <w:r>
        <w:rPr>
          <w:rtl w:val="true"/>
        </w:rPr>
        <w:t xml:space="preserve">, </w:t>
      </w:r>
      <w:r>
        <w:rPr>
          <w:rtl w:val="true"/>
        </w:rPr>
        <w:t>במטרה לגרום רעש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מדובר לכל היותר בעבירה של גרימת שריפה ברשלנות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או עבירה של מעשי פזיזות ורשלנות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tl w:val="true"/>
        </w:rPr>
        <w:t xml:space="preserve">, </w:t>
      </w:r>
      <w:r>
        <w:rPr>
          <w:rtl w:val="true"/>
        </w:rPr>
        <w:t>ולערער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 המערער כנגד הרשעתו בעבירת השיבוש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שגה בית משפט קמא כאשר זקף לחובתו את אי</w:t>
      </w:r>
      <w:r>
        <w:rPr>
          <w:rtl w:val="true"/>
        </w:rPr>
        <w:t>-</w:t>
      </w:r>
      <w:r>
        <w:rPr>
          <w:rtl w:val="true"/>
        </w:rPr>
        <w:t>העדת אמו</w:t>
      </w:r>
      <w:r>
        <w:rPr>
          <w:rtl w:val="true"/>
        </w:rPr>
        <w:t xml:space="preserve">. </w:t>
      </w:r>
      <w:r>
        <w:rPr>
          <w:rtl w:val="true"/>
        </w:rPr>
        <w:t>אמו של המערער נחקרה במשטרה והמשיבה בחרה שלא להביאה כעדת תביעה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קיימות סתירות בעדותו של דניאל ואין כל ראיה אחרת שיש בה כדי לבסס את היסוד העובדתי או הנפשי לצורך הרשעה בעבירה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טען המערער כנגד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מתחם הענישה שנקבע הוא קיצוני בחומרתו</w:t>
      </w:r>
      <w:r>
        <w:rPr>
          <w:rtl w:val="true"/>
        </w:rPr>
        <w:t xml:space="preserve">, </w:t>
      </w:r>
      <w:r>
        <w:rPr>
          <w:rtl w:val="true"/>
        </w:rPr>
        <w:t>כאשר בית משפט קמא החמיר עמו בשל אופן ניהול ההליך ועמידתו על חפותו</w:t>
      </w:r>
      <w:r>
        <w:rPr>
          <w:rtl w:val="true"/>
        </w:rPr>
        <w:t xml:space="preserve">. </w:t>
      </w:r>
      <w:r>
        <w:rPr>
          <w:rtl w:val="true"/>
        </w:rPr>
        <w:t>המערער טען שמידת הפסול והאשם המוסרי מושפעת באופן ישיר מהיסוד הנפשי הנלווה לביצוע העבירה</w:t>
      </w:r>
      <w:r>
        <w:rPr>
          <w:rtl w:val="true"/>
        </w:rPr>
        <w:t xml:space="preserve">, </w:t>
      </w:r>
      <w:r>
        <w:rPr>
          <w:rtl w:val="true"/>
        </w:rPr>
        <w:t>כאשר במקרה דנן מדובר במעשה של קלות</w:t>
      </w:r>
      <w:r>
        <w:rPr>
          <w:rtl w:val="true"/>
        </w:rPr>
        <w:t>-</w:t>
      </w:r>
      <w:r>
        <w:rPr>
          <w:rtl w:val="true"/>
        </w:rPr>
        <w:t>דעת שנעשה עם אמצעי שהשימוש הטבעי בו אינו להדליק אש כי אם ליצור רעש והטרדה</w:t>
      </w:r>
      <w:r>
        <w:rPr>
          <w:rtl w:val="true"/>
        </w:rPr>
        <w:t xml:space="preserve">. </w:t>
      </w:r>
      <w:r>
        <w:rPr>
          <w:rtl w:val="true"/>
        </w:rPr>
        <w:t>הוא הוסיף כי יש לו נסיבות חיים מורכבות וקשות</w:t>
      </w:r>
      <w:r>
        <w:rPr>
          <w:rtl w:val="true"/>
        </w:rPr>
        <w:t xml:space="preserve">. </w:t>
      </w:r>
      <w:r>
        <w:rPr>
          <w:rtl w:val="true"/>
        </w:rPr>
        <w:t>בית המשפט קמא שגה כאשר קבע בהקשר זה כי הראיות לעונש שהוגשו בהסכמה לאמיתות תוכנן אינן בעלות ערך ראייתי</w:t>
      </w:r>
      <w:r>
        <w:rPr>
          <w:rtl w:val="true"/>
        </w:rPr>
        <w:t xml:space="preserve">, </w:t>
      </w:r>
      <w:r>
        <w:rPr>
          <w:rtl w:val="true"/>
        </w:rPr>
        <w:t xml:space="preserve">כאשר לגישת המערער </w:t>
      </w:r>
      <w:r>
        <w:rPr>
          <w:rtl w:val="true"/>
        </w:rPr>
        <w:t xml:space="preserve">- </w:t>
      </w:r>
      <w:r>
        <w:rPr>
          <w:rtl w:val="true"/>
        </w:rPr>
        <w:t>מסמכיו הרפואיים מלמדים על מצבו הנפשי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סמכה ידיה על פסק דינו של בית משפט קמא וטענה שיש לדחות הן את הערעור על הכרעת הדין והן את הערעור על גזר הדין</w:t>
      </w:r>
      <w:r>
        <w:rPr>
          <w:rtl w:val="true"/>
        </w:rPr>
        <w:t xml:space="preserve">. </w:t>
      </w:r>
      <w:r>
        <w:rPr>
          <w:rtl w:val="true"/>
        </w:rPr>
        <w:t>היא הדגישה כי תשובת המערער לכתב האישום היא הקובעת את גדר המחלוקת בין הצדדים והשאלות שבהן יש להכריע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בתשובה לכתב האישום טען המערער שלא זרק דבר לעבר החצר</w:t>
      </w:r>
      <w:r>
        <w:rPr>
          <w:rtl w:val="true"/>
        </w:rPr>
        <w:t xml:space="preserve">. </w:t>
      </w:r>
      <w:r>
        <w:rPr>
          <w:rtl w:val="true"/>
        </w:rPr>
        <w:t>לכן הנקודה העיקרית אותה היה על המשיבה להוכיח היא שהוא אכן השליך נפצים או חומר לקיח אחר לעבר החצר</w:t>
      </w:r>
      <w:r>
        <w:rPr>
          <w:rtl w:val="true"/>
        </w:rPr>
        <w:t xml:space="preserve">, </w:t>
      </w:r>
      <w:r>
        <w:rPr>
          <w:rtl w:val="true"/>
        </w:rPr>
        <w:t>ושמיד לאחר מכן פרצה שם שריפה</w:t>
      </w:r>
      <w:r>
        <w:rPr>
          <w:rtl w:val="true"/>
        </w:rPr>
        <w:t xml:space="preserve">. </w:t>
      </w:r>
      <w:r>
        <w:rPr>
          <w:rtl w:val="true"/>
        </w:rPr>
        <w:t>המשיבה עמדה בהרחבה על התשתית הראייתית שהוצגה בבית משפט קמא וטענה שיש לאמץ את קביעתו שהתבססה על בחינת הראיות ולאחר שהוא מצא שהמשיבה אכן הוכיחה את היסוד העובדתי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שזריקתם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החצר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לאישומים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שהמומחים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שנזרקו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העונש</w:t>
      </w:r>
      <w:r>
        <w:rPr>
          <w:rtl w:val="true"/>
        </w:rPr>
        <w:t xml:space="preserve">, </w:t>
      </w:r>
      <w:r>
        <w:rPr>
          <w:rtl w:val="true"/>
        </w:rPr>
        <w:t>המשיבה טענה כי מעשיו של המערער חמורים וטומנים בחובם סכנה רבה</w:t>
      </w:r>
      <w:r>
        <w:rPr>
          <w:rtl w:val="true"/>
        </w:rPr>
        <w:t xml:space="preserve">. </w:t>
      </w:r>
      <w:r>
        <w:rPr>
          <w:rtl w:val="true"/>
        </w:rPr>
        <w:t>כפי שקבע בית משפט קמא</w:t>
      </w:r>
      <w:r>
        <w:rPr>
          <w:rtl w:val="true"/>
        </w:rPr>
        <w:t xml:space="preserve">, </w:t>
      </w:r>
      <w:r>
        <w:rPr>
          <w:rtl w:val="true"/>
        </w:rPr>
        <w:t>מדובר היה במעשה מתוכנן ובהשלכה מכוונת של שישה פריטים עד אשר פרצה אש</w:t>
      </w:r>
      <w:r>
        <w:rPr>
          <w:rtl w:val="true"/>
        </w:rPr>
        <w:t xml:space="preserve">, </w:t>
      </w:r>
      <w:r>
        <w:rPr>
          <w:rtl w:val="true"/>
        </w:rPr>
        <w:t>מבלי שהמערער הזמין את כוחות הכיבוי ותוך שפעל לשיבוש הליכי המשפט</w:t>
      </w:r>
      <w:r>
        <w:rPr>
          <w:rtl w:val="true"/>
        </w:rPr>
        <w:t xml:space="preserve">. </w:t>
      </w:r>
      <w:r>
        <w:rPr>
          <w:rtl w:val="true"/>
        </w:rPr>
        <w:t>המשיבה הוסיפה וטענה במסגרת הדיון בפנינו כי הנזק שנגרם חמור מאד וגם לכן יש צורך להחמיר בעונש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26.10.2022</w:t>
      </w:r>
      <w:r>
        <w:rPr>
          <w:rtl w:val="true"/>
        </w:rPr>
        <w:t xml:space="preserve"> </w:t>
      </w:r>
      <w:r>
        <w:rPr>
          <w:rtl w:val="true"/>
        </w:rPr>
        <w:t>התקיים דיון בפנינו במסגרתו נקבע</w:t>
      </w:r>
      <w:r>
        <w:rPr>
          <w:rtl w:val="true"/>
        </w:rPr>
        <w:t xml:space="preserve">, </w:t>
      </w:r>
      <w:r>
        <w:rPr>
          <w:rtl w:val="true"/>
        </w:rPr>
        <w:t>בהסכמת המערער</w:t>
      </w:r>
      <w:r>
        <w:rPr>
          <w:rtl w:val="true"/>
        </w:rPr>
        <w:t xml:space="preserve">, </w:t>
      </w:r>
      <w:r>
        <w:rPr>
          <w:rtl w:val="true"/>
        </w:rPr>
        <w:t>כי הערעור בהכרעת הדין יצומצם לסוגיית היסוד הנפשי בלבד</w:t>
      </w:r>
      <w:r>
        <w:rPr>
          <w:rtl w:val="true"/>
        </w:rPr>
        <w:t xml:space="preserve">. </w:t>
      </w:r>
      <w:r>
        <w:rPr>
          <w:rtl w:val="true"/>
        </w:rPr>
        <w:t>לכן לא נדרשת בחינה חוזרת של עבירת שיבוש הליכי משפט שהמערער העלה לגביה רק טענה עובדתית באשר לאי העדתה של אמו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שצומצמה יריעת המחלוקת כאמור בדיון מיום </w:t>
      </w:r>
      <w:r>
        <w:rPr/>
        <w:t>26.10.2022</w:t>
      </w:r>
      <w:r>
        <w:rPr>
          <w:rtl w:val="true"/>
        </w:rPr>
        <w:t xml:space="preserve">, </w:t>
      </w:r>
      <w:r>
        <w:rPr>
          <w:rtl w:val="true"/>
        </w:rPr>
        <w:t>נותר עניינו של הערעור במספר שאלות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האם התקיים היסוד הנפשי של עבירת ההצתה </w:t>
      </w:r>
      <w:r>
        <w:rPr>
          <w:rtl w:val="true"/>
        </w:rPr>
        <w:t>(</w:t>
      </w:r>
      <w:r>
        <w:rPr>
          <w:rtl w:val="true"/>
        </w:rPr>
        <w:t xml:space="preserve">ואם לא </w:t>
      </w:r>
      <w:r>
        <w:rPr>
          <w:rtl w:val="true"/>
        </w:rPr>
        <w:t>–</w:t>
      </w:r>
      <w:r>
        <w:rPr>
          <w:rtl w:val="true"/>
        </w:rPr>
        <w:t xml:space="preserve"> האם יש להרשיע את המערער באחת מהעבירות החלופיות אליהן הוא הפנה</w:t>
      </w:r>
      <w:r>
        <w:rPr>
          <w:rtl w:val="true"/>
        </w:rPr>
        <w:t xml:space="preserve">: </w:t>
      </w:r>
      <w:r>
        <w:rPr>
          <w:rtl w:val="true"/>
        </w:rPr>
        <w:t xml:space="preserve">גרימת שריפה ברשלנות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או מעשי פזיזות ורשלנות 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האם יש מקום להתערב בעונש שגזר בית המשפט המחוזי על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אפנה לבחון את הערעור לגופו</w:t>
      </w:r>
      <w:r>
        <w:rPr>
          <w:rtl w:val="true"/>
        </w:rPr>
        <w:t xml:space="preserve">, </w:t>
      </w:r>
      <w:r>
        <w:rPr>
          <w:rtl w:val="true"/>
        </w:rPr>
        <w:t>אתייחס לבקשה שהגיש המערער להוספת ראייה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בד בבד עם הגשת הערעור הגיש המערער גם בקשה להגשת ראיות נוספות בה ביקש המערער להגיש חוות</w:t>
      </w:r>
      <w:r>
        <w:rPr>
          <w:rtl w:val="true"/>
        </w:rPr>
        <w:t>-</w:t>
      </w:r>
      <w:r>
        <w:rPr>
          <w:rtl w:val="true"/>
        </w:rPr>
        <w:t>דעת מומחה מטעמו</w:t>
      </w:r>
      <w:r>
        <w:rPr>
          <w:rtl w:val="true"/>
        </w:rPr>
        <w:t xml:space="preserve">. </w:t>
      </w:r>
      <w:r>
        <w:rPr>
          <w:rtl w:val="true"/>
        </w:rPr>
        <w:t>מדובר בחוות</w:t>
      </w:r>
      <w:r>
        <w:rPr>
          <w:rtl w:val="true"/>
        </w:rPr>
        <w:t>-</w:t>
      </w:r>
      <w:r>
        <w:rPr>
          <w:rtl w:val="true"/>
        </w:rPr>
        <w:t>הדעת שהמערער ביקש להגיש גם בהליך בבית משפט קמא</w:t>
      </w:r>
      <w:r>
        <w:rPr>
          <w:rtl w:val="true"/>
        </w:rPr>
        <w:t xml:space="preserve">, </w:t>
      </w:r>
      <w:r>
        <w:rPr>
          <w:rtl w:val="true"/>
        </w:rPr>
        <w:t>בקשה שנדחתה בעיקר מהטעם של היעדר רלוונטיות של חוות</w:t>
      </w:r>
      <w:r>
        <w:rPr>
          <w:rtl w:val="true"/>
        </w:rPr>
        <w:t>-</w:t>
      </w:r>
      <w:r>
        <w:rPr>
          <w:rtl w:val="true"/>
        </w:rPr>
        <w:t>הדעת לשאלות שבמחלוקת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".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; </w:t>
      </w:r>
      <w:r>
        <w:rPr>
          <w:rtl w:val="true"/>
        </w:rPr>
        <w:t>וטיבן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שהגשתן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קחסאי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11.7.2017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14.9.2021</w:t>
      </w:r>
      <w:r>
        <w:rPr>
          <w:rtl w:val="true"/>
        </w:rPr>
        <w:t xml:space="preserve">)).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הנאשם הורשע כאמור בעבירת ההצתה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הקובעת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במזיד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"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, </w:t>
      </w:r>
      <w:r>
        <w:rPr>
          <w:rtl w:val="true"/>
        </w:rPr>
        <w:t>וקביעה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במזיד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tl w:val="true"/>
        </w:rPr>
        <w:t xml:space="preserve">";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פזיזות</w:t>
      </w:r>
      <w:r>
        <w:rPr>
          <w:rtl w:val="true"/>
        </w:rPr>
        <w:t xml:space="preserve">" </w:t>
      </w:r>
      <w:r>
        <w:rPr>
          <w:rtl w:val="true"/>
        </w:rPr>
        <w:t>שמשמעותה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ובלעדיה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הפלילים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3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1190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שילוב סעיפי החוק שלעיל מביא אם כן למסקנה לפיה לשם הרשעה בעבירת ההצתה</w:t>
      </w:r>
      <w:r>
        <w:rPr>
          <w:rtl w:val="true"/>
        </w:rPr>
        <w:t xml:space="preserve">, </w:t>
      </w:r>
      <w:r>
        <w:rPr>
          <w:rtl w:val="true"/>
        </w:rPr>
        <w:t xml:space="preserve">יש להוכיח כי הנאשם היה מודע לטיב המעשה </w:t>
      </w:r>
      <w:r>
        <w:rPr>
          <w:rtl w:val="true"/>
        </w:rPr>
        <w:t>(</w:t>
      </w:r>
      <w:r>
        <w:rPr>
          <w:rtl w:val="true"/>
        </w:rPr>
        <w:t>השלכת הנפצים</w:t>
      </w:r>
      <w:r>
        <w:rPr>
          <w:rtl w:val="true"/>
        </w:rPr>
        <w:t xml:space="preserve">), </w:t>
      </w:r>
      <w:r>
        <w:rPr>
          <w:rtl w:val="true"/>
        </w:rPr>
        <w:t xml:space="preserve">לקיום הנסיבות </w:t>
      </w:r>
      <w:r>
        <w:rPr>
          <w:rtl w:val="true"/>
        </w:rPr>
        <w:t>(</w:t>
      </w:r>
      <w:r>
        <w:rPr>
          <w:rtl w:val="true"/>
        </w:rPr>
        <w:t>שזריקת הנפצים היא ב</w:t>
      </w:r>
      <w:r>
        <w:rPr>
          <w:rtl w:val="true"/>
        </w:rPr>
        <w:t>"</w:t>
      </w:r>
      <w:r>
        <w:rPr>
          <w:rtl w:val="true"/>
        </w:rPr>
        <w:t>דבר לא לו</w:t>
      </w:r>
      <w:r>
        <w:rPr>
          <w:rtl w:val="true"/>
        </w:rPr>
        <w:t xml:space="preserve">"), </w:t>
      </w:r>
      <w:r>
        <w:rPr>
          <w:rtl w:val="true"/>
        </w:rPr>
        <w:t xml:space="preserve">לאפשרות גרימת התוצאה </w:t>
      </w:r>
      <w:r>
        <w:rPr>
          <w:rtl w:val="true"/>
        </w:rPr>
        <w:t>(</w:t>
      </w:r>
      <w:r>
        <w:rPr>
          <w:rtl w:val="true"/>
        </w:rPr>
        <w:t>השריפה</w:t>
      </w:r>
      <w:r>
        <w:rPr>
          <w:rtl w:val="true"/>
        </w:rPr>
        <w:t xml:space="preserve">); </w:t>
      </w:r>
      <w:r>
        <w:rPr>
          <w:rtl w:val="true"/>
        </w:rPr>
        <w:t>וכן שהוא היה למצער פזיז לעניין האפשרות של התוצאה של קרות השריפה</w:t>
      </w:r>
      <w:r>
        <w:rPr>
          <w:rtl w:val="true"/>
        </w:rPr>
        <w:t xml:space="preserve">. </w:t>
      </w:r>
      <w:r>
        <w:rPr>
          <w:rtl w:val="true"/>
        </w:rPr>
        <w:t>השאלה שעלינו לבחון במסגרת הערעור דנן היא האם בעת קרות האירוע היה המערער מודע לאפשרות גרימת השריפה שנבעה מהשלכת הנפץ</w:t>
      </w:r>
      <w:r>
        <w:rPr>
          <w:rtl w:val="true"/>
        </w:rPr>
        <w:t xml:space="preserve">, </w:t>
      </w:r>
      <w:r>
        <w:rPr>
          <w:rtl w:val="true"/>
        </w:rPr>
        <w:t xml:space="preserve">והאם מתקיים היסוד של </w:t>
      </w:r>
      <w:r>
        <w:rPr>
          <w:rtl w:val="true"/>
        </w:rPr>
        <w:t>"</w:t>
      </w:r>
      <w:r>
        <w:rPr>
          <w:rtl w:val="true"/>
        </w:rPr>
        <w:t>פזיזות</w:t>
      </w:r>
      <w:r>
        <w:rPr>
          <w:rtl w:val="true"/>
        </w:rPr>
        <w:t xml:space="preserve">" </w:t>
      </w:r>
      <w:r>
        <w:rPr>
          <w:rtl w:val="true"/>
        </w:rPr>
        <w:t>לגבי התרחשותה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התלקחות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לרכיבים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הוכחת הלך הרוח הסובייקטיבי של נאשם היא ברוב רובם של המקרים משימה קשה</w:t>
      </w:r>
      <w:r>
        <w:rPr>
          <w:rtl w:val="true"/>
        </w:rPr>
        <w:t xml:space="preserve">. </w:t>
      </w:r>
      <w:r>
        <w:rPr>
          <w:rtl w:val="true"/>
        </w:rPr>
        <w:t>זאת משום שמטבע הדברים קשה להתחקות אחר צפונות ליבו של האדם</w:t>
      </w:r>
      <w:r>
        <w:rPr>
          <w:rtl w:val="true"/>
        </w:rPr>
        <w:t xml:space="preserve">. </w:t>
      </w:r>
      <w:r>
        <w:rPr>
          <w:rtl w:val="true"/>
        </w:rPr>
        <w:t>לכן נעשית הוכחת היסוד הנפשי ככלל באמצעות הסתמכות על חזקות שבעובדה</w:t>
      </w:r>
      <w:r>
        <w:rPr>
          <w:rtl w:val="true"/>
        </w:rPr>
        <w:t xml:space="preserve">. </w:t>
      </w:r>
      <w:r>
        <w:rPr>
          <w:rtl w:val="true"/>
        </w:rPr>
        <w:t>באשר ליסוד הנפשי של מודעות לרכיבי היסוד העובדתי של העבירה</w:t>
      </w:r>
      <w:r>
        <w:rPr>
          <w:rtl w:val="true"/>
        </w:rPr>
        <w:t xml:space="preserve">, </w:t>
      </w:r>
      <w:r>
        <w:rPr>
          <w:rtl w:val="true"/>
        </w:rPr>
        <w:t xml:space="preserve">רלוונטית </w:t>
      </w:r>
      <w:r>
        <w:rPr>
          <w:rtl w:val="true"/>
        </w:rPr>
        <w:t>"</w:t>
      </w:r>
      <w:r>
        <w:rPr>
          <w:rtl w:val="true"/>
        </w:rPr>
        <w:t>חזקת המודעות</w:t>
      </w:r>
      <w:r>
        <w:rPr>
          <w:rtl w:val="true"/>
        </w:rPr>
        <w:t xml:space="preserve">" </w:t>
      </w:r>
      <w:r>
        <w:rPr>
          <w:rtl w:val="true"/>
        </w:rPr>
        <w:t>לפיה אדם מודע בדרך כלל למשמעות התנהגותו מבחינת טיבה הפיזי</w:t>
      </w:r>
      <w:r>
        <w:rPr>
          <w:rtl w:val="true"/>
        </w:rPr>
        <w:t xml:space="preserve">, </w:t>
      </w:r>
      <w:r>
        <w:rPr>
          <w:rtl w:val="true"/>
        </w:rPr>
        <w:t>קיום נסיבותיה</w:t>
      </w:r>
      <w:r>
        <w:rPr>
          <w:rtl w:val="true"/>
        </w:rPr>
        <w:t xml:space="preserve">, </w:t>
      </w:r>
      <w:r>
        <w:rPr>
          <w:rtl w:val="true"/>
        </w:rPr>
        <w:t xml:space="preserve">ואפשרות גרימת התוצאות הטבעיות העלולות לנבוע ממעשיו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עזיזיאן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נג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747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ולס</w:t>
      </w:r>
      <w:r>
        <w:rPr>
          <w:rtl w:val="true"/>
        </w:rPr>
        <w:t xml:space="preserve">)). </w:t>
      </w:r>
      <w:r>
        <w:rPr>
          <w:rtl w:val="true"/>
        </w:rPr>
        <w:t xml:space="preserve">חזקת המודעות מבוססת על ניסיון החיים והשכל הישר שלפיה אדם מודע לרכיב העובדתי של מעשיו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8827/01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שטרייזנט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נז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506</w:t>
      </w:r>
      <w:r>
        <w:rPr>
          <w:rtl w:val="true"/>
        </w:rPr>
        <w:t xml:space="preserve">, </w:t>
      </w:r>
      <w:r>
        <w:rPr/>
        <w:t>526</w:t>
      </w:r>
      <w:r>
        <w:rPr>
          <w:rtl w:val="true"/>
        </w:rPr>
        <w:t xml:space="preserve"> (</w:t>
      </w:r>
      <w:r>
        <w:rPr/>
        <w:t>13.7.2003</w:t>
      </w:r>
      <w:r>
        <w:rPr>
          <w:rtl w:val="true"/>
        </w:rPr>
        <w:t xml:space="preserve">);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8027/04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אלגריסי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23.3.2006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tl w:val="true"/>
        </w:rPr>
        <w:t xml:space="preserve">, 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545-546</w:t>
      </w:r>
      <w:r>
        <w:rPr>
          <w:rtl w:val="true"/>
        </w:rPr>
        <w:t xml:space="preserve"> 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מגידיש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80</w:t>
      </w:r>
      <w:r>
        <w:rPr>
          <w:rtl w:val="true"/>
        </w:rPr>
        <w:t xml:space="preserve">, </w:t>
      </w:r>
      <w:r>
        <w:rPr/>
        <w:t>86</w:t>
      </w:r>
      <w:r>
        <w:rPr>
          <w:rtl w:val="true"/>
        </w:rPr>
        <w:t xml:space="preserve"> (</w:t>
      </w:r>
      <w:r>
        <w:rPr/>
        <w:t>15.11.2000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ולס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ניתן להניח</w:t>
      </w:r>
      <w:r>
        <w:rPr>
          <w:rtl w:val="true"/>
        </w:rPr>
        <w:t xml:space="preserve"> בהתאם לחזקת המודעות</w:t>
      </w:r>
      <w:r>
        <w:rPr>
          <w:rtl w:val="true"/>
        </w:rPr>
        <w:t xml:space="preserve">, </w:t>
      </w:r>
      <w:r>
        <w:rPr>
          <w:rtl w:val="true"/>
        </w:rPr>
        <w:t>בהיעדר ראיה לסתור</w:t>
      </w:r>
      <w:r>
        <w:rPr>
          <w:rtl w:val="true"/>
        </w:rPr>
        <w:t xml:space="preserve">, </w:t>
      </w:r>
      <w:r>
        <w:rPr>
          <w:rtl w:val="true"/>
        </w:rPr>
        <w:t>כי הנאשם שהיה מודע לכל היסודות המהווים את הרכיב העובדתי של העבירה</w:t>
      </w:r>
      <w:r>
        <w:rPr>
          <w:rtl w:val="true"/>
        </w:rPr>
        <w:t xml:space="preserve">, </w:t>
      </w:r>
      <w:r>
        <w:rPr>
          <w:rtl w:val="true"/>
        </w:rPr>
        <w:t>היה מודע גם לתוצאה האפשרית של גרימת השריפה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 לא נדרשת יותר מפעולה מזערית לצורך הצתה וגרימת שריפה</w:t>
      </w:r>
      <w:r>
        <w:rPr>
          <w:rtl w:val="true"/>
        </w:rPr>
        <w:t xml:space="preserve">. </w:t>
      </w:r>
      <w:r>
        <w:rPr>
          <w:rtl w:val="true"/>
        </w:rPr>
        <w:t>זאת לאור טבעה של אש להתפשט והקושי בהשתלטות עליה</w:t>
      </w:r>
      <w:r>
        <w:rPr>
          <w:rtl w:val="true"/>
        </w:rPr>
        <w:t xml:space="preserve">. </w:t>
      </w:r>
      <w:r>
        <w:rPr>
          <w:rtl w:val="true"/>
        </w:rPr>
        <w:t>השכל הישר</w:t>
      </w:r>
      <w:r>
        <w:rPr>
          <w:rtl w:val="true"/>
        </w:rPr>
        <w:t xml:space="preserve">, </w:t>
      </w:r>
      <w:r>
        <w:rPr>
          <w:rtl w:val="true"/>
        </w:rPr>
        <w:t>עליו מבוססת כאמור חזקת המודעות</w:t>
      </w:r>
      <w:r>
        <w:rPr>
          <w:rtl w:val="true"/>
        </w:rPr>
        <w:t xml:space="preserve">, </w:t>
      </w:r>
      <w:r>
        <w:rPr>
          <w:rtl w:val="true"/>
        </w:rPr>
        <w:t>הוא כי חזקה על אדם הזורק חומר נפיץ שהוא מודע לסכנה כי תיגרם שריפה</w:t>
      </w:r>
      <w:r>
        <w:rPr>
          <w:rtl w:val="true"/>
        </w:rPr>
        <w:t xml:space="preserve">. </w:t>
      </w:r>
      <w:r>
        <w:rPr>
          <w:rtl w:val="true"/>
        </w:rPr>
        <w:t>כך על אחת כמה וכמה כאשר הוא משליך מספר נפצים בזה אחר זה</w:t>
      </w:r>
      <w:r>
        <w:rPr>
          <w:rtl w:val="true"/>
        </w:rPr>
        <w:t xml:space="preserve">, </w:t>
      </w:r>
      <w:r>
        <w:rPr>
          <w:rtl w:val="true"/>
        </w:rPr>
        <w:t>במיוחד כאשר הוא עושה כן מבלי לוודא כי הוא משליך את אותו חומר נפיץ אל עבר משטח הנקי מחומרים או חפצים העלולים להתלקח עם זריקת הנפץ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המודעות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כאמור</w:t>
      </w:r>
      <w:r>
        <w:rPr>
          <w:rtl w:val="true"/>
        </w:rPr>
        <w:t xml:space="preserve">, </w:t>
      </w:r>
      <w:r>
        <w:rPr>
          <w:rtl w:val="true"/>
        </w:rPr>
        <w:t>המבחן של היסוד הנפשי הוא מבחן סובייקטיבי</w:t>
      </w:r>
      <w:r>
        <w:rPr>
          <w:rtl w:val="true"/>
        </w:rPr>
        <w:t xml:space="preserve">, </w:t>
      </w:r>
      <w:r>
        <w:rPr>
          <w:rtl w:val="true"/>
        </w:rPr>
        <w:t xml:space="preserve">כאשר חזקת המודעות </w:t>
      </w:r>
      <w:r>
        <w:rPr>
          <w:rtl w:val="true"/>
        </w:rPr>
        <w:t xml:space="preserve">- </w:t>
      </w:r>
      <w:r>
        <w:rPr>
          <w:rtl w:val="true"/>
        </w:rPr>
        <w:t xml:space="preserve">ככל חזקה שבעובדה </w:t>
      </w:r>
      <w:r>
        <w:rPr>
          <w:rtl w:val="true"/>
        </w:rPr>
        <w:t xml:space="preserve">- </w:t>
      </w:r>
      <w:r>
        <w:rPr>
          <w:rtl w:val="true"/>
        </w:rPr>
        <w:t>מהווה אמצעי הוכחה בלבד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ניתן להיחלץ מאחיזתה על</w:t>
      </w:r>
      <w:r>
        <w:rPr>
          <w:rtl w:val="true"/>
        </w:rPr>
        <w:t>-</w:t>
      </w:r>
      <w:r>
        <w:rPr>
          <w:rtl w:val="true"/>
        </w:rPr>
        <w:t xml:space="preserve">ידי העמדת ספק סביר באשר למסקנות הנובעות ממנה במקרה הקונקרטי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8027/04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אלגריסי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15-16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23.2.2006</w:t>
      </w:r>
      <w:r>
        <w:rPr>
          <w:rtl w:val="true"/>
        </w:rPr>
        <w:t xml:space="preserve">). </w:t>
      </w:r>
      <w:r>
        <w:rPr>
          <w:rtl w:val="true"/>
        </w:rPr>
        <w:t>בהתאם לפסיקה</w:t>
      </w:r>
      <w:r>
        <w:rPr>
          <w:rtl w:val="true"/>
        </w:rPr>
        <w:t xml:space="preserve">, </w:t>
      </w:r>
      <w:r>
        <w:rPr>
          <w:rtl w:val="true"/>
        </w:rPr>
        <w:t xml:space="preserve">ספק סביר ייווצר כאשר ההסתברות לחפות העולה מהראיות היא ממשית ואינה אך בגדר אפשרות תאורטית רחוקה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6359/99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קורמן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653</w:t>
      </w:r>
      <w:r>
        <w:rPr>
          <w:rtl w:val="true"/>
        </w:rPr>
        <w:t xml:space="preserve">, </w:t>
      </w:r>
      <w:r>
        <w:rPr/>
        <w:t>661</w:t>
      </w:r>
      <w:r>
        <w:rPr>
          <w:rtl w:val="true"/>
        </w:rPr>
        <w:t xml:space="preserve"> (</w:t>
      </w:r>
      <w:r>
        <w:rPr/>
        <w:t>12.11.2000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השאלה אותה יש לבחון אם כן היא האם הנסיבות במקרה הספציפי מעוררות ספק סביר ביחס למודעות הנאשם לטיב מעשיו או לנסיבות הנדרשות בעבירה</w:t>
      </w:r>
      <w:r>
        <w:rPr>
          <w:rtl w:val="true"/>
        </w:rPr>
        <w:t xml:space="preserve">. </w:t>
      </w:r>
      <w:r>
        <w:rPr>
          <w:rtl w:val="true"/>
        </w:rPr>
        <w:t>מעיון בהכרעת הדין עולה כי משקבע בית משפט קמא כי חלה חזקת המודעות</w:t>
      </w:r>
      <w:r>
        <w:rPr>
          <w:rtl w:val="true"/>
        </w:rPr>
        <w:t xml:space="preserve">, </w:t>
      </w:r>
      <w:r>
        <w:rPr>
          <w:rtl w:val="true"/>
        </w:rPr>
        <w:t>הוא לא המשיך ודן בשאלה האם המערער סתר אותה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בשולי הכרעת הדין קבע בית המשפט כי לא מצא שיש לזכות את המערער מחמת הספק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במסגרת הדיון שערך בית משפט קמא ביחס לגרסת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קבע כי אין כל בסיס לטענותיו בעניין זריקת </w:t>
      </w:r>
      <w:r>
        <w:rPr>
          <w:rtl w:val="true"/>
        </w:rPr>
        <w:t>'</w:t>
      </w:r>
      <w:r>
        <w:rPr>
          <w:rtl w:val="true"/>
        </w:rPr>
        <w:t>שומים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נפצים</w:t>
      </w:r>
      <w:r>
        <w:rPr>
          <w:rtl w:val="true"/>
        </w:rPr>
        <w:t xml:space="preserve">' </w:t>
      </w:r>
      <w:r>
        <w:rPr>
          <w:rtl w:val="true"/>
        </w:rPr>
        <w:t>בבתי כנסת</w:t>
      </w:r>
      <w:r>
        <w:rPr>
          <w:rtl w:val="true"/>
        </w:rPr>
        <w:t xml:space="preserve">; </w:t>
      </w:r>
      <w:r>
        <w:rPr>
          <w:rtl w:val="true"/>
        </w:rPr>
        <w:t>כי חזקה כי אילו היו נזרקים נפצים</w:t>
      </w:r>
      <w:r>
        <w:rPr>
          <w:rtl w:val="true"/>
        </w:rPr>
        <w:t xml:space="preserve">' </w:t>
      </w:r>
      <w:r>
        <w:rPr>
          <w:rtl w:val="true"/>
        </w:rPr>
        <w:t>כאלה בבתי כנסת</w:t>
      </w:r>
      <w:r>
        <w:rPr>
          <w:rtl w:val="true"/>
        </w:rPr>
        <w:t xml:space="preserve">, </w:t>
      </w:r>
      <w:r>
        <w:rPr>
          <w:rtl w:val="true"/>
        </w:rPr>
        <w:t>היו נגרמות שם שרפות</w:t>
      </w:r>
      <w:r>
        <w:rPr>
          <w:rtl w:val="true"/>
        </w:rPr>
        <w:t xml:space="preserve">; </w:t>
      </w:r>
      <w:r>
        <w:rPr>
          <w:rtl w:val="true"/>
        </w:rPr>
        <w:t xml:space="preserve">וכן כי המערער לא הוכיח דבר מדבריו ובכלל זה בכל הנוגע לטענותיו בדבר היעדר סכנה בשל זריקת </w:t>
      </w:r>
      <w:r>
        <w:rPr>
          <w:rtl w:val="true"/>
        </w:rPr>
        <w:t>'</w:t>
      </w:r>
      <w:r>
        <w:rPr>
          <w:rtl w:val="true"/>
        </w:rPr>
        <w:t>שומים</w:t>
      </w:r>
      <w:r>
        <w:rPr>
          <w:rtl w:val="true"/>
        </w:rPr>
        <w:t xml:space="preserve">' </w:t>
      </w:r>
      <w:r>
        <w:rPr>
          <w:rtl w:val="true"/>
        </w:rPr>
        <w:t xml:space="preserve">או </w:t>
      </w:r>
      <w:r>
        <w:rPr>
          <w:rtl w:val="true"/>
        </w:rPr>
        <w:t>'</w:t>
      </w:r>
      <w:r>
        <w:rPr>
          <w:rtl w:val="true"/>
        </w:rPr>
        <w:t>נפצים</w:t>
      </w:r>
      <w:r>
        <w:rPr>
          <w:rtl w:val="true"/>
        </w:rPr>
        <w:t>' (</w:t>
      </w:r>
      <w:r>
        <w:rPr>
          <w:rtl w:val="true"/>
        </w:rPr>
        <w:t xml:space="preserve">פסקה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מצידה טענה כי המערער נקט בקו הגנה שלפיו הוא כלל לא זרק את הנפצים אל עבר בית השכנים וכי האש לא נגרמה מהשלכת הנפצים</w:t>
      </w:r>
      <w:r>
        <w:rPr>
          <w:rtl w:val="true"/>
        </w:rPr>
        <w:t xml:space="preserve">. </w:t>
      </w:r>
      <w:r>
        <w:rPr>
          <w:rtl w:val="true"/>
        </w:rPr>
        <w:t>לכן המערער כלל לא העיד על מצבו ההכרתי בעת שזרק את הנפצים לחצר בית השכנים</w:t>
      </w:r>
      <w:r>
        <w:rPr>
          <w:rtl w:val="true"/>
        </w:rPr>
        <w:t xml:space="preserve">, </w:t>
      </w:r>
      <w:r>
        <w:rPr>
          <w:rtl w:val="true"/>
        </w:rPr>
        <w:t>ולא ניתן היה לברר פרטים נוספים שהיו יכולים לשפוך אור על שאלת מודעתו למעשה ההצתה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הערעור טען המערער כי הוא הופתע מהדליקה וכי הוא לא צפה אותה ולא חפץ בה</w:t>
      </w:r>
      <w:r>
        <w:rPr>
          <w:rtl w:val="true"/>
        </w:rPr>
        <w:t xml:space="preserve">. </w:t>
      </w:r>
      <w:r>
        <w:rPr>
          <w:rtl w:val="true"/>
        </w:rPr>
        <w:t>כעולה מעיון בפרוטוקול ובהכרעת הדין עצמה</w:t>
      </w:r>
      <w:r>
        <w:rPr>
          <w:rtl w:val="true"/>
        </w:rPr>
        <w:t xml:space="preserve">, </w:t>
      </w:r>
      <w:r>
        <w:rPr>
          <w:rtl w:val="true"/>
        </w:rPr>
        <w:t>המערער טען כי הנפצים שאותם זרק אינם מחייבים הדלקת אש</w:t>
      </w:r>
      <w:r>
        <w:rPr>
          <w:rtl w:val="true"/>
        </w:rPr>
        <w:t xml:space="preserve">, </w:t>
      </w:r>
      <w:r>
        <w:rPr>
          <w:rtl w:val="true"/>
        </w:rPr>
        <w:t>וכדי להפעילם די בזריקה בלבד</w:t>
      </w:r>
      <w:r>
        <w:rPr>
          <w:rtl w:val="true"/>
        </w:rPr>
        <w:t xml:space="preserve">. </w:t>
      </w:r>
      <w:r>
        <w:rPr>
          <w:rtl w:val="true"/>
        </w:rPr>
        <w:t xml:space="preserve">כאמור הוא אף טען כי היא זרק בעבר את הנפצים בבית כנסת ליד טליות ושטיחים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בסדר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252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 עובדתית זו לא התקבלה כאמור בבית משפט קמא והלכה היא כי ערכאת הערעור לא תתערב בממצאים עובדתיים וממצאי מהימנות שקבעה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נדירים ויוצאי דופן </w:t>
      </w:r>
      <w:r>
        <w:rPr>
          <w:rtl w:val="true"/>
        </w:rPr>
        <w:t>(</w:t>
      </w:r>
      <w:r>
        <w:rPr>
          <w:rtl w:val="true"/>
        </w:rPr>
        <w:t>ראו מהעת האחרונה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7.2.2022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אף לו היה המערער מוכיח כי מעולם לא הוצתה אש כתוצאה מנפצים שזרק</w:t>
      </w:r>
      <w:r>
        <w:rPr>
          <w:rtl w:val="true"/>
        </w:rPr>
        <w:t xml:space="preserve">, </w:t>
      </w:r>
      <w:r>
        <w:rPr>
          <w:rtl w:val="true"/>
        </w:rPr>
        <w:t>אינני סבורה שהיה בכך כדי לעורר את הספק הנדרש ביחס למודעותו לאפשרות שתיגרם שריפה כתוצאה מהשלכת הנפצים</w:t>
      </w:r>
      <w:r>
        <w:rPr>
          <w:rtl w:val="true"/>
        </w:rPr>
        <w:t xml:space="preserve">. </w:t>
      </w:r>
      <w:r>
        <w:rPr>
          <w:rtl w:val="true"/>
        </w:rPr>
        <w:t>זאת משום שהמודעות הנדרשת היא כאמור רק בדבר אפשרות כלשהי שכתוצאה ממעשיו עלולה להיגרם שריפה</w:t>
      </w:r>
      <w:r>
        <w:rPr>
          <w:rtl w:val="true"/>
        </w:rPr>
        <w:t xml:space="preserve">, </w:t>
      </w:r>
      <w:r>
        <w:rPr>
          <w:rtl w:val="true"/>
        </w:rPr>
        <w:t>אף אם תוצאה זו אינה התוצאה הוודאית או אף התוצאה השכיחה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הפרכתה של חזקה עובדתית</w:t>
      </w:r>
      <w:r>
        <w:rPr>
          <w:rtl w:val="true"/>
        </w:rPr>
        <w:t xml:space="preserve">, </w:t>
      </w:r>
      <w:r>
        <w:rPr>
          <w:rtl w:val="true"/>
        </w:rPr>
        <w:t>ובה גם חזקת המודעות</w:t>
      </w:r>
      <w:r>
        <w:rPr>
          <w:rtl w:val="true"/>
        </w:rPr>
        <w:t xml:space="preserve">, </w:t>
      </w:r>
      <w:r>
        <w:rPr>
          <w:rtl w:val="true"/>
        </w:rPr>
        <w:t>יכולה לעלות משקילת מכלול הראיות שהובאו בפני 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 אם בית המשפט אינו מקבל את גירסת הנאשם בדבר היסודות העובדתיים</w:t>
      </w:r>
      <w:r>
        <w:rPr>
          <w:rtl w:val="true"/>
        </w:rPr>
        <w:t xml:space="preserve">. </w:t>
      </w:r>
      <w:r>
        <w:rPr>
          <w:rtl w:val="true"/>
        </w:rPr>
        <w:t xml:space="preserve">אולם לא מצאתי כי ראיות כאלה קיימות במקרה דנן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מגידיש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80</w:t>
      </w:r>
      <w:r>
        <w:rPr>
          <w:rtl w:val="true"/>
        </w:rPr>
        <w:t xml:space="preserve"> (</w:t>
      </w:r>
      <w:r>
        <w:rPr/>
        <w:t>15.11.2000</w:t>
      </w:r>
      <w:r>
        <w:rPr>
          <w:rtl w:val="true"/>
        </w:rPr>
        <w:t xml:space="preserve">)). </w:t>
      </w:r>
      <w:r>
        <w:rPr>
          <w:rtl w:val="true"/>
        </w:rPr>
        <w:t>כדי לעורר את אותו ספק סביר</w:t>
      </w:r>
      <w:r>
        <w:rPr>
          <w:rtl w:val="true"/>
        </w:rPr>
        <w:t xml:space="preserve">, </w:t>
      </w:r>
      <w:r>
        <w:rPr>
          <w:rtl w:val="true"/>
        </w:rPr>
        <w:t>היה על המערער להביא ראיות נוספות המלמדות על חוסר מודעותו מעבר לאמירה שלו עצמו לפיה הוא לא היה מודע לתוצאה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לא עשה זאת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החפצי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בעבירות תוצאה</w:t>
      </w:r>
      <w:r>
        <w:rPr>
          <w:rtl w:val="true"/>
        </w:rPr>
        <w:t xml:space="preserve">, </w:t>
      </w:r>
      <w:r>
        <w:rPr>
          <w:rtl w:val="true"/>
        </w:rPr>
        <w:t>כאשר מתקיים היסוד ההכרתי</w:t>
      </w:r>
      <w:r>
        <w:rPr>
          <w:rtl w:val="true"/>
        </w:rPr>
        <w:t>-</w:t>
      </w:r>
      <w:r>
        <w:rPr>
          <w:rtl w:val="true"/>
        </w:rPr>
        <w:t>קוגנטיבי של מודעות</w:t>
      </w:r>
      <w:r>
        <w:rPr>
          <w:rtl w:val="true"/>
        </w:rPr>
        <w:t xml:space="preserve">, </w:t>
      </w:r>
      <w:r>
        <w:rPr>
          <w:rtl w:val="true"/>
        </w:rPr>
        <w:t>יש להמשיך ולבחון האם מתקיים היסוד החפצי ביחס לאפשרות גרימת התוצאה</w:t>
      </w:r>
      <w:r>
        <w:rPr>
          <w:rtl w:val="true"/>
        </w:rPr>
        <w:t xml:space="preserve">. </w:t>
      </w:r>
      <w:r>
        <w:rPr>
          <w:rtl w:val="true"/>
        </w:rPr>
        <w:t xml:space="preserve">באשר לעבירות שהיסוד הנפשי שלהן הוא </w:t>
      </w:r>
      <w:r>
        <w:rPr>
          <w:rtl w:val="true"/>
        </w:rPr>
        <w:t>"</w:t>
      </w:r>
      <w:r>
        <w:rPr>
          <w:rtl w:val="true"/>
        </w:rPr>
        <w:t>במזיד</w:t>
      </w:r>
      <w:r>
        <w:rPr>
          <w:rtl w:val="true"/>
        </w:rPr>
        <w:t xml:space="preserve">", </w:t>
      </w:r>
      <w:r>
        <w:rPr>
          <w:rtl w:val="true"/>
        </w:rPr>
        <w:t xml:space="preserve">נקבע כי הרכיב החפצי שיש להוכיח הוא למצער פזיזות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הקובע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הנמנית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פזיזות</w:t>
      </w:r>
      <w:r>
        <w:rPr>
          <w:rtl w:val="true"/>
        </w:rPr>
        <w:t xml:space="preserve">").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מגדיר שתי חלופות של מצבים נפשיים שיש לראותם כפזיזות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 למשל מ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 xml:space="preserve">שמשמעותה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תוצאות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מכתב האישום עולה כי הסכסוך בין המערער לבין השכנים היה סכסוך מתמשך שנגע בעיקרו לרעש והטרדה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מעדותו של ישראל</w:t>
      </w:r>
      <w:r>
        <w:rPr>
          <w:rtl w:val="true"/>
        </w:rPr>
        <w:t xml:space="preserve">, </w:t>
      </w:r>
      <w:r>
        <w:rPr>
          <w:rtl w:val="true"/>
        </w:rPr>
        <w:t xml:space="preserve">בנם של השכנים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 xml:space="preserve">עולה כי המערער הרבה לזרוק נפצים וכי עשה כן במיוחד סמוך לחג פורים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כל אלה עשויים אומנם ללמד על כך שהמערער לא זרק את הנפצים במטרה לגרום לשריפה בדירת השכנים כי אם להטרדה ורעש בלבד</w:t>
      </w:r>
      <w:r>
        <w:rPr>
          <w:rtl w:val="true"/>
        </w:rPr>
        <w:t xml:space="preserve">. </w:t>
      </w:r>
      <w:r>
        <w:rPr>
          <w:rtl w:val="true"/>
        </w:rPr>
        <w:t>אלא שיסוד הפזיזות מתקיים כאמור אף אם המערער לא התכוון לגרום לתוצאה</w:t>
      </w:r>
      <w:r>
        <w:rPr>
          <w:rtl w:val="true"/>
        </w:rPr>
        <w:t xml:space="preserve">, </w:t>
      </w:r>
      <w:r>
        <w:rPr>
          <w:rtl w:val="true"/>
        </w:rPr>
        <w:t>ואף אם הוא קיווה שלא תיגרם שריפה</w:t>
      </w:r>
      <w:r>
        <w:rPr>
          <w:rtl w:val="true"/>
        </w:rPr>
        <w:t xml:space="preserve">. </w:t>
      </w:r>
      <w:r>
        <w:rPr>
          <w:rtl w:val="true"/>
        </w:rPr>
        <w:t>די בכך שהוא היה מודע לתוצאה האפשרית וכי הוא התייחס אליה בשוויון נפש ובחוסר אכפתיות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.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147-149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בשריפה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העולה מכל האמור הוא כי מתקיימים יסודותיה העובדתיים והנפשיים של חזקת המודעות ויש לדחות אפוא את הערעור על הכרעת הדין ולהרשיע את המערער בעבירה של שילוח אש לפי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אין עוד צורך להמשיך ולבחון את העבירות החלופיות אליהן הפנה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>בית משפט קמא גזר עליו עונש חמור מדי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המשפט החמיר עמו בשל אופן ניהול ההליך ולאור מסקנתו השגויה לפיה המערער משקר ביחס למסמכים שהוא צירף כראיות לעונש</w:t>
      </w:r>
      <w:r>
        <w:rPr>
          <w:rtl w:val="true"/>
        </w:rPr>
        <w:t xml:space="preserve">. </w:t>
      </w:r>
      <w:r>
        <w:rPr>
          <w:rtl w:val="true"/>
        </w:rPr>
        <w:t>עוד הוא טען כי המעשה שהוא ביצע הוא מעשה של קלות דעת שבוצע עם אמצעי שהשימוש הטבעי בו אינו להדליק אש</w:t>
      </w:r>
      <w:r>
        <w:rPr>
          <w:rtl w:val="true"/>
        </w:rPr>
        <w:t xml:space="preserve">. </w:t>
      </w:r>
      <w:r>
        <w:rPr>
          <w:rtl w:val="true"/>
        </w:rPr>
        <w:t>הוא הוסיף כי העונש צריך להיות מושפע מהיסוד הנפשי שנלווה לביצוע העבירה</w:t>
      </w:r>
      <w:r>
        <w:rPr>
          <w:rtl w:val="true"/>
        </w:rPr>
        <w:t xml:space="preserve">. </w:t>
      </w:r>
      <w:r>
        <w:rPr>
          <w:rtl w:val="true"/>
        </w:rPr>
        <w:t>מנגד טענה המשיבה כי מעשיו של המערער חמורים וסכנתם רבה וביקשה להותיר את העונש על כנו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הלכה היא כי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התערבות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ערכאת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הערעור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בגזר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דין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שניתן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ידי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הערכאה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הדיונית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אינה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נעשית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כדבר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שבשגרה</w:t>
      </w:r>
      <w:r>
        <w:rPr>
          <w:rFonts w:cs="Miriam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והיא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מוגבלת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למקרים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חריגים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ולנסיבות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שבהן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הערכאה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הדיונית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נכשלה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בטעות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שהעונש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שנגזר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ידה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חורג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במידה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משמעותית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מן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העונש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הראוי</w:t>
      </w:r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>" (</w:t>
      </w:r>
      <w:hyperlink r:id="rId56">
        <w:r>
          <w:rPr>
            <w:rStyle w:val="Hyperlink"/>
            <w:rFonts w:ascii="FrankRuehl" w:hAnsi="FrankRuehl" w:cs="David"/>
            <w:color w:val="0000FF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FrankRuehl" w:hAnsi="FrankRuehl"/>
            <w:color w:val="0000FF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David"/>
            <w:color w:val="0000FF"/>
            <w:szCs w:val="24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color w:val="0000FF"/>
            <w:szCs w:val="24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David" w:ascii="FrankRuehl" w:hAnsi="FrankRuehl"/>
            <w:color w:val="0000FF"/>
            <w:szCs w:val="24"/>
            <w:u w:val="single"/>
            <w:shd w:fill="FFFFFF" w:val="clear"/>
          </w:rPr>
          <w:t>3619/14</w:t>
        </w:r>
      </w:hyperlink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FrankRuehl" w:hAnsi="FrankRuehl" w:eastAsia="FrankRuehl" w:cs="FrankRuehl"/>
          <w:color w:val="000000"/>
          <w:szCs w:val="24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>(</w:t>
      </w:r>
      <w:r>
        <w:rPr>
          <w:rFonts w:cs="David" w:ascii="FrankRuehl" w:hAnsi="FrankRuehl"/>
          <w:color w:val="000000"/>
          <w:szCs w:val="24"/>
          <w:shd w:fill="FFFFFF" w:val="clear"/>
        </w:rPr>
        <w:t>03.09.2015</w:t>
      </w:r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>)</w:t>
      </w:r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 xml:space="preserve"> </w:t>
      </w:r>
      <w:r>
        <w:rPr>
          <w:rFonts w:ascii="FrankRuehl" w:hAnsi="FrankRuehl" w:cs="David"/>
          <w:color w:val="000000"/>
          <w:szCs w:val="24"/>
          <w:shd w:fill="FFFFFF" w:val="clear"/>
          <w:rtl w:val="true"/>
        </w:rPr>
        <w:t>בפס</w:t>
      </w:r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 xml:space="preserve">' </w:t>
      </w:r>
      <w:r>
        <w:rPr>
          <w:rFonts w:cs="David" w:ascii="FrankRuehl" w:hAnsi="FrankRuehl"/>
          <w:color w:val="000000"/>
          <w:szCs w:val="24"/>
          <w:shd w:fill="FFFFFF" w:val="clear"/>
        </w:rPr>
        <w:t>26</w:t>
      </w:r>
      <w:r>
        <w:rPr>
          <w:rFonts w:cs="David" w:ascii="FrankRuehl" w:hAnsi="FrankRuehl"/>
          <w:color w:val="000000"/>
          <w:szCs w:val="24"/>
          <w:shd w:fill="FFFFFF" w:val="clear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כפי שיובהר להלן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המקרה דנן הוא מאותם המקרים המצדיקים להתערב בעונש שנגזר על המערער מאחר שהוא חורג ממתחם העונש ההולם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כידוע</w:t>
      </w:r>
      <w:r>
        <w:rPr>
          <w:rtl w:val="true"/>
        </w:rPr>
        <w:t xml:space="preserve">, </w:t>
      </w:r>
      <w:r>
        <w:rPr>
          <w:rtl w:val="true"/>
        </w:rPr>
        <w:t>בגזירת העונש על בית המשפט לקבוע תחילה את מתחם הענישה</w:t>
      </w:r>
      <w:r>
        <w:rPr>
          <w:rtl w:val="true"/>
        </w:rPr>
        <w:t xml:space="preserve">. </w:t>
      </w:r>
      <w:r>
        <w:rPr>
          <w:rtl w:val="true"/>
        </w:rPr>
        <w:t>לצורך כך יש להביא בחשבון את הערך החברתי שנפגע</w:t>
      </w:r>
      <w:r>
        <w:rPr>
          <w:rtl w:val="true"/>
        </w:rPr>
        <w:t xml:space="preserve">, </w:t>
      </w:r>
      <w:r>
        <w:rPr>
          <w:rtl w:val="true"/>
        </w:rPr>
        <w:t>מידת הפגיעה בו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ונסיבות הקשורות בביצוע העבירה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2.1.2014</w:t>
      </w:r>
      <w:r>
        <w:rPr>
          <w:rtl w:val="true"/>
        </w:rPr>
        <w:t xml:space="preserve">)). </w:t>
      </w:r>
      <w:r>
        <w:rPr>
          <w:rtl w:val="true"/>
        </w:rPr>
        <w:t xml:space="preserve">באשר לשיקול האחרון יש לבחון את קיומן של הנסיבות המנויות </w:t>
      </w:r>
      <w:hyperlink r:id="rId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ביניהן התכנון שקדם לביצוע העבירה</w:t>
      </w:r>
      <w:r>
        <w:rPr>
          <w:rtl w:val="true"/>
        </w:rPr>
        <w:t xml:space="preserve">, </w:t>
      </w:r>
      <w:r>
        <w:rPr>
          <w:rtl w:val="true"/>
        </w:rPr>
        <w:t>הנזק שהיה צפוי להיגרם מביצוע העבירה</w:t>
      </w:r>
      <w:r>
        <w:rPr>
          <w:rtl w:val="true"/>
        </w:rPr>
        <w:t xml:space="preserve">, </w:t>
      </w:r>
      <w:r>
        <w:rPr>
          <w:rtl w:val="true"/>
        </w:rPr>
        <w:t>הסיבות שהביאו את הנאשם לבצע את העבירה</w:t>
      </w:r>
      <w:r>
        <w:rPr>
          <w:rtl w:val="true"/>
        </w:rPr>
        <w:t xml:space="preserve">, </w:t>
      </w:r>
      <w:r>
        <w:rPr>
          <w:rtl w:val="true"/>
        </w:rPr>
        <w:t>והאלימות או ההתעללות שננקטה כלפי נפגע העבירה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העונש המרבי הקבוע בדין בגין עבירת ההצתה הוא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ובגין העבירה של שיבוש מהלכי משפט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לצורך גזירת העונש ניתן לטעמי לראות בשתי העבירות בהן הורשע המערער כמהוות אירוע אחד ולקבוע לכן מתחם ענישה מאוחד לשתיהן יחדיו </w:t>
      </w:r>
      <w:r>
        <w:rPr>
          <w:rtl w:val="true"/>
        </w:rPr>
        <w:t>(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של בית משפט קמא לקבוע את מתחם הענישה</w:t>
      </w:r>
      <w:r>
        <w:rPr>
          <w:rtl w:val="true"/>
        </w:rPr>
        <w:t xml:space="preserve">, </w:t>
      </w:r>
      <w:r>
        <w:rPr>
          <w:rtl w:val="true"/>
        </w:rPr>
        <w:t>הוא עמד על הערכים החברתיים שנפגעו מהעבירות</w:t>
      </w:r>
      <w:r>
        <w:rPr>
          <w:rtl w:val="true"/>
        </w:rPr>
        <w:t xml:space="preserve">, </w:t>
      </w:r>
      <w:r>
        <w:rPr>
          <w:rtl w:val="true"/>
        </w:rPr>
        <w:t>והדגיש את חומרתה הרבה של עבירת ההצתה לנוכח פוטנציאל הנזק הטמון בה ואת המגמה הקיימת בבית משפט זה להחמרה בענישה של עבירות הצתה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 משפט זה עמד לא אחת על הערכים עליהם מבקשת להגן עבירת ההצתה</w:t>
      </w:r>
      <w:r>
        <w:rPr>
          <w:rtl w:val="true"/>
        </w:rPr>
        <w:t xml:space="preserve">, </w:t>
      </w:r>
      <w:r>
        <w:rPr>
          <w:rtl w:val="true"/>
        </w:rPr>
        <w:t>ובהם שמירה על בטחון הציבור</w:t>
      </w:r>
      <w:r>
        <w:rPr>
          <w:rtl w:val="true"/>
        </w:rPr>
        <w:t xml:space="preserve">, </w:t>
      </w:r>
      <w:r>
        <w:rPr>
          <w:rtl w:val="true"/>
        </w:rPr>
        <w:t>שלמות הקניין ועל הסדר הציבורי</w:t>
      </w:r>
      <w:r>
        <w:rPr>
          <w:rtl w:val="true"/>
        </w:rPr>
        <w:t xml:space="preserve">, </w:t>
      </w:r>
      <w:r>
        <w:rPr>
          <w:rtl w:val="true"/>
        </w:rPr>
        <w:t xml:space="preserve">כמו גם על הסכנה הטמונה בעבירת ההצתה ופוטנציאל הנזק החמור הגלום בה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8.11.2012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17.8.2022</w:t>
      </w:r>
      <w:r>
        <w:rPr>
          <w:rtl w:val="true"/>
        </w:rPr>
        <w:t xml:space="preserve">)).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המדובר בעבירה חמורה וכי יש צורך בענישה מרתיעה והחמרה בעונשים הקשורים בהצתה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3.7.2017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15.2.2015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ובהדרגתיות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12.1.2011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8718/20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7.12.2022</w:t>
      </w:r>
      <w:r>
        <w:rPr>
          <w:rtl w:val="true"/>
        </w:rPr>
        <w:t xml:space="preserve">)). 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היה סבור כי עבירת ההצתה במקרה דנן הייתה במדרג גבוה של חומרה</w:t>
      </w:r>
      <w:r>
        <w:rPr>
          <w:rtl w:val="true"/>
        </w:rPr>
        <w:t xml:space="preserve">. </w:t>
      </w:r>
      <w:r>
        <w:rPr>
          <w:rtl w:val="true"/>
        </w:rPr>
        <w:t>זאת מאחר שההצתה הייתה בנכס בנסיבות שבהן היה חשש שההצתה תתפשט לרכוש אחר</w:t>
      </w:r>
      <w:r>
        <w:rPr>
          <w:rtl w:val="true"/>
        </w:rPr>
        <w:t xml:space="preserve">; </w:t>
      </w:r>
      <w:r>
        <w:rPr>
          <w:rtl w:val="true"/>
        </w:rPr>
        <w:t>לאור פוטנציאל הפגיעה בגוף</w:t>
      </w:r>
      <w:r>
        <w:rPr>
          <w:rtl w:val="true"/>
        </w:rPr>
        <w:t xml:space="preserve">; </w:t>
      </w:r>
      <w:r>
        <w:rPr>
          <w:rtl w:val="true"/>
        </w:rPr>
        <w:t>הנזק הרב שנגרם לדירת המגורים ולרכוש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המחוזי התייחס לנסיבות העבירה וקבע כי דובר במעשה מכוון</w:t>
      </w:r>
      <w:r>
        <w:rPr>
          <w:rtl w:val="true"/>
        </w:rPr>
        <w:t xml:space="preserve">, </w:t>
      </w:r>
      <w:r>
        <w:rPr>
          <w:rtl w:val="true"/>
        </w:rPr>
        <w:t>כי חזקה על המערער שהבין היטב את הפסול במעשיו ואת השלכותיהם האפשריות</w:t>
      </w:r>
      <w:r>
        <w:rPr>
          <w:rtl w:val="true"/>
        </w:rPr>
        <w:t xml:space="preserve">, </w:t>
      </w:r>
      <w:r>
        <w:rPr>
          <w:rtl w:val="true"/>
        </w:rPr>
        <w:t>וכן עמד על כך שלאחר פרוץ האש הוא לא הזמין את כוחות הכיבוי אלא פעל לשיבוש הליכי המשפט</w:t>
      </w:r>
      <w:r>
        <w:rPr>
          <w:rtl w:val="true"/>
        </w:rPr>
        <w:t xml:space="preserve">. </w:t>
      </w:r>
      <w:r>
        <w:rPr>
          <w:rtl w:val="true"/>
        </w:rPr>
        <w:t xml:space="preserve">בהסתמך על כל אלו קבע בית משפט כי מתחם העונש ההולם הוא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סנטימנטלי</w:t>
      </w:r>
      <w:r>
        <w:rPr>
          <w:rtl w:val="true"/>
        </w:rPr>
        <w:t xml:space="preserve">, </w:t>
      </w:r>
      <w:r>
        <w:rPr>
          <w:rtl w:val="true"/>
        </w:rPr>
        <w:t>והותירה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;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, </w:t>
      </w:r>
      <w:r>
        <w:rPr>
          <w:rtl w:val="true"/>
        </w:rPr>
        <w:t>שהשריפה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ולהאיץ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תגרום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ותוך שהבאתי בחשבון את יתר הנסיבות שבית משפט קמא התייחס אליהן  </w:t>
      </w:r>
      <w:r>
        <w:rPr>
          <w:rtl w:val="true"/>
        </w:rPr>
        <w:t xml:space="preserve">- </w:t>
      </w:r>
      <w:r>
        <w:rPr>
          <w:rtl w:val="true"/>
        </w:rPr>
        <w:t>מחד גיסא העובדה שהמערער לא הכיר באחריותו למעשיו</w:t>
      </w:r>
      <w:r>
        <w:rPr>
          <w:rtl w:val="true"/>
        </w:rPr>
        <w:t xml:space="preserve">, </w:t>
      </w:r>
      <w:r>
        <w:rPr>
          <w:rtl w:val="true"/>
        </w:rPr>
        <w:t>לא עשה מאמץ לתקן את תוצאות השריפה</w:t>
      </w:r>
      <w:r>
        <w:rPr>
          <w:rtl w:val="true"/>
        </w:rPr>
        <w:t xml:space="preserve">, </w:t>
      </w:r>
      <w:r>
        <w:rPr>
          <w:rtl w:val="true"/>
        </w:rPr>
        <w:t>והיעדר כל הליך שיקומי</w:t>
      </w:r>
      <w:r>
        <w:rPr>
          <w:rtl w:val="true"/>
        </w:rPr>
        <w:t xml:space="preserve">; </w:t>
      </w:r>
      <w:r>
        <w:rPr>
          <w:rtl w:val="true"/>
        </w:rPr>
        <w:t>ומאידך גיסא העובדה שאין לחובתו של המערער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והעובדה שבמשך מספר חודשים הורחק מבית הוריו </w:t>
      </w:r>
      <w:r>
        <w:rPr>
          <w:rtl w:val="true"/>
        </w:rPr>
        <w:t>–</w:t>
      </w:r>
      <w:r>
        <w:rPr>
          <w:rtl w:val="true"/>
        </w:rPr>
        <w:t xml:space="preserve"> אני סבורה כי יש להעמיד את עונשו של המערער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לצד מאסר מותנה מרתיע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להעמיד את תקופת המאסר בה יישא המערער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יתר רכיביו של גזר הדין ייוותרו על כנם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Ruller41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center"/>
        <w:rPr>
          <w:rFonts w:ascii="Garamond" w:hAnsi="Garamond" w:cs="Garamond"/>
          <w:sz w:val="24"/>
          <w:szCs w:val="24"/>
          <w:u w:val="single"/>
        </w:rPr>
      </w:pPr>
      <w:r>
        <w:rPr>
          <w:rFonts w:cs="Garamond" w:ascii="Garamond" w:hAnsi="Garamond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אני סבור</w:t>
      </w:r>
      <w:r>
        <w:rPr>
          <w:rtl w:val="true"/>
        </w:rPr>
        <w:t xml:space="preserve">, </w:t>
      </w:r>
      <w:r>
        <w:rPr>
          <w:rtl w:val="true"/>
        </w:rPr>
        <w:t xml:space="preserve">כחברתי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כי יש לדחות את הערעור על הכרעת 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אני חולק על דעתה באשר לערעור על גזר הדין ואני סבור כי אף אותו יש לדחות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כפי שנקבע בפסיקה לא אחת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tl w:val="true"/>
        </w:rPr>
        <w:t>ת עבירת ההצתה</w:t>
      </w:r>
      <w:r>
        <w:rPr>
          <w:rtl w:val="true"/>
        </w:rPr>
        <w:t xml:space="preserve"> נובעת הן מהסיכון הנשקף לחיי אדם ולרכוש כתוצאה משילוח האש</w:t>
      </w:r>
      <w:r>
        <w:rPr>
          <w:rtl w:val="true"/>
        </w:rPr>
        <w:t xml:space="preserve">, </w:t>
      </w:r>
      <w:r>
        <w:rPr>
          <w:rtl w:val="true"/>
        </w:rPr>
        <w:t>הן מחוסר היכולת לשלוט בתוצאותיה לנוכח האפשרות כי הדליקה תתפשט בתוך זמן קצר על פני שטח נרחב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10.12.2020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42"/>
        <w:ind w:end="0"/>
        <w:jc w:val="both"/>
        <w:rPr/>
      </w:pPr>
      <w:r>
        <w:rPr>
          <w:color w:val="000000"/>
          <w:sz w:val="27"/>
          <w:szCs w:val="27"/>
          <w:rtl w:val="true"/>
        </w:rPr>
        <w:tab/>
      </w:r>
      <w:r>
        <w:rPr>
          <w:rtl w:val="true"/>
        </w:rPr>
        <w:t>כפי שציינתי בעבר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תתפשט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ולהזיק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תאחז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בהשתוללותה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שראשיתה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ישורנה</w:t>
      </w:r>
      <w:r>
        <w:rPr>
          <w:rtl w:val="true"/>
        </w:rPr>
        <w:t>" 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‏‏ </w:t>
      </w:r>
      <w:r>
        <w:rPr>
          <w:rtl w:val="true"/>
        </w:rPr>
        <w:t>כך ביתר שאת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בהצתת מבנה מגורים בשעות שבהן מרבית הדיירים בבתיהם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10.01.2018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התוצאות העגומות של מעשי המערער מונחות לפנינו </w:t>
      </w:r>
      <w:r>
        <w:rPr>
          <w:rtl w:val="true"/>
        </w:rPr>
        <w:t>–</w:t>
      </w:r>
      <w:r>
        <w:rPr>
          <w:rtl w:val="true"/>
        </w:rPr>
        <w:t xml:space="preserve"> משפחה שרכושה עלה בלהבות</w:t>
      </w:r>
      <w:r>
        <w:rPr>
          <w:rtl w:val="true"/>
        </w:rPr>
        <w:t xml:space="preserve">, </w:t>
      </w:r>
      <w:r>
        <w:rPr>
          <w:rtl w:val="true"/>
        </w:rPr>
        <w:t>נקלעה לקשיים כלכליים וילדיה בחרדה</w:t>
      </w:r>
      <w:r>
        <w:rPr>
          <w:rtl w:val="true"/>
        </w:rPr>
        <w:t xml:space="preserve">. </w:t>
      </w:r>
      <w:r>
        <w:rPr>
          <w:rtl w:val="true"/>
        </w:rPr>
        <w:t>אב המשפחה אף תיאר כיצד בנותיו אשר י</w:t>
      </w:r>
      <w:r>
        <w:rPr>
          <w:rtl w:val="true"/>
        </w:rPr>
        <w:t xml:space="preserve">שנו בזמן ההצתה </w:t>
      </w:r>
      <w:r>
        <w:rPr>
          <w:rtl w:val="true"/>
        </w:rPr>
        <w:t>נסו על נפשן מן הבית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בודדות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ובפיג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14.12.2021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24-23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נזקים נוספים נגרמו לבניין</w:t>
      </w:r>
      <w:r>
        <w:rPr>
          <w:rtl w:val="true"/>
        </w:rPr>
        <w:t xml:space="preserve">, </w:t>
      </w:r>
      <w:r>
        <w:rPr>
          <w:rtl w:val="true"/>
        </w:rPr>
        <w:t xml:space="preserve">ודייריו </w:t>
      </w:r>
      <w:r>
        <w:rPr>
          <w:rtl w:val="true"/>
        </w:rPr>
        <w:t>–</w:t>
      </w:r>
      <w:r>
        <w:rPr>
          <w:rtl w:val="true"/>
        </w:rPr>
        <w:t xml:space="preserve"> לרבות פעוטות</w:t>
      </w:r>
      <w:r>
        <w:rPr>
          <w:rtl w:val="true"/>
        </w:rPr>
        <w:t xml:space="preserve">, </w:t>
      </w:r>
      <w:r>
        <w:rPr>
          <w:rtl w:val="true"/>
        </w:rPr>
        <w:t>נתקפו בהלה ונמלטו מדירותיהם</w:t>
      </w:r>
      <w:r>
        <w:rPr>
          <w:rtl w:val="true"/>
        </w:rPr>
        <w:t xml:space="preserve">. </w:t>
      </w:r>
      <w:r>
        <w:rPr>
          <w:rtl w:val="true"/>
        </w:rPr>
        <w:t>כל זאת מעשה ידיו של המערער</w:t>
      </w:r>
      <w:r>
        <w:rPr>
          <w:rtl w:val="true"/>
        </w:rPr>
        <w:t xml:space="preserve">, </w:t>
      </w:r>
      <w:r>
        <w:rPr>
          <w:rtl w:val="true"/>
        </w:rPr>
        <w:t>אשר גם לאחר שהבחין בשריפה המתפשטת לא הזעיק את כוחות הכיבוי</w:t>
      </w:r>
      <w:r>
        <w:rPr>
          <w:rtl w:val="true"/>
        </w:rPr>
        <w:t xml:space="preserve">, </w:t>
      </w:r>
      <w:r>
        <w:rPr>
          <w:rtl w:val="true"/>
        </w:rPr>
        <w:t>וכל שביקש היה</w:t>
      </w:r>
      <w:r>
        <w:rPr>
          <w:rtl w:val="true"/>
        </w:rPr>
        <w:t xml:space="preserve">,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למלט את עצמו מתוצאות מעשיו תוך חשש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לגורלו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 xml:space="preserve">וביצע עבירה של שיבוש הליכי משפט באומרו לאמו </w:t>
      </w:r>
      <w:r>
        <w:rPr>
          <w:rtl w:val="true"/>
        </w:rPr>
        <w:t>"</w:t>
      </w:r>
      <w:r>
        <w:rPr>
          <w:rtl w:val="true"/>
        </w:rPr>
        <w:t>אל תדברי יותר מדי</w:t>
      </w:r>
      <w:r>
        <w:rPr>
          <w:rtl w:val="true"/>
        </w:rPr>
        <w:t xml:space="preserve">, </w:t>
      </w:r>
      <w:r>
        <w:rPr>
          <w:rtl w:val="true"/>
        </w:rPr>
        <w:t>הרי זה לא אנחנו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פוטנציאל הנזק שבמעשי המערער הוא רב היקף</w:t>
      </w:r>
      <w:r>
        <w:rPr>
          <w:rtl w:val="true"/>
        </w:rPr>
        <w:t xml:space="preserve">, </w:t>
      </w:r>
      <w:r>
        <w:rPr>
          <w:rtl w:val="true"/>
        </w:rPr>
        <w:t>ולמרבה המזל רק חלק ממנו התממש</w:t>
      </w:r>
      <w:r>
        <w:rPr>
          <w:rtl w:val="true"/>
        </w:rPr>
        <w:t xml:space="preserve">. </w:t>
      </w:r>
      <w:r>
        <w:rPr>
          <w:rtl w:val="true"/>
        </w:rPr>
        <w:t>אל מול חומרת מעשיו ותוצאותיהם</w:t>
      </w:r>
      <w:r>
        <w:rPr>
          <w:rtl w:val="true"/>
        </w:rPr>
        <w:t xml:space="preserve">, </w:t>
      </w:r>
      <w:r>
        <w:rPr>
          <w:rtl w:val="true"/>
        </w:rPr>
        <w:t>אין לפנינו נסיבות אשר יש בהן כדי להצדיק הקלה בעונשו</w:t>
      </w:r>
      <w:r>
        <w:rPr>
          <w:rtl w:val="true"/>
        </w:rPr>
        <w:t xml:space="preserve">. </w:t>
      </w:r>
      <w:r>
        <w:rPr>
          <w:rtl w:val="true"/>
        </w:rPr>
        <w:t>אף אין לפנינו הליך שיקומי המלמד על תיקון דרכיו</w:t>
      </w:r>
      <w:r>
        <w:rPr>
          <w:rtl w:val="true"/>
        </w:rPr>
        <w:t xml:space="preserve">. </w:t>
      </w:r>
      <w:r>
        <w:rPr>
          <w:rtl w:val="true"/>
        </w:rPr>
        <w:t>המערער בחר לנהל את משפטו עד תום ומכאן אף אינו זכאי להקלה בעונש השמורה למי שלקחו אחריות על מעשיהם וחסכו זמן שיפוטי יקר</w:t>
      </w:r>
      <w:r>
        <w:rPr>
          <w:rtl w:val="true"/>
        </w:rPr>
        <w:t xml:space="preserve">.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שיקולים לחומרה </w:t>
      </w:r>
      <w:r>
        <w:rPr>
          <w:rtl w:val="true"/>
        </w:rPr>
        <w:t>–</w:t>
      </w:r>
      <w:r>
        <w:rPr>
          <w:rtl w:val="true"/>
        </w:rPr>
        <w:t xml:space="preserve"> ישנם למכביר</w:t>
      </w:r>
      <w:r>
        <w:rPr>
          <w:rtl w:val="true"/>
        </w:rPr>
        <w:t xml:space="preserve">; </w:t>
      </w:r>
      <w:r>
        <w:rPr>
          <w:rtl w:val="true"/>
        </w:rPr>
        <w:t xml:space="preserve">שיקולים לקולה </w:t>
      </w:r>
      <w:r>
        <w:rPr>
          <w:rtl w:val="true"/>
        </w:rPr>
        <w:t>–</w:t>
      </w:r>
      <w:r>
        <w:rPr>
          <w:rtl w:val="true"/>
        </w:rPr>
        <w:t xml:space="preserve"> מעטים בלבד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 סבור אפוא כי נפל פגם בקביעת גבולות מתחם העונש ההולם</w:t>
      </w:r>
      <w:r>
        <w:rPr>
          <w:rtl w:val="true"/>
        </w:rPr>
        <w:t xml:space="preserve">, </w:t>
      </w:r>
      <w:r>
        <w:rPr>
          <w:rtl w:val="true"/>
        </w:rPr>
        <w:t>או במיקום העונש בגדרו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ובהינתן </w:t>
      </w:r>
      <w:r>
        <w:rPr>
          <w:rtl w:val="true"/>
        </w:rPr>
        <w:t xml:space="preserve">שערכאת הערעור </w:t>
      </w:r>
      <w:r>
        <w:rPr>
          <w:rtl w:val="true"/>
        </w:rPr>
        <w:t xml:space="preserve">ממילא </w:t>
      </w:r>
      <w:r>
        <w:rPr>
          <w:rtl w:val="true"/>
        </w:rPr>
        <w:t>אינה נוטה להתערב בחומרת העונש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ניכרת סטייה קיצונית ובולטת ממדיניות הענישה המקובלת בנסיבות דומות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3.2.2022</w:t>
      </w:r>
      <w:r>
        <w:rPr>
          <w:rtl w:val="true"/>
        </w:rPr>
        <w:t>)‏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לו דעתי תישמע</w:t>
      </w:r>
      <w:r>
        <w:rPr>
          <w:rtl w:val="true"/>
        </w:rPr>
        <w:t xml:space="preserve">, </w:t>
      </w:r>
      <w:r>
        <w:rPr>
          <w:rtl w:val="true"/>
        </w:rPr>
        <w:t>יידחה אף הערעור על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1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textAlignment w:val="auto"/>
        <w:rPr/>
      </w:pPr>
      <w:r>
        <w:rPr>
          <w:rtl w:val="true"/>
        </w:rPr>
        <w:t>חברַי תמימי דעים בנוגע להכרעת הדין</w:t>
      </w:r>
      <w:r>
        <w:rPr>
          <w:rtl w:val="true"/>
        </w:rPr>
        <w:t xml:space="preserve">, </w:t>
      </w:r>
      <w:r>
        <w:rPr>
          <w:rtl w:val="true"/>
        </w:rPr>
        <w:t>כי דין הערעור – להידחות</w:t>
      </w:r>
      <w:r>
        <w:rPr>
          <w:rtl w:val="true"/>
        </w:rPr>
        <w:t xml:space="preserve">. </w:t>
      </w:r>
      <w:r>
        <w:rPr>
          <w:rtl w:val="true"/>
        </w:rPr>
        <w:t>דעתי כדעתם</w:t>
      </w:r>
      <w:r>
        <w:rPr>
          <w:rtl w:val="true"/>
        </w:rPr>
        <w:t xml:space="preserve">. </w:t>
      </w: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במסגרת גזירת העונש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לייחס משקל לכך שהמערער פעל מתוך יסוד נפשי של פזיזות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של כוונה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בניגוד לקביעת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שיקול זה מצדיק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להפחית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מתקופת המאסר שנגזרה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ולהעמיד את עונשו על 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לעומתה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cs="Century"/>
          <w:sz w:val="22"/>
          <w:sz w:val="22"/>
          <w:rtl w:val="true"/>
        </w:rPr>
        <w:t xml:space="preserve"> סבור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העונש שנגזר על המערער –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 ועונשים נלווים – הולם את חומרת 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נסיבות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ואינו מצדיק את התערבותנו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במחלוקת זו שנפלה בין חברי לחברתי</w:t>
      </w:r>
      <w:r>
        <w:rPr>
          <w:rtl w:val="true"/>
        </w:rPr>
        <w:t xml:space="preserve">, </w:t>
      </w:r>
      <w:r>
        <w:rPr>
          <w:rtl w:val="true"/>
        </w:rPr>
        <w:t>דעתי כדעת חברתי</w:t>
      </w:r>
      <w:r>
        <w:rPr>
          <w:rtl w:val="true"/>
        </w:rPr>
        <w:t xml:space="preserve">. </w:t>
      </w:r>
      <w:r>
        <w:rPr>
          <w:rtl w:val="true"/>
        </w:rPr>
        <w:t>אבהיר מדוע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Fonts w:ascii="Century" w:hAnsi="Century" w:cs="Century"/>
          <w:sz w:val="22"/>
          <w:sz w:val="22"/>
          <w:rtl w:val="true"/>
        </w:rPr>
        <w:t>כפי שציינה חברתי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לצורך הרשעה בעבירת ההצתה נדרש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לכל הפחות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יסוד נפשי של פזיזות </w:t>
      </w:r>
      <w:r>
        <w:rPr>
          <w:rFonts w:cs="Century" w:ascii="Century" w:hAnsi="Century"/>
          <w:sz w:val="22"/>
          <w:rtl w:val="true"/>
        </w:rPr>
        <w:t>(</w:t>
      </w:r>
      <w:hyperlink r:id="rId7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448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75">
        <w:r>
          <w:rPr>
            <w:rStyle w:val="Hyperlink"/>
            <w:rFonts w:cs="Century" w:ascii="Century" w:hAnsi="Century"/>
            <w:sz w:val="22"/>
          </w:rPr>
          <w:t>90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7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שניתן להרשיע אדם בביצוע עבירת ההצתה</w:t>
      </w:r>
      <w:r>
        <w:rPr>
          <w:rtl w:val="true"/>
        </w:rPr>
        <w:t xml:space="preserve">, </w:t>
      </w:r>
      <w:r>
        <w:rPr>
          <w:rtl w:val="true"/>
        </w:rPr>
        <w:t>בין אם פעל מתוך יסוד נפשי של כוונה</w:t>
      </w:r>
      <w:r>
        <w:rPr>
          <w:rtl w:val="true"/>
        </w:rPr>
        <w:t xml:space="preserve">, </w:t>
      </w:r>
      <w:r>
        <w:rPr>
          <w:rtl w:val="true"/>
        </w:rPr>
        <w:t>בין אם מתוך יסוד נפשי של פזיזות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לצורך הכרעה בשאלת ההרשעה</w:t>
      </w:r>
      <w:r>
        <w:rPr>
          <w:rtl w:val="true"/>
        </w:rPr>
        <w:t xml:space="preserve">, </w:t>
      </w:r>
      <w:r>
        <w:rPr>
          <w:rtl w:val="true"/>
        </w:rPr>
        <w:t>אין נפקות להבחנה בין היסודות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בכל הנוגע לשאלת גזירת העונש</w:t>
      </w:r>
      <w:r>
        <w:rPr>
          <w:rtl w:val="true"/>
        </w:rPr>
        <w:t xml:space="preserve">, </w:t>
      </w:r>
      <w:r>
        <w:rPr>
          <w:rtl w:val="true"/>
        </w:rPr>
        <w:t>הבחנה זו מקבלת משנה חשיבות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העקרון המנחה בענישה</w:t>
      </w:r>
      <w:r>
        <w:rPr>
          <w:rtl w:val="true"/>
        </w:rPr>
        <w:t xml:space="preserve">, </w:t>
      </w:r>
      <w:r>
        <w:rPr>
          <w:rtl w:val="true"/>
        </w:rPr>
        <w:t>הוא עקרון ההלימה</w:t>
      </w:r>
      <w:r>
        <w:rPr>
          <w:rtl w:val="true"/>
        </w:rPr>
        <w:t xml:space="preserve">, </w:t>
      </w:r>
      <w:r>
        <w:rPr>
          <w:rtl w:val="true"/>
        </w:rPr>
        <w:t xml:space="preserve">הדורש כי יתקיים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7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7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ההדגשה הוּספה –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 xml:space="preserve">'). </w:t>
      </w:r>
      <w:r>
        <w:rPr>
          <w:rFonts w:ascii="Century" w:hAnsi="Century" w:cs="Century"/>
          <w:sz w:val="22"/>
          <w:sz w:val="22"/>
          <w:rtl w:val="true"/>
        </w:rPr>
        <w:t>שאלת מידת אשמו של הנאשם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קשורה בקשר הדוק לשאלת היסוד הנפשי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אינה דומה מידת אשמתו של אדם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cs="Century"/>
          <w:sz w:val="22"/>
          <w:sz w:val="22"/>
          <w:rtl w:val="true"/>
        </w:rPr>
        <w:t xml:space="preserve"> לגרום לתוצאה שנבעה מביצוע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למידת האשם שניתן לייחס לאדם שהיה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cs="Century"/>
          <w:sz w:val="22"/>
          <w:sz w:val="22"/>
          <w:rtl w:val="true"/>
        </w:rPr>
        <w:t xml:space="preserve"> ביחס לאפשרות גרימת התוצאה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למידת אשמתו של אדם שפעל תוך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cs="Century"/>
          <w:sz w:val="22"/>
          <w:sz w:val="22"/>
          <w:rtl w:val="true"/>
        </w:rPr>
        <w:t xml:space="preserve"> לאפשרות גרימת התוצאה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מתוך תקווה להצליח למנעה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אורן גזל</w:t>
      </w:r>
      <w:r>
        <w:rPr>
          <w:rFonts w:cs="Century" w:ascii="Century" w:hAnsi="Century"/>
          <w:sz w:val="22"/>
          <w:rtl w:val="true"/>
        </w:rPr>
        <w:t>-</w:t>
      </w:r>
      <w:hyperlink r:id="rId7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אייל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מתחמים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הולמים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עקרון ההלימה בקביעת מתחם העונש ההולם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אתר</w:t>
      </w:r>
      <w:r>
        <w:rPr>
          <w:rFonts w:ascii="Century" w:hAnsi="Century" w:cs="Century"/>
          <w:sz w:val="22"/>
          <w:sz w:val="22"/>
          <w:rtl w:val="true"/>
        </w:rPr>
        <w:t xml:space="preserve"> ו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תשע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ז פלר 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כרך א </w:t>
      </w:r>
      <w:r>
        <w:rPr>
          <w:rFonts w:cs="Century" w:ascii="Century" w:hAnsi="Century"/>
          <w:sz w:val="22"/>
        </w:rPr>
        <w:t>44-39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מורה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המנחה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ההדגשה הוּספה –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';</w:t>
      </w:r>
      <w:r>
        <w:rPr>
          <w:rtl w:val="true"/>
        </w:rPr>
        <w:t xml:space="preserve"> </w:t>
      </w:r>
      <w:r>
        <w:rPr>
          <w:rtl w:val="true"/>
        </w:rPr>
        <w:t>לקשר בין מידת אשמו של הנאשם</w:t>
      </w:r>
      <w:r>
        <w:rPr>
          <w:rtl w:val="true"/>
        </w:rPr>
        <w:t xml:space="preserve">, </w:t>
      </w:r>
      <w:r>
        <w:rPr>
          <w:rtl w:val="true"/>
        </w:rPr>
        <w:t>לבין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נדרשתי ב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סעד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>))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שמידת אשמו של הנאשם קשורה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במישרין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ליסוד הנפשי שבו היה נתון בעת ביצוע העבירה</w:t>
      </w:r>
      <w:r>
        <w:rPr>
          <w:rtl w:val="true"/>
        </w:rPr>
        <w:t xml:space="preserve">, </w:t>
      </w:r>
      <w:r>
        <w:rPr>
          <w:rtl w:val="true"/>
        </w:rPr>
        <w:t>ברי כי יסוד זה מהווה שיקול מכריע בקביעת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ההבחנה בין היסודות הנפשיים השונים</w:t>
      </w:r>
      <w:r>
        <w:rPr>
          <w:rtl w:val="true"/>
        </w:rPr>
        <w:t xml:space="preserve">, </w:t>
      </w:r>
      <w:r>
        <w:rPr>
          <w:rtl w:val="true"/>
        </w:rPr>
        <w:t>בכל הנוגע לקביעת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איננה הבחנה </w:t>
      </w:r>
      <w:r>
        <w:rPr>
          <w:rFonts w:cs="Miriam"/>
          <w:b/>
          <w:b/>
          <w:spacing w:val="0"/>
          <w:szCs w:val="24"/>
          <w:rtl w:val="true"/>
        </w:rPr>
        <w:t>כמותית</w:t>
      </w:r>
      <w:r>
        <w:rPr>
          <w:rtl w:val="true"/>
        </w:rPr>
        <w:t xml:space="preserve"> גרידא</w:t>
      </w:r>
      <w:r>
        <w:rPr>
          <w:rtl w:val="true"/>
        </w:rPr>
        <w:t xml:space="preserve">, </w:t>
      </w:r>
      <w:r>
        <w:rPr>
          <w:rtl w:val="true"/>
        </w:rPr>
        <w:t xml:space="preserve">כי אם הבחנה </w:t>
      </w:r>
      <w:r>
        <w:rPr>
          <w:rFonts w:cs="Miriam"/>
          <w:b/>
          <w:b/>
          <w:spacing w:val="0"/>
          <w:szCs w:val="24"/>
          <w:rtl w:val="true"/>
        </w:rPr>
        <w:t>איכותית</w:t>
      </w:r>
      <w:r>
        <w:rPr>
          <w:rtl w:val="true"/>
        </w:rPr>
        <w:t xml:space="preserve">, </w:t>
      </w:r>
      <w:r>
        <w:rPr>
          <w:rtl w:val="true"/>
        </w:rPr>
        <w:t xml:space="preserve">שיש בה כדי </w:t>
      </w:r>
      <w:r>
        <w:rPr>
          <w:rtl w:val="true"/>
        </w:rPr>
        <w:t>'</w:t>
      </w:r>
      <w:r>
        <w:rPr>
          <w:rtl w:val="true"/>
        </w:rPr>
        <w:t>לצבוע</w:t>
      </w:r>
      <w:r>
        <w:rPr>
          <w:rtl w:val="true"/>
        </w:rPr>
        <w:t xml:space="preserve">',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את השיקולים השונים</w:t>
      </w:r>
      <w:r>
        <w:rPr>
          <w:rtl w:val="true"/>
        </w:rPr>
        <w:t xml:space="preserve">, </w:t>
      </w:r>
      <w:r>
        <w:rPr>
          <w:rtl w:val="true"/>
        </w:rPr>
        <w:t>המובאים בחשבון במסגרת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בצבעים שונים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לשון אחר</w:t>
      </w:r>
      <w:r>
        <w:rPr>
          <w:rtl w:val="true"/>
        </w:rPr>
        <w:t xml:space="preserve">, </w:t>
      </w:r>
      <w:r>
        <w:rPr>
          <w:rtl w:val="true"/>
        </w:rPr>
        <w:t>בעבירה שניתן להרשיע בה על יסוד פעולה המוּנעת מיסודות נפשיים שונים</w:t>
      </w:r>
      <w:r>
        <w:rPr>
          <w:rtl w:val="true"/>
        </w:rPr>
        <w:t xml:space="preserve">, </w:t>
      </w:r>
      <w:r>
        <w:rPr>
          <w:rtl w:val="true"/>
        </w:rPr>
        <w:t>היסוד הנפשי שבו הורשע הנאשם</w:t>
      </w:r>
      <w:r>
        <w:rPr>
          <w:rtl w:val="true"/>
        </w:rPr>
        <w:t xml:space="preserve">, </w:t>
      </w:r>
      <w:r>
        <w:rPr>
          <w:rtl w:val="true"/>
        </w:rPr>
        <w:t>איננו שיקול אחד מִני רבים</w:t>
      </w:r>
      <w:r>
        <w:rPr>
          <w:rtl w:val="true"/>
        </w:rPr>
        <w:t xml:space="preserve">,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אלא שיקול בעל חשיבות מיוחדת</w:t>
      </w:r>
      <w:r>
        <w:rPr>
          <w:rtl w:val="true"/>
        </w:rPr>
        <w:t xml:space="preserve">, </w:t>
      </w:r>
      <w:r>
        <w:rPr>
          <w:rtl w:val="true"/>
        </w:rPr>
        <w:t xml:space="preserve">המאפשר </w:t>
      </w:r>
      <w:r>
        <w:rPr>
          <w:rtl w:val="true"/>
        </w:rPr>
        <w:t>'</w:t>
      </w:r>
      <w:r>
        <w:rPr>
          <w:rtl w:val="true"/>
        </w:rPr>
        <w:t>למסגר</w:t>
      </w:r>
      <w:r>
        <w:rPr>
          <w:rtl w:val="true"/>
        </w:rPr>
        <w:t xml:space="preserve">' </w:t>
      </w:r>
      <w:r>
        <w:rPr>
          <w:rtl w:val="true"/>
        </w:rPr>
        <w:t>את השיקולים האחרים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במסגרת המתאימה</w:t>
      </w:r>
      <w:r>
        <w:rPr>
          <w:rtl w:val="true"/>
        </w:rPr>
        <w:t xml:space="preserve">, </w:t>
      </w:r>
      <w:r>
        <w:rPr>
          <w:rtl w:val="true"/>
        </w:rPr>
        <w:t>בהתאם לעקרון ההלימה</w:t>
      </w:r>
      <w:r>
        <w:rPr>
          <w:rtl w:val="true"/>
        </w:rPr>
        <w:t xml:space="preserve">.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כך בכלל</w:t>
      </w:r>
      <w:r>
        <w:rPr>
          <w:rtl w:val="true"/>
        </w:rPr>
        <w:t xml:space="preserve">, </w:t>
      </w:r>
      <w:r>
        <w:rPr>
          <w:rtl w:val="true"/>
        </w:rPr>
        <w:t>וכך בפרט בעבירת ההצתה</w:t>
      </w:r>
      <w:r>
        <w:rPr>
          <w:rtl w:val="true"/>
        </w:rPr>
        <w:t xml:space="preserve">. </w:t>
      </w:r>
      <w:r>
        <w:rPr>
          <w:rtl w:val="true"/>
        </w:rPr>
        <w:t>השאלה אם הנאשם התכוון להצית</w:t>
      </w:r>
      <w:r>
        <w:rPr>
          <w:rtl w:val="true"/>
        </w:rPr>
        <w:t xml:space="preserve">, </w:t>
      </w:r>
      <w:r>
        <w:rPr>
          <w:rtl w:val="true"/>
        </w:rPr>
        <w:t>או שמא פעל מתוך יסוד נפשי של פזיזות</w:t>
      </w:r>
      <w:r>
        <w:rPr>
          <w:rtl w:val="true"/>
        </w:rPr>
        <w:t xml:space="preserve">, </w:t>
      </w:r>
      <w:r>
        <w:rPr>
          <w:rtl w:val="true"/>
        </w:rPr>
        <w:t>היא שאלה בעלת חשיבות רבה ומשמעותית</w:t>
      </w:r>
      <w:r>
        <w:rPr>
          <w:rtl w:val="true"/>
        </w:rPr>
        <w:t xml:space="preserve">, </w:t>
      </w:r>
      <w:r>
        <w:rPr>
          <w:rtl w:val="true"/>
        </w:rPr>
        <w:t>לצורך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חשוב להבחין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בין עצם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להצית</w:t>
      </w:r>
      <w:r>
        <w:rPr>
          <w:rtl w:val="true"/>
        </w:rPr>
        <w:t xml:space="preserve">, </w:t>
      </w:r>
      <w:r>
        <w:rPr>
          <w:rtl w:val="true"/>
        </w:rPr>
        <w:t xml:space="preserve">לבין כוונת המצית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מוגדר</w:t>
      </w:r>
      <w:r>
        <w:rPr>
          <w:rtl w:val="true"/>
        </w:rPr>
        <w:t xml:space="preserve">, </w:t>
      </w:r>
      <w:r>
        <w:rPr>
          <w:rtl w:val="true"/>
        </w:rPr>
        <w:t>באמצעות ההצתה</w:t>
      </w:r>
      <w:r>
        <w:rPr>
          <w:rtl w:val="true"/>
        </w:rPr>
        <w:t xml:space="preserve">. </w:t>
      </w:r>
      <w:r>
        <w:rPr>
          <w:rtl w:val="true"/>
        </w:rPr>
        <w:t>מדובר בשני שלבים שונים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יש לבחון אם הנאשם התכוון להצית</w:t>
      </w:r>
      <w:r>
        <w:rPr>
          <w:rtl w:val="true"/>
        </w:rPr>
        <w:t xml:space="preserve">; </w:t>
      </w:r>
      <w:r>
        <w:rPr>
          <w:rtl w:val="true"/>
        </w:rPr>
        <w:t>רק לאחר מכן</w:t>
      </w:r>
      <w:r>
        <w:rPr>
          <w:rtl w:val="true"/>
        </w:rPr>
        <w:t xml:space="preserve">, </w:t>
      </w:r>
      <w:r>
        <w:rPr>
          <w:rtl w:val="true"/>
        </w:rPr>
        <w:t>ככל ששאלה זו נענית בחיוב</w:t>
      </w:r>
      <w:r>
        <w:rPr>
          <w:rtl w:val="true"/>
        </w:rPr>
        <w:t xml:space="preserve">, </w:t>
      </w:r>
      <w:r>
        <w:rPr>
          <w:rtl w:val="true"/>
        </w:rPr>
        <w:t>יש לבחון אם היתה לנאשם כוונה לגרום לנזק ספציפי</w:t>
      </w:r>
      <w:r>
        <w:rPr>
          <w:rtl w:val="true"/>
        </w:rPr>
        <w:t xml:space="preserve">. </w:t>
      </w:r>
      <w:r>
        <w:rPr>
          <w:rtl w:val="true"/>
        </w:rPr>
        <w:t xml:space="preserve">השאלה אם הנאשם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להצית</w:t>
      </w:r>
      <w:r>
        <w:rPr>
          <w:rtl w:val="true"/>
        </w:rPr>
        <w:t xml:space="preserve">, </w:t>
      </w:r>
      <w:r>
        <w:rPr>
          <w:rtl w:val="true"/>
        </w:rPr>
        <w:t>קודמת אפוא</w:t>
      </w:r>
      <w:r>
        <w:rPr>
          <w:rtl w:val="true"/>
        </w:rPr>
        <w:t xml:space="preserve">, </w:t>
      </w:r>
      <w:r>
        <w:rPr>
          <w:rtl w:val="true"/>
        </w:rPr>
        <w:t>למצער במובן מסוים</w:t>
      </w:r>
      <w:r>
        <w:rPr>
          <w:rtl w:val="true"/>
        </w:rPr>
        <w:t xml:space="preserve">, </w:t>
      </w:r>
      <w:r>
        <w:rPr>
          <w:rtl w:val="true"/>
        </w:rPr>
        <w:t>לשאלת היסוד הנפשי ביחס לאפשרות גרימת הנזק</w:t>
      </w:r>
      <w:r>
        <w:rPr>
          <w:rtl w:val="true"/>
        </w:rPr>
        <w:t xml:space="preserve">, </w:t>
      </w:r>
      <w:r>
        <w:rPr>
          <w:rtl w:val="true"/>
        </w:rPr>
        <w:t>ומכתיבה את האופן שבו יש לענות עליה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בהתייחס לשלב השני</w:t>
      </w:r>
      <w:r>
        <w:rPr>
          <w:rtl w:val="true"/>
        </w:rPr>
        <w:t xml:space="preserve">, </w:t>
      </w:r>
      <w:r>
        <w:rPr>
          <w:rtl w:val="true"/>
        </w:rPr>
        <w:t>נקבע בפסיקה</w:t>
      </w:r>
      <w:r>
        <w:rPr>
          <w:rtl w:val="true"/>
        </w:rPr>
        <w:t xml:space="preserve">, </w:t>
      </w:r>
      <w:r>
        <w:rPr>
          <w:rtl w:val="true"/>
        </w:rPr>
        <w:t>כי כוונה לגרום לפגיעה בגוף ובנפש</w:t>
      </w:r>
      <w:r>
        <w:rPr>
          <w:rtl w:val="true"/>
        </w:rPr>
        <w:t xml:space="preserve">, </w:t>
      </w:r>
      <w:r>
        <w:rPr>
          <w:rtl w:val="true"/>
        </w:rPr>
        <w:t xml:space="preserve">תובא כשיקול להחמרה בעונש בעבירות הצתה </w:t>
      </w:r>
      <w:r>
        <w:rPr>
          <w:rtl w:val="true"/>
        </w:rPr>
        <w:t>(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/>
        <w:t>23.4.2014</w:t>
      </w:r>
      <w:r>
        <w:rPr>
          <w:rtl w:val="true"/>
        </w:rPr>
        <w:t xml:space="preserve">);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5.10.2014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 xml:space="preserve">גם כוונה לגרום לנזק מסוים לרכוש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7.11.2012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עוד אציין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 xml:space="preserve">שגם יסוד נפשי של פזיזות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יכול להוות שיקול רלבנטי</w:t>
      </w:r>
      <w:r>
        <w:rPr>
          <w:rtl w:val="true"/>
        </w:rPr>
        <w:t xml:space="preserve">, </w:t>
      </w:r>
      <w:r>
        <w:rPr>
          <w:rtl w:val="true"/>
        </w:rPr>
        <w:t>בעת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קיים הבדל מהותי</w:t>
      </w:r>
      <w:r>
        <w:rPr>
          <w:rtl w:val="true"/>
        </w:rPr>
        <w:t xml:space="preserve">, </w:t>
      </w:r>
      <w:r>
        <w:rPr>
          <w:rtl w:val="true"/>
        </w:rPr>
        <w:t>מבחינת מידת האשמה שניתן לייחס לנאשם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 לגרום לנזק מסוים באמצעות הצתה</w:t>
      </w:r>
      <w:r>
        <w:rPr>
          <w:rtl w:val="true"/>
        </w:rPr>
        <w:t xml:space="preserve">, </w:t>
      </w:r>
      <w:r>
        <w:rPr>
          <w:rtl w:val="true"/>
        </w:rPr>
        <w:t xml:space="preserve">לבין 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ביחס לגרימת אותו נזק ממש</w:t>
      </w:r>
      <w:r>
        <w:rPr>
          <w:rtl w:val="true"/>
        </w:rPr>
        <w:t xml:space="preserve">.   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לכך אוסיף</w:t>
      </w:r>
      <w:r>
        <w:rPr>
          <w:rtl w:val="true"/>
        </w:rPr>
        <w:t xml:space="preserve">, </w:t>
      </w:r>
      <w:r>
        <w:rPr>
          <w:rtl w:val="true"/>
        </w:rPr>
        <w:t>כי ישנו טעם נוסף</w:t>
      </w:r>
      <w:r>
        <w:rPr>
          <w:rtl w:val="true"/>
        </w:rPr>
        <w:t xml:space="preserve">, </w:t>
      </w:r>
      <w:r>
        <w:rPr>
          <w:rtl w:val="true"/>
        </w:rPr>
        <w:t>רלבנטי במיוחד לעבירות ההצתה</w:t>
      </w:r>
      <w:r>
        <w:rPr>
          <w:rtl w:val="true"/>
        </w:rPr>
        <w:t xml:space="preserve">, </w:t>
      </w:r>
      <w:r>
        <w:rPr>
          <w:rtl w:val="true"/>
        </w:rPr>
        <w:t>המצדיק לבחון תחילה את היסוד הנפשי הספציפי העומד בבסיס מעשי הנאשם</w:t>
      </w:r>
      <w:r>
        <w:rPr>
          <w:rtl w:val="true"/>
        </w:rPr>
        <w:t xml:space="preserve">, </w:t>
      </w:r>
      <w:r>
        <w:rPr>
          <w:rtl w:val="true"/>
        </w:rPr>
        <w:t>במסגרת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כפי שציין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חומרתה המיוחדת של עבירת ההצתה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נובעת מהשילוב שבין הסכנה האינהרנטית הכרוכה בשילוח האש – אם לחיי אדם ולשלמות הגוף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לרכוש – לבין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היכולת של המצית לשלוט בתוצאות ההצתה </w:t>
      </w:r>
      <w:r>
        <w:rPr>
          <w:rFonts w:cs="Century" w:ascii="Century" w:hAnsi="Century"/>
          <w:sz w:val="22"/>
          <w:rtl w:val="true"/>
        </w:rPr>
        <w:t>(</w:t>
      </w:r>
      <w:hyperlink r:id="rId8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9226/11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גוזלנד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8.10.2013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8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4743/22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17.8.2022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מהעדר היכולת לשלוט בתוצאות ההצתה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מקום שבו המצית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שהוא נטל על עצמו את הסיכון לשאת באחריות להשלכותיה הבלתי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צפויות של ההצתה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אם אלה יהיו שונות משמעותית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וחמורות בהרבה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מן התוצאות שלהן כיוון בתחילה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בדומה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מן הצד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במקרה שבו המצית התכוון להצית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ופוטנציאל הנזק מחמת ההצתה היה גבוה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הנטיה היא שלא להפחית באופן משמעותי מחומרת העונש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אם לבסוף פוטנציאל הנזק לא התממש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8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3450/17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10.1.2018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הטעם לדבר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עצם העובדה שהנזק לא התממש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תלויה בנאשם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אינה מפחיתה באופן משמעותי ממידת אשמו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מן האמור נמצאנו למדים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בעבירות הצתה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נוכח העדר היכולת לשלוט בתוצאות ההצתה</w:t>
      </w:r>
      <w:r>
        <w:rPr>
          <w:rtl w:val="true"/>
        </w:rPr>
        <w:t xml:space="preserve">, </w:t>
      </w:r>
      <w:r>
        <w:rPr>
          <w:rtl w:val="true"/>
        </w:rPr>
        <w:t>ובשים לב למידת חוסר הוודאות הגבוהה הכרוכה בעבירות אלה</w:t>
      </w:r>
      <w:r>
        <w:rPr>
          <w:rtl w:val="true"/>
        </w:rPr>
        <w:t xml:space="preserve">, </w:t>
      </w:r>
      <w:r>
        <w:rPr>
          <w:rtl w:val="true"/>
        </w:rPr>
        <w:t>מעצם טבען</w:t>
      </w:r>
      <w:r>
        <w:rPr>
          <w:rtl w:val="true"/>
        </w:rPr>
        <w:t xml:space="preserve">, </w:t>
      </w:r>
      <w:r>
        <w:rPr>
          <w:rtl w:val="true"/>
        </w:rPr>
        <w:t>הרי ששאלת הכוונה להצית</w:t>
      </w:r>
      <w:r>
        <w:rPr>
          <w:rtl w:val="true"/>
        </w:rPr>
        <w:t xml:space="preserve">, </w:t>
      </w:r>
      <w:r>
        <w:rPr>
          <w:rtl w:val="true"/>
        </w:rPr>
        <w:t>קשורה באופן הדוק לשאלת טיב הסיכון שנטל על עצמו המצית</w:t>
      </w:r>
      <w:r>
        <w:rPr>
          <w:rtl w:val="true"/>
        </w:rPr>
        <w:t xml:space="preserve">, </w:t>
      </w:r>
      <w:r>
        <w:rPr>
          <w:rtl w:val="true"/>
        </w:rPr>
        <w:t>בנוגע להשלכות מעשיו</w:t>
      </w:r>
      <w:r>
        <w:rPr>
          <w:rtl w:val="true"/>
        </w:rPr>
        <w:t xml:space="preserve">, </w:t>
      </w:r>
      <w:r>
        <w:rPr>
          <w:rtl w:val="true"/>
        </w:rPr>
        <w:t>ובהתאם גם למידת אשמתו</w:t>
      </w:r>
      <w:r>
        <w:rPr>
          <w:rtl w:val="true"/>
        </w:rPr>
        <w:t xml:space="preserve">. </w:t>
      </w:r>
      <w:r>
        <w:rPr>
          <w:rtl w:val="true"/>
        </w:rPr>
        <w:t>קיימת אפוא הבחנה איכותית</w:t>
      </w:r>
      <w:r>
        <w:rPr>
          <w:rtl w:val="true"/>
        </w:rPr>
        <w:t xml:space="preserve">, </w:t>
      </w:r>
      <w:r>
        <w:rPr>
          <w:rtl w:val="true"/>
        </w:rPr>
        <w:t>בסיסית</w:t>
      </w:r>
      <w:r>
        <w:rPr>
          <w:rtl w:val="true"/>
        </w:rPr>
        <w:t xml:space="preserve">, </w:t>
      </w:r>
      <w:r>
        <w:rPr>
          <w:rtl w:val="true"/>
        </w:rPr>
        <w:t>בין מידת האשם שניתן לייחס לנאשם שהתכוון להצית</w:t>
      </w:r>
      <w:r>
        <w:rPr>
          <w:rtl w:val="true"/>
        </w:rPr>
        <w:t xml:space="preserve">, </w:t>
      </w:r>
      <w:r>
        <w:rPr>
          <w:rtl w:val="true"/>
        </w:rPr>
        <w:t>לבין מידת האשם שניתן לייחס לנאשם שפעל מתוך יסוד נפשי של פזיזות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טיב הסיכון שנטל על עצמו כל אחד מהם</w:t>
      </w:r>
      <w:r>
        <w:rPr>
          <w:rtl w:val="true"/>
        </w:rPr>
        <w:t xml:space="preserve">. </w:t>
      </w:r>
      <w:r>
        <w:rPr>
          <w:rtl w:val="true"/>
        </w:rPr>
        <w:t>כנגזרת מן האמור</w:t>
      </w:r>
      <w:r>
        <w:rPr>
          <w:rtl w:val="true"/>
        </w:rPr>
        <w:t xml:space="preserve">, </w:t>
      </w:r>
      <w:r>
        <w:rPr>
          <w:rtl w:val="true"/>
        </w:rPr>
        <w:t>הרי ש</w:t>
      </w:r>
      <w:r>
        <w:rPr>
          <w:rFonts w:ascii="Century" w:hAnsi="Century" w:cs="Century"/>
          <w:sz w:val="22"/>
          <w:sz w:val="22"/>
          <w:rtl w:val="true"/>
        </w:rPr>
        <w:t>בהעדר כוונה להצית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כדי להפחית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ממידת האשם שיש לייחס לנאשם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ובהתאמה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 עקרון ההלימה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להפחית גם מחומרת העונש שראוי כי יוטל על הנאשם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מן הכלל אל הפרט</w:t>
      </w:r>
      <w:r>
        <w:rPr>
          <w:rtl w:val="true"/>
        </w:rPr>
        <w:t xml:space="preserve">: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המקרה דנן</w:t>
      </w:r>
      <w:r>
        <w:rPr>
          <w:rtl w:val="true"/>
        </w:rPr>
        <w:t xml:space="preserve">, </w:t>
      </w:r>
      <w:r>
        <w:rPr>
          <w:rtl w:val="true"/>
        </w:rPr>
        <w:t>נמנה על אותם מקרים חריגים</w:t>
      </w:r>
      <w:r>
        <w:rPr>
          <w:rtl w:val="true"/>
        </w:rPr>
        <w:t xml:space="preserve">, </w:t>
      </w:r>
      <w:r>
        <w:rPr>
          <w:rtl w:val="true"/>
        </w:rPr>
        <w:t>המצדיקים את התערבותנו בגזר הדין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אילו מדובר היה במקרה </w:t>
      </w:r>
      <w:r>
        <w:rPr>
          <w:rtl w:val="true"/>
        </w:rPr>
        <w:t>'</w:t>
      </w:r>
      <w:r>
        <w:rPr>
          <w:rtl w:val="true"/>
        </w:rPr>
        <w:t>רגיל</w:t>
      </w:r>
      <w:r>
        <w:rPr>
          <w:rtl w:val="true"/>
        </w:rPr>
        <w:t xml:space="preserve">' </w:t>
      </w:r>
      <w:r>
        <w:rPr>
          <w:rtl w:val="true"/>
        </w:rPr>
        <w:t>של הצתה</w:t>
      </w:r>
      <w:r>
        <w:rPr>
          <w:rtl w:val="true"/>
        </w:rPr>
        <w:t xml:space="preserve">, </w:t>
      </w:r>
      <w:r>
        <w:rPr>
          <w:rtl w:val="true"/>
        </w:rPr>
        <w:t>שבו פעל המצית מתוך יסוד נפשי של כוונה להצית</w:t>
      </w:r>
      <w:r>
        <w:rPr>
          <w:rtl w:val="true"/>
        </w:rPr>
        <w:t xml:space="preserve">, </w:t>
      </w:r>
      <w:r>
        <w:rPr>
          <w:rtl w:val="true"/>
        </w:rPr>
        <w:t>הרי שלנוכח פוטנציאל הנזק הגבוה</w:t>
      </w:r>
      <w:r>
        <w:rPr>
          <w:rtl w:val="true"/>
        </w:rPr>
        <w:t xml:space="preserve">, </w:t>
      </w:r>
      <w:r>
        <w:rPr>
          <w:rtl w:val="true"/>
        </w:rPr>
        <w:t>והנזק שנגרם בפועל</w:t>
      </w:r>
      <w:r>
        <w:rPr>
          <w:rtl w:val="true"/>
        </w:rPr>
        <w:t xml:space="preserve">; </w:t>
      </w:r>
      <w:r>
        <w:rPr>
          <w:rtl w:val="true"/>
        </w:rPr>
        <w:t>בהינתן שלאחר מעשה</w:t>
      </w:r>
      <w:r>
        <w:rPr>
          <w:rtl w:val="true"/>
        </w:rPr>
        <w:t xml:space="preserve">, </w:t>
      </w:r>
      <w:r>
        <w:rPr>
          <w:rtl w:val="true"/>
        </w:rPr>
        <w:t>לא הזמין המערער את כוחות הכיבוי</w:t>
      </w:r>
      <w:r>
        <w:rPr>
          <w:rtl w:val="true"/>
        </w:rPr>
        <w:t xml:space="preserve">, </w:t>
      </w:r>
      <w:r>
        <w:rPr>
          <w:rtl w:val="true"/>
        </w:rPr>
        <w:t>ובחר להתמקד בפעולות לשיבוש הליכי משפט</w:t>
      </w:r>
      <w:r>
        <w:rPr>
          <w:rtl w:val="true"/>
        </w:rPr>
        <w:t xml:space="preserve">; </w:t>
      </w:r>
      <w:r>
        <w:rPr>
          <w:rtl w:val="true"/>
        </w:rPr>
        <w:t>בשים לב להתנהלותו של המערער</w:t>
      </w:r>
      <w:r>
        <w:rPr>
          <w:rtl w:val="true"/>
        </w:rPr>
        <w:t xml:space="preserve">, </w:t>
      </w:r>
      <w:r>
        <w:rPr>
          <w:rtl w:val="true"/>
        </w:rPr>
        <w:t>שלא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ואף אינו נוטל חלק בהליך שיקומי</w:t>
      </w:r>
      <w:r>
        <w:rPr>
          <w:rtl w:val="true"/>
        </w:rPr>
        <w:t xml:space="preserve">; </w:t>
      </w:r>
      <w:r>
        <w:rPr>
          <w:rtl w:val="true"/>
        </w:rPr>
        <w:t>ובהתחשב במדיניות הענישה הנוהגת</w:t>
      </w:r>
      <w:r>
        <w:rPr>
          <w:rtl w:val="true"/>
        </w:rPr>
        <w:t xml:space="preserve">; </w:t>
      </w:r>
      <w:r>
        <w:rPr>
          <w:rtl w:val="true"/>
        </w:rPr>
        <w:t>כשמול כל אלה ניצב</w:t>
      </w:r>
      <w:r>
        <w:rPr>
          <w:rtl w:val="true"/>
        </w:rPr>
        <w:t xml:space="preserve">, </w:t>
      </w:r>
      <w:r>
        <w:rPr>
          <w:rtl w:val="true"/>
        </w:rPr>
        <w:t>כסנגור יחיד</w:t>
      </w:r>
      <w:r>
        <w:rPr>
          <w:rtl w:val="true"/>
        </w:rPr>
        <w:t xml:space="preserve">, </w:t>
      </w:r>
      <w:r>
        <w:rPr>
          <w:rtl w:val="true"/>
        </w:rPr>
        <w:t>עברו הנקי של המערער – לא היה מקום להתערב בגזר הדין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אלו הם פני הדברים</w:t>
      </w:r>
      <w:r>
        <w:rPr>
          <w:rtl w:val="true"/>
        </w:rPr>
        <w:t xml:space="preserve">. </w:t>
      </w:r>
      <w:r>
        <w:rPr>
          <w:rtl w:val="true"/>
        </w:rPr>
        <w:t>כפי שציינה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cs="Century"/>
          <w:sz w:val="22"/>
          <w:sz w:val="22"/>
          <w:rtl w:val="true"/>
        </w:rPr>
        <w:t xml:space="preserve"> לגרום להצתה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פעל מתוך 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פזיזות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לגבי דידי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בעובדה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כשלעצמה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כדי להפחית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ניכר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ממידת האשם שיש לייחס למערער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כלל הנסיבות האמורות צריכות היו להיבחן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מלכתחילה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תחת הנחת יסוד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בדיעבד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משלא נעשה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בהתאם לעקרון ההלימה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מתחם העונש ההולם צריך היה להיות נמוך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וכך גם העונש שהוטל על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לאחר ששקלתי את התנהגותו הרעה והחמורה</w:t>
      </w:r>
      <w:r>
        <w:rPr>
          <w:rtl w:val="true"/>
        </w:rPr>
        <w:t xml:space="preserve">, </w:t>
      </w:r>
      <w:r>
        <w:rPr>
          <w:rtl w:val="true"/>
        </w:rPr>
        <w:t>את חומרת העבירה</w:t>
      </w:r>
      <w:r>
        <w:rPr>
          <w:rtl w:val="true"/>
        </w:rPr>
        <w:t xml:space="preserve">, </w:t>
      </w:r>
      <w:r>
        <w:rPr>
          <w:rtl w:val="true"/>
        </w:rPr>
        <w:t>ואת הנזק הרב שגרם במעשיו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החלטתי לצרף את דעתי לדעתה של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ולהקל בעונשו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הערעור מתקבל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במובן זה שעונש המאסר בפועל יופחת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ויעמוד על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בסך הכול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יתר רכיבי גזר הדין יעמדו בעינם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10.1.2023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074-7831077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074-7831078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bookmarkStart w:id="25" w:name="Nitan"/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27.12.2022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2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22005100</w:t>
      </w:r>
      <w:r>
        <w:rPr>
          <w:sz w:val="16"/>
          <w:rtl w:val="true"/>
        </w:rPr>
        <w:t>_</w:t>
      </w:r>
      <w:r>
        <w:rPr>
          <w:sz w:val="16"/>
        </w:rPr>
        <w:t>P17.docx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רו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54678313-510/22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2"/>
      <w:footerReference w:type="default" r:id="rId9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510/22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טויטו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lang w:val="en-US"/>
    </w:rPr>
  </w:style>
  <w:style w:type="character" w:styleId="WW8Num13z0">
    <w:name w:val="WW8Num13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55613" TargetMode="External"/><Relationship Id="rId3" Type="http://schemas.openxmlformats.org/officeDocument/2006/relationships/hyperlink" Target="http://www.nevo.co.il/safrut/book/14971" TargetMode="External"/><Relationship Id="rId4" Type="http://schemas.openxmlformats.org/officeDocument/2006/relationships/hyperlink" Target="http://www.nevo.co.il/safrut/book/14971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003" TargetMode="External"/><Relationship Id="rId7" Type="http://schemas.openxmlformats.org/officeDocument/2006/relationships/hyperlink" Target="http://www.nevo.co.il/safrut/bookgroup/400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0" TargetMode="External"/><Relationship Id="rId10" Type="http://schemas.openxmlformats.org/officeDocument/2006/relationships/hyperlink" Target="http://www.nevo.co.il/law/70301/20.a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40c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/90a.1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338.a.3" TargetMode="External"/><Relationship Id="rId18" Type="http://schemas.openxmlformats.org/officeDocument/2006/relationships/hyperlink" Target="http://www.nevo.co.il/law/70301/40jc.a" TargetMode="External"/><Relationship Id="rId19" Type="http://schemas.openxmlformats.org/officeDocument/2006/relationships/hyperlink" Target="http://www.nevo.co.il/law/70301/448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70301/449" TargetMode="External"/><Relationship Id="rId22" Type="http://schemas.openxmlformats.org/officeDocument/2006/relationships/hyperlink" Target="http://www.nevo.co.il/case/26555613" TargetMode="External"/><Relationship Id="rId23" Type="http://schemas.openxmlformats.org/officeDocument/2006/relationships/hyperlink" Target="http://www.nevo.co.il/law/70301/448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44" TargetMode="External"/><Relationship Id="rId26" Type="http://schemas.openxmlformats.org/officeDocument/2006/relationships/hyperlink" Target="http://www.nevo.co.il/law/70301/44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38.a.3" TargetMode="External"/><Relationship Id="rId29" Type="http://schemas.openxmlformats.org/officeDocument/2006/relationships/hyperlink" Target="http://www.nevo.co.il/law/70301/449" TargetMode="External"/><Relationship Id="rId30" Type="http://schemas.openxmlformats.org/officeDocument/2006/relationships/hyperlink" Target="http://www.nevo.co.il/law/70301/338.a.3" TargetMode="External"/><Relationship Id="rId31" Type="http://schemas.openxmlformats.org/officeDocument/2006/relationships/hyperlink" Target="http://www.nevo.co.il/case/17948085" TargetMode="External"/><Relationship Id="rId32" Type="http://schemas.openxmlformats.org/officeDocument/2006/relationships/hyperlink" Target="http://www.nevo.co.il/case/26500755" TargetMode="External"/><Relationship Id="rId33" Type="http://schemas.openxmlformats.org/officeDocument/2006/relationships/hyperlink" Target="http://www.nevo.co.il/law/70301/448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90a.1" TargetMode="External"/><Relationship Id="rId36" Type="http://schemas.openxmlformats.org/officeDocument/2006/relationships/hyperlink" Target="http://www.nevo.co.il/law/70301/20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safrut/bookgroup/4003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727190" TargetMode="External"/><Relationship Id="rId41" Type="http://schemas.openxmlformats.org/officeDocument/2006/relationships/hyperlink" Target="http://www.nevo.co.il/case/6104053" TargetMode="External"/><Relationship Id="rId42" Type="http://schemas.openxmlformats.org/officeDocument/2006/relationships/hyperlink" Target="http://www.nevo.co.il/case/6138793" TargetMode="External"/><Relationship Id="rId43" Type="http://schemas.openxmlformats.org/officeDocument/2006/relationships/hyperlink" Target="http://www.nevo.co.il/case/5810936" TargetMode="External"/><Relationship Id="rId44" Type="http://schemas.openxmlformats.org/officeDocument/2006/relationships/hyperlink" Target="http://www.nevo.co.il/safrut/bookgroup/412" TargetMode="External"/><Relationship Id="rId45" Type="http://schemas.openxmlformats.org/officeDocument/2006/relationships/hyperlink" Target="http://www.nevo.co.il/case/5878732" TargetMode="External"/><Relationship Id="rId46" Type="http://schemas.openxmlformats.org/officeDocument/2006/relationships/hyperlink" Target="http://www.nevo.co.il/case/5810936" TargetMode="External"/><Relationship Id="rId47" Type="http://schemas.openxmlformats.org/officeDocument/2006/relationships/hyperlink" Target="http://www.nevo.co.il/case/6061796" TargetMode="External"/><Relationship Id="rId48" Type="http://schemas.openxmlformats.org/officeDocument/2006/relationships/hyperlink" Target="http://www.nevo.co.il/case/26830322" TargetMode="External"/><Relationship Id="rId49" Type="http://schemas.openxmlformats.org/officeDocument/2006/relationships/hyperlink" Target="http://www.nevo.co.il/case/28384638" TargetMode="External"/><Relationship Id="rId50" Type="http://schemas.openxmlformats.org/officeDocument/2006/relationships/hyperlink" Target="http://www.nevo.co.il/case/5878732" TargetMode="External"/><Relationship Id="rId51" Type="http://schemas.openxmlformats.org/officeDocument/2006/relationships/hyperlink" Target="http://www.nevo.co.il/law/70301/90a.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0" TargetMode="External"/><Relationship Id="rId54" Type="http://schemas.openxmlformats.org/officeDocument/2006/relationships/hyperlink" Target="http://www.nevo.co.il/law/70301/448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16948372" TargetMode="External"/><Relationship Id="rId57" Type="http://schemas.openxmlformats.org/officeDocument/2006/relationships/hyperlink" Target="http://www.nevo.co.il/law/70301/40c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7980301" TargetMode="External"/><Relationship Id="rId60" Type="http://schemas.openxmlformats.org/officeDocument/2006/relationships/hyperlink" Target="http://www.nevo.co.il/law/70301/40i" TargetMode="External"/><Relationship Id="rId61" Type="http://schemas.openxmlformats.org/officeDocument/2006/relationships/hyperlink" Target="http://www.nevo.co.il/law/70301/40jc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587202" TargetMode="External"/><Relationship Id="rId64" Type="http://schemas.openxmlformats.org/officeDocument/2006/relationships/hyperlink" Target="http://www.nevo.co.il/case/7665459" TargetMode="External"/><Relationship Id="rId65" Type="http://schemas.openxmlformats.org/officeDocument/2006/relationships/hyperlink" Target="http://www.nevo.co.il/case/28770694" TargetMode="External"/><Relationship Id="rId66" Type="http://schemas.openxmlformats.org/officeDocument/2006/relationships/hyperlink" Target="http://www.nevo.co.il/case/21478675" TargetMode="External"/><Relationship Id="rId67" Type="http://schemas.openxmlformats.org/officeDocument/2006/relationships/hyperlink" Target="http://www.nevo.co.il/case/13077164" TargetMode="External"/><Relationship Id="rId68" Type="http://schemas.openxmlformats.org/officeDocument/2006/relationships/hyperlink" Target="http://www.nevo.co.il/case/5821139" TargetMode="External"/><Relationship Id="rId69" Type="http://schemas.openxmlformats.org/officeDocument/2006/relationships/hyperlink" Target="http://www.nevo.co.il/case/27238781" TargetMode="External"/><Relationship Id="rId70" Type="http://schemas.openxmlformats.org/officeDocument/2006/relationships/hyperlink" Target="http://www.nevo.co.il/case/26684901" TargetMode="External"/><Relationship Id="rId71" Type="http://schemas.openxmlformats.org/officeDocument/2006/relationships/hyperlink" Target="http://www.nevo.co.il/case/28180190" TargetMode="External"/><Relationship Id="rId72" Type="http://schemas.openxmlformats.org/officeDocument/2006/relationships/hyperlink" Target="http://www.nevo.co.il/case/22546672" TargetMode="External"/><Relationship Id="rId73" Type="http://schemas.openxmlformats.org/officeDocument/2006/relationships/hyperlink" Target="http://www.nevo.co.il/case/26345413" TargetMode="External"/><Relationship Id="rId74" Type="http://schemas.openxmlformats.org/officeDocument/2006/relationships/hyperlink" Target="http://www.nevo.co.il/law/70301/448.a" TargetMode="External"/><Relationship Id="rId75" Type="http://schemas.openxmlformats.org/officeDocument/2006/relationships/hyperlink" Target="http://www.nevo.co.il/law/70301/90a.1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40b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safrut/book/14971" TargetMode="External"/><Relationship Id="rId80" Type="http://schemas.openxmlformats.org/officeDocument/2006/relationships/hyperlink" Target="http://www.nevo.co.il/safrut/bookgroup/412" TargetMode="External"/><Relationship Id="rId81" Type="http://schemas.openxmlformats.org/officeDocument/2006/relationships/hyperlink" Target="http://www.nevo.co.il/law/70301/40c.a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5573417" TargetMode="External"/><Relationship Id="rId84" Type="http://schemas.openxmlformats.org/officeDocument/2006/relationships/hyperlink" Target="http://www.nevo.co.il/case/7980175" TargetMode="External"/><Relationship Id="rId85" Type="http://schemas.openxmlformats.org/officeDocument/2006/relationships/hyperlink" Target="http://www.nevo.co.il/case/7665459" TargetMode="External"/><Relationship Id="rId86" Type="http://schemas.openxmlformats.org/officeDocument/2006/relationships/hyperlink" Target="http://www.nevo.co.il/case/5570864" TargetMode="External"/><Relationship Id="rId87" Type="http://schemas.openxmlformats.org/officeDocument/2006/relationships/hyperlink" Target="http://www.nevo.co.il/case/5571562" TargetMode="External"/><Relationship Id="rId88" Type="http://schemas.openxmlformats.org/officeDocument/2006/relationships/hyperlink" Target="http://www.nevo.co.il/case/28770694" TargetMode="External"/><Relationship Id="rId89" Type="http://schemas.openxmlformats.org/officeDocument/2006/relationships/hyperlink" Target="http://www.nevo.co.il/case/22546672" TargetMode="External"/><Relationship Id="rId90" Type="http://schemas.openxmlformats.org/officeDocument/2006/relationships/hyperlink" Target="https://supreme.court.gov.il/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2022-12-28T10:02:00Z</dcterms:created>
  <dc:creator>h4</dc:creator>
  <dc:description/>
  <cp:keywords/>
  <dc:language>en-IL</dc:language>
  <cp:lastModifiedBy>hofit</cp:lastModifiedBy>
  <cp:lastPrinted>2022-12-27T10:00:00Z</cp:lastPrinted>
  <dcterms:modified xsi:type="dcterms:W3CDTF">2022-12-28T10:02:00Z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אברהם טויטו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412:2:2;4003</vt:lpwstr>
  </property>
  <property fmtid="{D5CDD505-2E9C-101B-9397-08002B2CF9AE}" pid="9" name="BOOKLISTTMP1">
    <vt:lpwstr>14971</vt:lpwstr>
  </property>
  <property fmtid="{D5CDD505-2E9C-101B-9397-08002B2CF9AE}" pid="10" name="CASESLISTTMP1">
    <vt:lpwstr>26555613:2;17948085;26500755;5727190;6104053;6138793;5810936:2;5878732:2;6061796;26830322;28384638;16948372;7980301;5587202;7665459:2;28770694:2;21478675;13077164;5821139;27238781;26684901;28180190;22546672:2;26345413;5573417;7980175;5570864;5571562</vt:lpwstr>
  </property>
  <property fmtid="{D5CDD505-2E9C-101B-9397-08002B2CF9AE}" pid="11" name="CITY">
    <vt:lpwstr/>
  </property>
  <property fmtid="{D5CDD505-2E9C-101B-9397-08002B2CF9AE}" pid="12" name="DATE">
    <vt:lpwstr>20221227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סולברג;י' אלרון;ר' רונן</vt:lpwstr>
  </property>
  <property fmtid="{D5CDD505-2E9C-101B-9397-08002B2CF9AE}" pid="16" name="LAWLISTTMP1">
    <vt:lpwstr>70301/448.a:3;244;449:2;338.a.3:2;090a.1:3;020.a;020;448;040c;040i;40jc.a;040b;040c.a</vt:lpwstr>
  </property>
  <property fmtid="{D5CDD505-2E9C-101B-9397-08002B2CF9AE}" pid="17" name="LAWYER">
    <vt:lpwstr>יצחק פרדמן;דניאלי דותן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>עונשין</vt:lpwstr>
  </property>
  <property fmtid="{D5CDD505-2E9C-101B-9397-08002B2CF9AE}" pid="37" name="NOSE19">
    <vt:lpwstr/>
  </property>
  <property fmtid="{D5CDD505-2E9C-101B-9397-08002B2CF9AE}" pid="38" name="NOSE1ID">
    <vt:lpwstr>77;77;77;77;77;77;77;77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עבירות</vt:lpwstr>
  </property>
  <property fmtid="{D5CDD505-2E9C-101B-9397-08002B2CF9AE}" pid="45" name="NOSE26">
    <vt:lpwstr>מחשבה פלילית</vt:lpwstr>
  </property>
  <property fmtid="{D5CDD505-2E9C-101B-9397-08002B2CF9AE}" pid="46" name="NOSE27">
    <vt:lpwstr>מחשבה פלילית</vt:lpwstr>
  </property>
  <property fmtid="{D5CDD505-2E9C-101B-9397-08002B2CF9AE}" pid="47" name="NOSE28">
    <vt:lpwstr>מחשבה פלילית</vt:lpwstr>
  </property>
  <property fmtid="{D5CDD505-2E9C-101B-9397-08002B2CF9AE}" pid="48" name="NOSE29">
    <vt:lpwstr/>
  </property>
  <property fmtid="{D5CDD505-2E9C-101B-9397-08002B2CF9AE}" pid="49" name="NOSE2ID">
    <vt:lpwstr>1446;1446;1446;1446;1443;1436;1436;1436</vt:lpwstr>
  </property>
  <property fmtid="{D5CDD505-2E9C-101B-9397-08002B2CF9AE}" pid="50" name="NOSE31">
    <vt:lpwstr>מדיניות ענישה: שיקולים לקולה</vt:lpwstr>
  </property>
  <property fmtid="{D5CDD505-2E9C-101B-9397-08002B2CF9AE}" pid="51" name="NOSE310">
    <vt:lpwstr/>
  </property>
  <property fmtid="{D5CDD505-2E9C-101B-9397-08002B2CF9AE}" pid="52" name="NOSE32">
    <vt:lpwstr>מדיניות ענישה: הצתה</vt:lpwstr>
  </property>
  <property fmtid="{D5CDD505-2E9C-101B-9397-08002B2CF9AE}" pid="53" name="NOSE33">
    <vt:lpwstr>מדיניות ענישה: התערבות ערכאת ערעור</vt:lpwstr>
  </property>
  <property fmtid="{D5CDD505-2E9C-101B-9397-08002B2CF9AE}" pid="54" name="NOSE34">
    <vt:lpwstr>מתחם הענישה</vt:lpwstr>
  </property>
  <property fmtid="{D5CDD505-2E9C-101B-9397-08002B2CF9AE}" pid="55" name="NOSE35">
    <vt:lpwstr>הצתה</vt:lpwstr>
  </property>
  <property fmtid="{D5CDD505-2E9C-101B-9397-08002B2CF9AE}" pid="56" name="NOSE36">
    <vt:lpwstr>פזיזות</vt:lpwstr>
  </property>
  <property fmtid="{D5CDD505-2E9C-101B-9397-08002B2CF9AE}" pid="57" name="NOSE37">
    <vt:lpwstr>אדישות</vt:lpwstr>
  </property>
  <property fmtid="{D5CDD505-2E9C-101B-9397-08002B2CF9AE}" pid="58" name="NOSE38">
    <vt:lpwstr>מודעות</vt:lpwstr>
  </property>
  <property fmtid="{D5CDD505-2E9C-101B-9397-08002B2CF9AE}" pid="59" name="NOSE39">
    <vt:lpwstr/>
  </property>
  <property fmtid="{D5CDD505-2E9C-101B-9397-08002B2CF9AE}" pid="60" name="NOSE3ID">
    <vt:lpwstr>8996;15357;8982;14985;8815;8723;16006;8717</vt:lpwstr>
  </property>
  <property fmtid="{D5CDD505-2E9C-101B-9397-08002B2CF9AE}" pid="61" name="PADIDATE">
    <vt:lpwstr>20221228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510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410120221227</vt:lpwstr>
  </property>
  <property fmtid="{D5CDD505-2E9C-101B-9397-08002B2CF9AE}" pid="71" name="TYPE_N_DATE">
    <vt:lpwstr>41020221227</vt:lpwstr>
  </property>
  <property fmtid="{D5CDD505-2E9C-101B-9397-08002B2CF9AE}" pid="72" name="VOLUME">
    <vt:lpwstr/>
  </property>
  <property fmtid="{D5CDD505-2E9C-101B-9397-08002B2CF9AE}" pid="73" name="WORDNUMPAGES">
    <vt:lpwstr>24</vt:lpwstr>
  </property>
</Properties>
</file>