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5124/23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46191-11-21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23.5.2023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‏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27.09.2023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סלאמה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אלווקילי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152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332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 לפיו ערכאת הערעור תיטה שלא להתערב בגזר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שניתן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במקרים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מקבל משנה תוקף עת עסקינן בגזר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אשר אינו חורג מהמוסכם בהסדר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לעבירות של יידוי אבנים והתפרעות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 כשאלו נעשות על רקע לאומני ותוך הצטרפות לאירועים המוניים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לשיקולי שיקום אכן יש ליתן משקל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 בעניינם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שיקולים אלה אינם חזות הכל וקטינות אינה מקנה חסינות מפני ענישה 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ההיתכנות לשיקום העבריין הקטין היא נמוכה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לעתים השיקול השיקומי אינו רלוונטי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בעל משקל נמוך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התפרעות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 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תסקיר שירות מבחן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2004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לנוער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חפץ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והתפרעות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0" w:name="_Hlk149720170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ידוע הוא כי ערכאת הערעור תיטה שלא להתערב בגזר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שניתן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במקרים חריגים בהם נפלה טעות מהותית בגזר הדין או כאשר ניכרת חריגה קיצונית ממדיניות הענישה הראויה או הנוהגת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 האמור מקבל משנה תוקף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 עסקינן בגזר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אשר אינו חורג מהמוסכם בהסדר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ואשר לשם התערבות בו נדרשות נסיבות מיוחדות אף ביתר שאת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המקרה הנדון נכלל בגדר אותם מקרים חריגים המצדיקים את התערבות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_Hlk149720170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 המיוחסים למערער 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נטל חלק פעיל בהתפרעות המונית שכללה יידוי אבנים והצתת רכבים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תוך יצירת סיכון ממשי לביטחון הציבור ולשלמות הגוף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התנהגות מעין זו מבטאת זלזול בחיי אדם ובשלטון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פעם עמד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זה על אמת המידה המחמירה בה יש לנקוט </w:t>
      </w:r>
      <w:bookmarkStart w:id="12" w:name="_Hlk14972024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לעבירות של יידוי אבנים והתפרעות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 כשאלו נעשות על רקע לאומני ותוך הצטרפות לאירועים המוניים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כבמקרנו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בכדי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בנסיבות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יש לנקוט במדיניות ענישה אשר תרתיע ותרסן התפרעויות העלולות לסחוף המון רב ולצאת מגדר שליטה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התנהגויות אלו צריכות לזכות בתגובה עונשית קשה וכואבת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ויהיה מוצאם של המתפרעים אשר יהיה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נוהגת מדינת 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זכאים לצפות כל הבאים בשערי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זו אף זו – התקופה הטעונה שבה בוצעו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 הייתה המדינה נתונה תחת מתקפה של אלפי רקטות אל עבר האוכלוסייה האזרחית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גאייתם של התפרעויות אלימות והפרעות 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מהווה נסיבה נוספת אותה יש לשקול לחומרה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טוען כי היה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לתת דגש משמעותי יותר </w:t>
      </w:r>
      <w:bookmarkStart w:id="13" w:name="_Hlk14972036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לשיקולי השיקום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ליתן לשיקולים אלו משקל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 בעניינם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אלה אינם חזות הכל</w:t>
      </w:r>
      <w:bookmarkEnd w:id="13"/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כשבענישת קטינים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רגילה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ושיקול השיקום מקבל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רוב את הבכורה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שיקול זה ניצב לבדו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וידועה בהקשר זה האמרה כי קטינות אינה מקנה חסינות מפני ענישה 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בדרך של עונשי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אחת מוצא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כי בנסיבות מסוימות נכון לתת משקל יתר לשיקולי גמול והרתעה גם אם קיים אופק שיקומי מסוים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bookmarkStart w:id="14" w:name="_Hlk149720433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לעתים גם השיקול השיקומי אינו רלוונטי בנסיבות המקרה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למצער הוא בעל משקל נמוך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כאשר ההיתכנות לשיקום העבריין הקטין היא נמוכה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bookmarkEnd w:id="1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 זה באים לידי ביטוי שיקולי הענישה האחרים ביתר שאת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בצדק 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כי אין להעניק משקל משמעותי לשיקולי השיקום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לנוכח חומרת העבירות ותסקירי שירות המבחן מהם עולה ספק ביחס לפוטנציאל שיקומו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מוסיף וטוען כי היה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לאמץ את המלצת שירות המבחן להטלת עונשים של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 לתועלת הציבור וקנס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 שירות המבחן משמש כידו הארוכה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לשם בירור מסוכנותו של הנאשם וסיכויי שיקומו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ויתר הנתונים הרלוונטיים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החשיבות הרבה הנודעת להערכה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 כי היא אינה מחייבת 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מערך שיקוליו בעת גזירת העונש אינו זהה בהכרח לשיקולים העומדים בפני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>.</w:t>
      </w:r>
      <w:bookmarkStart w:id="15" w:name="ABSTRACT_END"/>
      <w:bookmarkEnd w:id="1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בת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46191-11-21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23.5.2023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שבגדרו נגזרו על המערער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בניכוי ימי מעצרו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תנאי לתקופה של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מתוקן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הורשע ביום </w:t>
      </w:r>
      <w:r>
        <w:rPr>
          <w:rFonts w:cs="Century" w:ascii="Century" w:hAnsi="Century"/>
        </w:rPr>
        <w:t>27.11.2022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פי הודאתו בכתב האישום המתוקן במסגרת הסדר טיעון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הטיעון</w:t>
      </w:r>
      <w:r>
        <w:rPr>
          <w:rFonts w:cs="Century" w:ascii="Century" w:hAnsi="Century"/>
          <w:rtl w:val="true"/>
        </w:rPr>
        <w:t>),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בעבירות של יידוי או ירי של אבן או חפץ אחד לעבר כלי תחבורה לפי </w:t>
      </w:r>
      <w:hyperlink r:id="rId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332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והתפרעות לפי </w:t>
      </w:r>
      <w:hyperlink r:id="rId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152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בלילה שבין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10.5.2021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11.5.2021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שעה שהתנהל מבצע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שומר החומות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שבאותה העת היה בן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השתתף במהומות והפרות סדר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כללו חסימות צירי תחבורה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יידוי 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הבערת צמיגים והצתת רכבים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אירועים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בוצעו ממניע אידאולוגי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לאומני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יידו המערער ואחרים אבנים אל עבר כביש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ואל עבר כלי הרכב שנסעו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כלי הרכב נאלצו להימלט מהמקום תוך נסיעה נגד כיוון התנועה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וחלקם אף נפגעו מיידוי האבנים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טרם הגעת המערער לזירה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ובמסגרת האירועים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נאלצה נהגת אשר נלכדה ברכבה בשל יידוי האבנים להיחלץ מכלי רכבה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ולאחר מכן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הוצת רכבה ונשרף כליל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המעשים האמורים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בוצעו למען מטרה משותפת של העלאת פחד או בהלה בציבור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והיה בהם כדי סיכון ממשי לפגיעה חמורה בגופו של אדם ובביטחון הציבור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קבע כי המערער פגע במעשיו באופן חמור ביותר בערכים המוגנים של שלטון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הסדר הציבורי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הביטחון הציבורי והאישי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כבוד האדם ושלמות הגוף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עמד על חומרת עבירת יידוי אבנים לעבר כלי תחבורה ועל מדיניות הענישה הנוהגת בעבירות התפרעות בהקשר המוני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שלפיה יש לבכר את שיקולי ההרתעה והגמול לשם ריסון פעילויות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העלולות לסחוף המון רב ולצאת מגדר שליטה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הביא בית המשפט המחוזי בחשבון את התקופה שבה בוצעו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מבצע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שומר החומות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אשר מהווה נסיבה לחומרה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 בית המשפט המחוזי את היותו של המערער קטין 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כי לנוכח חומרת העבירות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בהיות מבצען 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לאיין את שיקולי הענישה האחרים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מצא בית המשפט כי הענישה המוטלת על מבוגרים שביצעו עבירות דומות אך בנסיבות מקלות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חמורה יותר מהעונש המקסימלי שנקבע בהסדר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שהועמד על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בלבד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קיים במקרה דנן קושי במתן משקל משמעותי לשיקולי השיקום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בהתבסס על תסקירים שהגיש שירות המבחן בעניינו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שמהם עולות המסקנות הבאות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קבלת האחריות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 הייתה חלקית בלבד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לא התקיים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הליך שיקומי של ממש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בעניינו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וגורם הסיכון העיקרי שבגינו הופנה המערער לשירות המבחן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קיבל מענה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חומרת הנסיבות עליה הצביע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ולצד העונש המקסימלי שהועמד בהסדר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בית המשפט על המערער את העונשים המפורטים לעיל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החמיר עמו יתר על המידה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לא העניק משקל מספק לשיקולי השיקום הרלוונטיים בעניינם של 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עמידה על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הבדל המהותי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הקיים בסוגיה זו בין קטינים לבין בגירים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העונש שהוטל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חורג ממדיניות הענישה הנוהגת במקרים דומים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היה על בית המשפט לאמץ את המלצת שירות המבחן שלפיה על העונש לכלול אך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 לתועלת לציבור וקנס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סומכת את ידיה על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דינו של בית המשפט המחוזי וטוענת כי העונש שנגזר ראוי לנוכח נסיבות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עליהן נמנות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חומרת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ביצוען בהקשר המוני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ופרק הזמן שבו בוצעו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ועל רקע תסקירי שירות המבחן שלפיהן תודעת האחריות של המערער ביחס למעשים הייתה חלקית וגורם הסיכון העיקרי שבשלו הופנה המערער לשירות המבחן לא טופל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הפסיקה המצוטטת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 אינה עולה בקנה אחד עם הנסיבות המתקיימות בענייננו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10.4.2018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קורובקוב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13.7.2022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5806/22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20.11.2022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512/13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אהרון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6.7.2014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ואבאר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זלזול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והתפרעות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המוניים</w:t>
      </w:r>
      <w:r>
        <w:rPr>
          <w:rtl w:val="true"/>
        </w:rPr>
        <w:t xml:space="preserve">, </w:t>
      </w:r>
      <w:r>
        <w:rPr>
          <w:rtl w:val="true"/>
        </w:rPr>
        <w:t>כבמקרנו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סיטרין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11.6.2008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10.8.2017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4585/22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25.7.2022</w:t>
      </w:r>
      <w:r>
        <w:rPr>
          <w:rFonts w:cs="Century" w:ascii="Century" w:hAnsi="Century"/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29.5.2022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>" 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24.2.2022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2285/05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חמד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5.12.2005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גאייתם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ושיקול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הבכורה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; </w:t>
      </w:r>
      <w:r>
        <w:rPr>
          <w:rtl w:val="true"/>
        </w:rPr>
        <w:t>וידועה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חסינות</w:t>
      </w:r>
      <w:r>
        <w:rPr>
          <w:rtl w:val="true"/>
        </w:rPr>
        <w:t xml:space="preserve">"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22.5.2016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3472/11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17-13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3.9.2012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16.3.2016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9.4.2018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והראויה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sz w:val="24"/>
          <w:sz w:val="24"/>
          <w:rtl w:val="true"/>
        </w:rPr>
        <w:t>אציע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לחבריי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לדחות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ולהותיר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כנו</w:t>
      </w:r>
      <w:r>
        <w:rPr>
          <w:sz w:val="24"/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  <w:tab/>
        <w:tab/>
        <w:tab/>
        <w:tab/>
        <w:tab/>
        <w:tab/>
        <w:tab/>
      </w:r>
      <w:r>
        <w:rPr>
          <w:sz w:val="24"/>
          <w:sz w:val="24"/>
          <w:rtl w:val="true"/>
        </w:rPr>
        <w:t>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  <w:u w:val="single"/>
        </w:rPr>
      </w:pPr>
      <w:r>
        <w:rPr>
          <w:rFonts w:cs="Miriam" w:ascii="Century" w:hAnsi="Century"/>
          <w:b/>
          <w:spacing w:val="0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אני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sz w:val="24"/>
          <w:rtl w:val="true"/>
        </w:rPr>
        <w:t>.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  <w:tab/>
        <w:tab/>
        <w:tab/>
        <w:tab/>
        <w:tab/>
        <w:tab/>
        <w:tab/>
      </w:r>
      <w:r>
        <w:rPr>
          <w:sz w:val="24"/>
          <w:sz w:val="24"/>
          <w:rtl w:val="true"/>
        </w:rPr>
        <w:t>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ד</w:t>
      </w:r>
      <w:r>
        <w:rPr>
          <w:sz w:val="24"/>
          <w:u w:val="single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מינץ</w:t>
      </w:r>
      <w:r>
        <w:rPr>
          <w:sz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אני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sz w:val="24"/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  <w:tab/>
        <w:tab/>
        <w:tab/>
        <w:tab/>
        <w:tab/>
        <w:tab/>
        <w:tab/>
      </w:r>
      <w:r>
        <w:rPr>
          <w:sz w:val="24"/>
          <w:sz w:val="24"/>
          <w:rtl w:val="true"/>
        </w:rPr>
        <w:t>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הוחלט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לדחות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בפסק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sz w:val="24"/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bookmarkStart w:id="22" w:name="Nitan"/>
      <w:r>
        <w:rPr>
          <w:rFonts w:eastAsia="Arial TUR;Arial" w:cs="Arial TUR;Arial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>, ‏</w:t>
      </w:r>
      <w:r>
        <w:rPr>
          <w:sz w:val="24"/>
          <w:sz w:val="24"/>
          <w:rtl w:val="true"/>
        </w:rPr>
        <w:t>ט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בחשון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(‏</w:t>
      </w:r>
      <w:r>
        <w:rPr>
          <w:sz w:val="24"/>
        </w:rPr>
        <w:t>31.10.2023</w:t>
      </w:r>
      <w:r>
        <w:rPr>
          <w:sz w:val="24"/>
          <w:rtl w:val="true"/>
        </w:rPr>
        <w:t xml:space="preserve">). </w:t>
      </w:r>
      <w:bookmarkEnd w:id="22"/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23051240</w:t>
      </w:r>
      <w:r>
        <w:rPr>
          <w:sz w:val="16"/>
          <w:rtl w:val="true"/>
        </w:rPr>
        <w:t>_</w:t>
      </w:r>
      <w:r>
        <w:rPr>
          <w:sz w:val="16"/>
        </w:rPr>
        <w:t>R02.docx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רט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54678313-5124/23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276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5124/23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52" TargetMode="External"/><Relationship Id="rId4" Type="http://schemas.openxmlformats.org/officeDocument/2006/relationships/hyperlink" Target="http://www.nevo.co.il/law/70301/332a.b" TargetMode="External"/><Relationship Id="rId5" Type="http://schemas.openxmlformats.org/officeDocument/2006/relationships/hyperlink" Target="http://www.nevo.co.il/law/70301/332a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case/22578446" TargetMode="External"/><Relationship Id="rId9" Type="http://schemas.openxmlformats.org/officeDocument/2006/relationships/hyperlink" Target="http://www.nevo.co.il/case/27907115" TargetMode="External"/><Relationship Id="rId10" Type="http://schemas.openxmlformats.org/officeDocument/2006/relationships/hyperlink" Target="http://www.nevo.co.il/case/28912788" TargetMode="External"/><Relationship Id="rId11" Type="http://schemas.openxmlformats.org/officeDocument/2006/relationships/hyperlink" Target="http://www.nevo.co.il/case/5569233" TargetMode="External"/><Relationship Id="rId12" Type="http://schemas.openxmlformats.org/officeDocument/2006/relationships/hyperlink" Target="http://www.nevo.co.il/case/7980171" TargetMode="External"/><Relationship Id="rId13" Type="http://schemas.openxmlformats.org/officeDocument/2006/relationships/hyperlink" Target="http://www.nevo.co.il/case/6169945" TargetMode="External"/><Relationship Id="rId14" Type="http://schemas.openxmlformats.org/officeDocument/2006/relationships/hyperlink" Target="http://www.nevo.co.il/case/22303605" TargetMode="External"/><Relationship Id="rId15" Type="http://schemas.openxmlformats.org/officeDocument/2006/relationships/hyperlink" Target="http://www.nevo.co.il/case/28752891" TargetMode="External"/><Relationship Id="rId16" Type="http://schemas.openxmlformats.org/officeDocument/2006/relationships/hyperlink" Target="http://www.nevo.co.il/case/28243256" TargetMode="External"/><Relationship Id="rId17" Type="http://schemas.openxmlformats.org/officeDocument/2006/relationships/hyperlink" Target="http://www.nevo.co.il/case/28296934" TargetMode="External"/><Relationship Id="rId18" Type="http://schemas.openxmlformats.org/officeDocument/2006/relationships/hyperlink" Target="http://www.nevo.co.il/case/5823680" TargetMode="External"/><Relationship Id="rId19" Type="http://schemas.openxmlformats.org/officeDocument/2006/relationships/hyperlink" Target="http://www.nevo.co.il/case/2237972" TargetMode="External"/><Relationship Id="rId20" Type="http://schemas.openxmlformats.org/officeDocument/2006/relationships/hyperlink" Target="http://www.nevo.co.il/case/20832659" TargetMode="External"/><Relationship Id="rId21" Type="http://schemas.openxmlformats.org/officeDocument/2006/relationships/hyperlink" Target="http://www.nevo.co.il/case/6244964" TargetMode="External"/><Relationship Id="rId22" Type="http://schemas.openxmlformats.org/officeDocument/2006/relationships/hyperlink" Target="http://www.nevo.co.il/case/21037797" TargetMode="External"/><Relationship Id="rId23" Type="http://schemas.openxmlformats.org/officeDocument/2006/relationships/hyperlink" Target="http://www.nevo.co.il/case/23842034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2023-11-06T01:52:00Z</dcterms:created>
  <dc:creator>h4</dc:creator>
  <dc:description/>
  <cp:keywords/>
  <dc:language>en-IL</dc:language>
  <cp:lastModifiedBy>h1</cp:lastModifiedBy>
  <cp:lastPrinted>2023-10-31T15:01:00Z</cp:lastPrinted>
  <dcterms:modified xsi:type="dcterms:W3CDTF">2023-11-06T01:52:00Z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22578446;27907115;28912788;5569233;7980171;6169945;22303605;28752891;28243256;28296934;5823680;2237972;20832659;6244964;21037797;23842034</vt:lpwstr>
  </property>
  <property fmtid="{D5CDD505-2E9C-101B-9397-08002B2CF9AE}" pid="9" name="CITY">
    <vt:lpwstr/>
  </property>
  <property fmtid="{D5CDD505-2E9C-101B-9397-08002B2CF9AE}" pid="10" name="DATE">
    <vt:lpwstr>20231031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מינץ;י' וילנר</vt:lpwstr>
  </property>
  <property fmtid="{D5CDD505-2E9C-101B-9397-08002B2CF9AE}" pid="14" name="LAWLISTTMP1">
    <vt:lpwstr>70301/332a.b;152</vt:lpwstr>
  </property>
  <property fmtid="{D5CDD505-2E9C-101B-9397-08002B2CF9AE}" pid="15" name="LAWYER">
    <vt:lpwstr>יצחק פרידמן;נסאר מוסטפא;סלאמה אלווקילי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>עונשין</vt:lpwstr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>ענישה</vt:lpwstr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504;1446;1446;1446;1446;1446;1446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יידוי אבנים</vt:lpwstr>
  </property>
  <property fmtid="{D5CDD505-2E9C-101B-9397-08002B2CF9AE}" pid="51" name="NOSE33">
    <vt:lpwstr>מדיניות ענישה: התפרעות</vt:lpwstr>
  </property>
  <property fmtid="{D5CDD505-2E9C-101B-9397-08002B2CF9AE}" pid="52" name="NOSE34">
    <vt:lpwstr>קטינים</vt:lpwstr>
  </property>
  <property fmtid="{D5CDD505-2E9C-101B-9397-08002B2CF9AE}" pid="53" name="NOSE35">
    <vt:lpwstr>שיקום</vt:lpwstr>
  </property>
  <property fmtid="{D5CDD505-2E9C-101B-9397-08002B2CF9AE}" pid="54" name="NOSE36">
    <vt:lpwstr>שיקולי ענישה</vt:lpwstr>
  </property>
  <property fmtid="{D5CDD505-2E9C-101B-9397-08002B2CF9AE}" pid="55" name="NOSE37">
    <vt:lpwstr>תסקיר שירות מבחן</vt:lpwstr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17039;16102;19469;14248;17420;15506;13182</vt:lpwstr>
  </property>
  <property fmtid="{D5CDD505-2E9C-101B-9397-08002B2CF9AE}" pid="59" name="PADIDATE">
    <vt:lpwstr>20231101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5124</vt:lpwstr>
  </property>
  <property fmtid="{D5CDD505-2E9C-101B-9397-08002B2CF9AE}" pid="65" name="PROCYEAR">
    <vt:lpwstr>23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410120231031</vt:lpwstr>
  </property>
  <property fmtid="{D5CDD505-2E9C-101B-9397-08002B2CF9AE}" pid="69" name="TYPE_N_DATE">
    <vt:lpwstr>41020231031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