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5132/20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קארין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סמנודי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849-08-17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2.11.2020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זרועו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ומהתעמרותו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אקטיבי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ושיבוש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זרועו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ומהתעמרותו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אקטיבי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ספור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שפשטו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במקומותינו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ומנומק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bCs/>
          <w:spacing w:val="0"/>
          <w:szCs w:val="24"/>
        </w:rPr>
      </w:pPr>
      <w:r>
        <w:rPr>
          <w:rFonts w:cs="Miriam" w:ascii="Century" w:hAnsi="Century"/>
          <w:b/>
          <w:bCs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לפנינו ערעור על גזר דינו של בית המשפט המחוזי 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tl w:val="true"/>
        </w:rPr>
        <w:t xml:space="preserve">) </w:t>
      </w:r>
      <w:r>
        <w:rPr>
          <w:rtl w:val="true"/>
        </w:rPr>
        <w:t xml:space="preserve">שניתן ביום </w:t>
      </w:r>
      <w:r>
        <w:rPr/>
        <w:t>24.6.2020</w:t>
      </w:r>
      <w:r>
        <w:rPr>
          <w:rtl w:val="true"/>
        </w:rPr>
        <w:t xml:space="preserve"> </w:t>
      </w:r>
      <w:r>
        <w:rPr>
          <w:rtl w:val="true"/>
        </w:rPr>
        <w:t xml:space="preserve">בגדרו של 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849-08-17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בעקבות הרשעת המערערת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הודאתה במסגרת הסדר טיעון</w:t>
      </w:r>
      <w:r>
        <w:rPr>
          <w:rtl w:val="true"/>
        </w:rPr>
        <w:t xml:space="preserve">, </w:t>
      </w:r>
      <w:r>
        <w:rPr>
          <w:rtl w:val="true"/>
        </w:rPr>
        <w:t>בסיוע להריגה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כנוסחו עובר 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וכן בשיבוש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>'</w:t>
      </w:r>
      <w:r>
        <w:rPr>
          <w:rtl w:val="true"/>
        </w:rPr>
        <w:t>יראת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תאמר</w:t>
      </w:r>
      <w:r>
        <w:rPr>
          <w:rtl w:val="true"/>
        </w:rPr>
        <w:t xml:space="preserve">).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הזוגיים</w:t>
      </w:r>
      <w:r>
        <w:rPr>
          <w:rtl w:val="true"/>
        </w:rPr>
        <w:t xml:space="preserve">,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בוגומזוב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שהתגורר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התפתחו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שכנות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10.7.2017</w:t>
      </w:r>
      <w:r>
        <w:rPr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tl w:val="true"/>
        </w:rPr>
        <w:t xml:space="preserve">),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>והפציר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מששמעה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בנוכחותה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הכרטיס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הכרטיס</w:t>
      </w:r>
      <w:r>
        <w:rPr>
          <w:rtl w:val="true"/>
        </w:rPr>
        <w:t xml:space="preserve">.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שתמשוך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".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</w:t>
      </w:r>
      <w:r>
        <w:rPr>
          <w:rtl w:val="true"/>
        </w:rPr>
        <w:t xml:space="preserve">. </w:t>
      </w:r>
      <w:r>
        <w:rPr>
          <w:rtl w:val="true"/>
        </w:rPr>
        <w:t>מששבה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הצטרפה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בחיפושיו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גנבה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אִ</w:t>
      </w:r>
      <w:r>
        <w:rPr>
          <w:rtl w:val="true"/>
        </w:rPr>
        <w:t>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התקלח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תאמר הודה בעובדות כתב אישום מתוקן במסגרת הסדר טיעון שנעשה עמו</w:t>
      </w:r>
      <w:r>
        <w:rPr>
          <w:rtl w:val="true"/>
        </w:rPr>
        <w:t xml:space="preserve">. </w:t>
      </w:r>
      <w:r>
        <w:rPr>
          <w:rtl w:val="true"/>
        </w:rPr>
        <w:t>בעקבות הרשעתו</w:t>
      </w:r>
      <w:r>
        <w:rPr>
          <w:rtl w:val="true"/>
        </w:rPr>
        <w:t xml:space="preserve">, </w:t>
      </w:r>
      <w:r>
        <w:rPr>
          <w:rtl w:val="true"/>
        </w:rPr>
        <w:t>נגזרו עליו עשרים</w:t>
      </w:r>
      <w:r>
        <w:rPr>
          <w:rtl w:val="true"/>
        </w:rPr>
        <w:t>-</w:t>
      </w:r>
      <w:r>
        <w:rPr>
          <w:rtl w:val="true"/>
        </w:rPr>
        <w:t>ואחת שנות מאסר בפועל ועונשים נוספים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 שירות המבחן אשר הוגש בעניינה של המערערת עולה כי לנוכח האלימות שהפעיל תאמר כנגדה</w:t>
      </w:r>
      <w:r>
        <w:rPr>
          <w:rtl w:val="true"/>
        </w:rPr>
        <w:t xml:space="preserve">, </w:t>
      </w:r>
      <w:r>
        <w:rPr>
          <w:rtl w:val="true"/>
        </w:rPr>
        <w:t>היא תפסה את עצמה</w:t>
      </w:r>
      <w:r>
        <w:rPr>
          <w:rtl w:val="true"/>
        </w:rPr>
        <w:t xml:space="preserve">, </w:t>
      </w:r>
      <w:r>
        <w:rPr>
          <w:rtl w:val="true"/>
        </w:rPr>
        <w:t>בעמדה מולו</w:t>
      </w:r>
      <w:r>
        <w:rPr>
          <w:rtl w:val="true"/>
        </w:rPr>
        <w:t xml:space="preserve">, </w:t>
      </w:r>
      <w:r>
        <w:rPr>
          <w:rtl w:val="true"/>
        </w:rPr>
        <w:t>מוגבלת בכוחותיה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צוין בתסקיר כי המערערת לוקחת אחריות חלקית לביצוע העבירות וכי הסיכון להתנהגות דומה מצדה בעתיד הינו נמוך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ובשים לב לחומרת העבירות שבהן הורשעה המערערת ולתוצאותיהן הקשות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להטיל עליה עונש של מאסר בפועל לתקופת זמן מוגבלת אשר ירוצה במקביל להליך שיקומי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24.6.2020</w:t>
      </w:r>
      <w:r>
        <w:rPr>
          <w:rtl w:val="true"/>
        </w:rPr>
        <w:t xml:space="preserve"> </w:t>
      </w:r>
      <w:r>
        <w:rPr>
          <w:rtl w:val="true"/>
        </w:rPr>
        <w:t>גזר בית משפט קמא את דינה של המערערת</w:t>
      </w:r>
      <w:r>
        <w:rPr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בקבעו את מתחם העונש ההולם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הביא בית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משפט במניין שיקוליו את הערכים המוגנים שנפגעו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את מידת הפגיעה בהם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את מדיניות 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ענישה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המחמירה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הנוהגת בעבירות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שבהן הורשעה המערערת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בשים לב לכל אלה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העמיד בית המשפט את מתחם העונש בעניינה של המערערת על </w:t>
      </w:r>
      <w:r>
        <w:rPr>
          <w:rFonts w:cs="FrankRuehl" w:ascii="FrankRuehl" w:hAnsi="FrankRuehl"/>
          <w:color w:val="000000"/>
          <w:sz w:val="28"/>
        </w:rPr>
        <w:t>8-4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לצד מאסר מותנה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tl w:val="true"/>
        </w:rPr>
        <w:t>בבואו לגזור את עונשה של המערערת</w:t>
      </w:r>
      <w:r>
        <w:rPr>
          <w:rtl w:val="true"/>
        </w:rPr>
        <w:t xml:space="preserve">, </w:t>
      </w:r>
      <w:r>
        <w:rPr>
          <w:rtl w:val="true"/>
        </w:rPr>
        <w:t>הביא בית המשפט בחשבון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תוך שהוא נותן את דעתו לכך שחלקה של המערערת בביצוע העבירות היה משני</w:t>
      </w:r>
      <w:r>
        <w:rPr>
          <w:rtl w:val="true"/>
        </w:rPr>
        <w:t xml:space="preserve">, </w:t>
      </w:r>
      <w:r>
        <w:rPr>
          <w:rtl w:val="true"/>
        </w:rPr>
        <w:t>לאלימות שהופעלה כנגדה על ידי תאמר עובר לביצוע העבירות</w:t>
      </w:r>
      <w:r>
        <w:rPr>
          <w:rtl w:val="true"/>
        </w:rPr>
        <w:t xml:space="preserve">, </w:t>
      </w:r>
      <w:r>
        <w:rPr>
          <w:rtl w:val="true"/>
        </w:rPr>
        <w:t>ולהשפעתו של תאמר עליה בעת ביצוען</w:t>
      </w:r>
      <w:r>
        <w:rPr>
          <w:rtl w:val="true"/>
        </w:rPr>
        <w:t xml:space="preserve">. </w:t>
      </w:r>
      <w:r>
        <w:rPr>
          <w:rtl w:val="true"/>
        </w:rPr>
        <w:t>כמו כן נתן בית המשפט את דעתו לאדישות שגילתה המערערת לגרימת התוצאה הקטלנית</w:t>
      </w:r>
      <w:r>
        <w:rPr>
          <w:rtl w:val="true"/>
        </w:rPr>
        <w:t xml:space="preserve">. </w:t>
      </w:r>
      <w:r>
        <w:rPr>
          <w:rtl w:val="true"/>
        </w:rPr>
        <w:t>בית המשפט התחשב בנסיבותיה האישיות הקשות של המערערת</w:t>
      </w:r>
      <w:r>
        <w:rPr>
          <w:rtl w:val="true"/>
        </w:rPr>
        <w:t xml:space="preserve">; </w:t>
      </w:r>
      <w:r>
        <w:rPr>
          <w:rtl w:val="true"/>
        </w:rPr>
        <w:t xml:space="preserve">בהיותה נטולת עבר פלילי </w:t>
      </w:r>
      <w:r>
        <w:rPr>
          <w:rtl w:val="true"/>
        </w:rPr>
        <w:t>(</w:t>
      </w:r>
      <w:r>
        <w:rPr>
          <w:rtl w:val="true"/>
        </w:rPr>
        <w:t>למעט הרשעה בבית דין צבאי</w:t>
      </w:r>
      <w:r>
        <w:rPr>
          <w:rtl w:val="true"/>
        </w:rPr>
        <w:t xml:space="preserve">); </w:t>
      </w:r>
      <w:r>
        <w:rPr>
          <w:rtl w:val="true"/>
        </w:rPr>
        <w:t>בעמדתו של שירות המבחן</w:t>
      </w:r>
      <w:r>
        <w:rPr>
          <w:rtl w:val="true"/>
        </w:rPr>
        <w:t xml:space="preserve">; </w:t>
      </w:r>
      <w:r>
        <w:rPr>
          <w:rtl w:val="true"/>
        </w:rPr>
        <w:t>וכן בנזקים הנפשיים אשר עלולים להיגרם למערערת כתוצאה ממאסרה מאחורי סורג ובריח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במקרה דנן יש לבכר את שיקולי הגמול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ההרתעה וההגנה על הציבור על פני שיקולי השיקום ונסיבותי</w:t>
      </w:r>
      <w:r>
        <w:rPr>
          <w:rFonts w:ascii="FrankRuehl" w:hAnsi="FrankRuehl"/>
          <w:color w:val="000000"/>
          <w:sz w:val="28"/>
          <w:sz w:val="28"/>
          <w:rtl w:val="true"/>
        </w:rPr>
        <w:t>ה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האישיות של המערער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מעצרה</w:t>
      </w:r>
      <w:r>
        <w:rPr>
          <w:rtl w:val="true"/>
        </w:rPr>
        <w:t xml:space="preserve">; </w:t>
      </w:r>
      <w:r>
        <w:rPr>
          <w:rtl w:val="true"/>
        </w:rPr>
        <w:t>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; </w:t>
      </w:r>
      <w:r>
        <w:rPr>
          <w:rtl w:val="true"/>
        </w:rPr>
        <w:t>וחמישה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7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המערערת טוענת כי שגה בית משפט קמא בהעמידו את מתחם הענישה ההולם בעניינה על </w:t>
      </w:r>
      <w:r>
        <w:rPr>
          <w:rFonts w:cs="Century" w:ascii="Century" w:hAnsi="Century"/>
        </w:rPr>
        <w:t>8-4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שהיא הורשעה בשוד בנסיבות מחמירות </w:t>
      </w:r>
      <w:r>
        <w:rPr>
          <w:rFonts w:cs="Century" w:ascii="Century" w:hAnsi="Century"/>
          <w:rtl w:val="true"/>
        </w:rPr>
        <w:softHyphen/>
        <w:softHyphen/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עבירה שהעונש המרבי בגינה עומד על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הרי שמדובר בעבירה משנית לעבירה העיקרית של סיוע להריגה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עבירה שעונשה המרבי הוא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ושבוצעה על ידיה בהיותה אישה מוכה הנתונה לאיומים של תאמר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טוענת המערערת כי בית משפט קמא חרג ממדיניות הענישה הנהוגה ביחס לעבירות כגון דא וקבע מתחם ענישה שאיננו פרופורציונאלי למעשיה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המערערת מוסיפה וטוענת </w:t>
      </w:r>
      <w:r>
        <w:rPr>
          <w:rFonts w:ascii="Century" w:hAnsi="Century" w:cs="Century"/>
          <w:rtl w:val="true"/>
        </w:rPr>
        <w:t>כי בית משפט קמא לא נתן משקל מספיק לנסיבות המקלות אשר נמנו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היותה נטולת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האלימות שתאמר הפעיל כלפיה והשפעתו הרבה עליה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חלקה המשני והשולי במסכת העבריינית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מידת אשמתה הפחותה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היותה קורבן של תאמר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קרבתן של נסיבות ביצוע העבירה לסייג הכורח הקבוע </w:t>
      </w:r>
      <w:hyperlink r:id="rId1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יב</w:t>
        </w:r>
      </w:hyperlink>
      <w:r>
        <w:rPr>
          <w:rFonts w:ascii="Century" w:hAnsi="Century" w:cs="Century"/>
          <w:rtl w:val="true"/>
        </w:rPr>
        <w:t xml:space="preserve"> ל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הסיכון הנמוך להישנות התנהגות עבריינית מצדה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והנזק הנפשי אשר עלול להיגרם לה כתוצאה מכליאתה מאחורי סורג ובריח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המערערת סובלת מתסמינים המאפיינים נפגעי פוסט טראומה וכי היה על בית המשפט המחוזי לגזור את עונשה בדרך של עבודות שירות לצד הטלת צו 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כחלק משיקומה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 </w:t>
      </w:r>
      <w:r>
        <w:rPr>
          <w:rtl w:val="true"/>
        </w:rPr>
        <w:t>סבורני כי דין הערעור להידחות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עמנו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 xml:space="preserve">)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28.1.2013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9.1.2019</w:t>
      </w:r>
      <w:r>
        <w:rPr>
          <w:rtl w:val="true"/>
        </w:rPr>
        <w:t xml:space="preserve">)). </w:t>
      </w:r>
      <w:r>
        <w:rPr>
          <w:rtl w:val="true"/>
        </w:rPr>
        <w:t>מבלי להקל ראש בנסיבותיה הקשות של המערערת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גזר הדין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אין חולק כי המערערת עצמה נפלה קורבן לאלימות וסבלה מנחת זרועו ומהתעמרותו של בן זוגה</w:t>
      </w:r>
      <w:r>
        <w:rPr>
          <w:rtl w:val="true"/>
        </w:rPr>
        <w:t xml:space="preserve">, </w:t>
      </w:r>
      <w:r>
        <w:rPr>
          <w:rtl w:val="true"/>
        </w:rPr>
        <w:t>וכי חלקה בעבירות שבהן עסקינן היה מצומצם יחסית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מדובר במסכת עבריינית שהביאה למותו של אדם ושבמהלכה המערערת פעלה באופן אקטיבי</w:t>
      </w:r>
      <w:r>
        <w:rPr>
          <w:rtl w:val="true"/>
        </w:rPr>
        <w:t xml:space="preserve">, </w:t>
      </w:r>
      <w:r>
        <w:rPr>
          <w:rtl w:val="true"/>
        </w:rPr>
        <w:t>תוך שהיא אדישה לאפשרות של גרימת התוצאה הקטלנית</w:t>
      </w:r>
      <w:r>
        <w:rPr>
          <w:rtl w:val="true"/>
        </w:rPr>
        <w:t xml:space="preserve">. </w:t>
      </w:r>
      <w:r>
        <w:rPr>
          <w:rtl w:val="true"/>
        </w:rPr>
        <w:t>עבירות אלימות המקפחות חיי אדם הן עבירות חמורות ואת מבצעיהן יש להעניש בחומרה רבה</w:t>
      </w:r>
      <w:r>
        <w:rPr>
          <w:rtl w:val="true"/>
        </w:rPr>
        <w:t xml:space="preserve">. </w:t>
      </w:r>
      <w:r>
        <w:rPr>
          <w:rtl w:val="true"/>
        </w:rPr>
        <w:t>בית משפט זה עמד פעמים אין</w:t>
      </w:r>
      <w:r>
        <w:rPr>
          <w:rtl w:val="true"/>
        </w:rPr>
        <w:t>-</w:t>
      </w:r>
      <w:r>
        <w:rPr>
          <w:rtl w:val="true"/>
        </w:rPr>
        <w:t xml:space="preserve">ספור על הקלות הבלתי נסבלת של מעשי אלימות אכזריים שפשטו במקומותינו ועל החובה למגרם באמצעות ענישה מרתיעה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9422/11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3.7.2013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3457/18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12.3.2019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6672/03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קמינסקי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נח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442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443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2003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משפט קמא הקל עם המערערת בהתחשב בנסיבות חייה</w:t>
      </w:r>
      <w:r>
        <w:rPr>
          <w:rtl w:val="true"/>
        </w:rPr>
        <w:t xml:space="preserve">, </w:t>
      </w:r>
      <w:r>
        <w:rPr>
          <w:rtl w:val="true"/>
        </w:rPr>
        <w:t>ואין בידינו לתת לה הקלה נוספת</w:t>
      </w:r>
      <w:r>
        <w:rPr>
          <w:rtl w:val="true"/>
        </w:rPr>
        <w:t xml:space="preserve">. </w:t>
      </w:r>
      <w:r>
        <w:rPr>
          <w:rtl w:val="true"/>
        </w:rPr>
        <w:t>גזר הדין מושא הערעור הינו מידתי ומנומק היטב ואינו קורא להתערבותנו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נסיבות חייה הקשות של המערערת והשיקום שבו החלה לא נעלמו מעינינו</w:t>
      </w:r>
      <w:r>
        <w:rPr>
          <w:rtl w:val="true"/>
        </w:rPr>
        <w:t xml:space="preserve">.  </w:t>
      </w:r>
      <w:r>
        <w:rPr>
          <w:rtl w:val="true"/>
        </w:rPr>
        <w:t xml:space="preserve">מבלי לטעת ציפיות ומבלי להצר את שיקול דעתן של הרשויות אשר פועלות במסגרתו של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בטוחני כי כל אלה יילקחו בחשבון בהמשך הדרך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כי נדחה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17.11.2020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20051320</w:t>
      </w:r>
      <w:r>
        <w:rPr>
          <w:sz w:val="16"/>
          <w:rtl w:val="true"/>
        </w:rPr>
        <w:t>_</w:t>
      </w:r>
      <w:r>
        <w:rPr>
          <w:sz w:val="16"/>
        </w:rPr>
        <w:t>F07.docx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54678313-5132/20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5132/20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קארין סמנודי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8768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4jb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5025" TargetMode="External"/><Relationship Id="rId11" Type="http://schemas.openxmlformats.org/officeDocument/2006/relationships/hyperlink" Target="http://www.nevo.co.il/case/22876863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4j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875466" TargetMode="External"/><Relationship Id="rId22" Type="http://schemas.openxmlformats.org/officeDocument/2006/relationships/hyperlink" Target="http://www.nevo.co.il/case/6247428" TargetMode="External"/><Relationship Id="rId23" Type="http://schemas.openxmlformats.org/officeDocument/2006/relationships/hyperlink" Target="http://www.nevo.co.il/case/6247208" TargetMode="External"/><Relationship Id="rId24" Type="http://schemas.openxmlformats.org/officeDocument/2006/relationships/hyperlink" Target="http://www.nevo.co.il/case/24156669" TargetMode="External"/><Relationship Id="rId25" Type="http://schemas.openxmlformats.org/officeDocument/2006/relationships/hyperlink" Target="http://www.nevo.co.il/case/5612802" TargetMode="External"/><Relationship Id="rId26" Type="http://schemas.openxmlformats.org/officeDocument/2006/relationships/hyperlink" Target="http://www.nevo.co.il/case/24140890" TargetMode="External"/><Relationship Id="rId27" Type="http://schemas.openxmlformats.org/officeDocument/2006/relationships/hyperlink" Target="http://www.nevo.co.il/case/6078350" TargetMode="External"/><Relationship Id="rId28" Type="http://schemas.openxmlformats.org/officeDocument/2006/relationships/hyperlink" Target="http://www.nevo.co.il/law/75025" TargetMode="External"/><Relationship Id="rId29" Type="http://schemas.openxmlformats.org/officeDocument/2006/relationships/hyperlink" Target="http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2020-11-18T09:06:00Z</dcterms:created>
  <dc:creator>h4</dc:creator>
  <dc:description/>
  <cp:keywords/>
  <dc:language>en-IL</dc:language>
  <cp:lastModifiedBy>orly</cp:lastModifiedBy>
  <cp:lastPrinted>2020-11-17T09:24:00Z</cp:lastPrinted>
  <dcterms:modified xsi:type="dcterms:W3CDTF">2020-11-18T09:06:00Z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קארין סמנודי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22876863:2;5875466;6247428;6247208;24156669;5612802;24140890;6078350</vt:lpwstr>
  </property>
  <property fmtid="{D5CDD505-2E9C-101B-9397-08002B2CF9AE}" pid="9" name="CITY">
    <vt:lpwstr/>
  </property>
  <property fmtid="{D5CDD505-2E9C-101B-9397-08002B2CF9AE}" pid="10" name="DATE">
    <vt:lpwstr>20201117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גרוסקופף;א' שטיין</vt:lpwstr>
  </property>
  <property fmtid="{D5CDD505-2E9C-101B-9397-08002B2CF9AE}" pid="14" name="LAWLISTTMP1">
    <vt:lpwstr>70301/298;031;402.b;029:2;244;34jb</vt:lpwstr>
  </property>
  <property fmtid="{D5CDD505-2E9C-101B-9397-08002B2CF9AE}" pid="15" name="LAWLISTTMP2">
    <vt:lpwstr>75025</vt:lpwstr>
  </property>
  <property fmtid="{D5CDD505-2E9C-101B-9397-08002B2CF9AE}" pid="16" name="LAWYER">
    <vt:lpwstr>חיים שוייצר;בוריס שרמן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הריגה</vt:lpwstr>
  </property>
  <property fmtid="{D5CDD505-2E9C-101B-9397-08002B2CF9AE}" pid="52" name="NOSE33">
    <vt:lpwstr>מדיניות ענישה: עבירות אלימות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17039;14739;8984</vt:lpwstr>
  </property>
  <property fmtid="{D5CDD505-2E9C-101B-9397-08002B2CF9AE}" pid="60" name="PADIDATE">
    <vt:lpwstr>20201118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5132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410120201117</vt:lpwstr>
  </property>
  <property fmtid="{D5CDD505-2E9C-101B-9397-08002B2CF9AE}" pid="70" name="TYPE_N_DATE">
    <vt:lpwstr>41020201117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