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5135/18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מחמד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עבידיה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22.05.2018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34576-10-16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ברנט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17.06.2019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אמיר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מסארווה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שויצר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1961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לא מרובדות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עקרונות הענישה ביחס לגרימת תאונה קטלנית הם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יש להחמיר בעבירות אלה נוכח עקרון קדושת החיים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השיקול המרכזי הוא מידת האשמה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ברגיל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הנסיבות האישיות של הנהג נסוגות בפני חומרת התוצאה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עומד על השוני ביישום כללים אלה בהרשעה בעבירת הריגה לעומת הרשעה בעבירה של גרימת מוות ברשלנות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העונש שהושת על המערער הכולל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4.5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שנות מאסר בפועל בעקבות הרשעתו בעבירת הריגה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בשל תאונה קטלנית שנגרמה בעקבות תמרונים שעשה בכביש מהיר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על מנת לחזור לפניה שהחמיץ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בעודו נוהג במשאית אליה היה מחובר נגרר במשקל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32,000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 – הולם את חומרת המעשים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תעבורה – עבירות – הריגה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עבירות – גרימת מוות ברשלנות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תעבורה – ענישה – מדיניות ענישה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ערעור על חומרת עונש המאסר בפועל שהושת על המערער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ארבע וחצי שנים בעקבות הרשעתו בעבירת הריגה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תוך כדי נהיגה ועבירות של נהיגה בקלות ראש וברשלנות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רקע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המערער נהג במשאית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פול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טריילר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אליה היה מחובר נגרר במשקל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32,000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ג בכביש מהיר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431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לאחר שהחמיץ פניה בכביש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בצע המערער תמרונים שנמשכו כשלוש דקות וכללו שש נסיעות לפנים ולאחור במטרה לחזור לפניה שהחמיץ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במסגרת התמרונים חסמה משאיתו את הנתיב הימני ועקב כך נאלצו כלי רכב לסטות מהנתיב הימני לשמאלי על מנת להימנע מהתנגשות במשאית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באותה עת נהג הנאשם הנוסף גם הוא במשאית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הוא הגיע לנקודה החסומה בנתיב והתנגש בעוצמה בחלקה הקדמי של המשאית ובחלקו האחורי של הנגרר מבלי שבלם את משאיתו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וכתוצאה מכך נהרג נוסע שהיה במשאית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כן נגרמו לנאשם הנוסף שברים רבים שהצריכו ניתוחים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הנאשם הנוסף הורשע על פי הודאתו בגרם מוות בנהיגה רשלנית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וכן בעבירות התעבורה שבהן הורשע 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מפי השופט נ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הנדל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בהסכמת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ים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ג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קרא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ו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וילנר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עקרונות הענישה ביחס לגרימת תאונה קטלנית מושרשים היטב בפסיקה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כלל ראשון הוא כי יש להחמיר בעבירות אלה לנוכח עקרון קדושת החיים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כלל שני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כי השיקול המרכזי הוא מידת האשמה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הכלל השלישי הוא כי ברגיל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הנסיבות האישיות של הנהג נסוגות בפני חומרת התוצאה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נוכח הנסיבות בענייננו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 עומד על השוני ביישום כללים אלה בשני המצבים המוכרים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הרשעה בעבירת הריגה לעומת הרשעה בעבירה של גרימת מוות ברשלנות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הקו המנחה על פי הדין והפסיקה הוא כי הריגה מאופיינת במודעות ואילו רשלנות בחוסר מודעות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הבדל זה מעצב את השוני בגישה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במצבים של רשלנות וחוסר מודעות חובתו של 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היא להחמיר כדי להרתיע נהגים משהייה במצב של חוסר מודעות בעת הנהיגה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התכלית היא לכוון את הנהגים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שיפנימו כנדרש את המסר הבא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 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כלי קטלני בידך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!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עליך להתרכז ולהיות מודע ככל שניתן באופן סביר למצב העניינים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כשל בתודעה עלול לגבות חיי אדם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!".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אשר להריגה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המצב חמור פי כמה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הנהג מסכן באופן מודע עוברי דרך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במקום חוסר מודעות יש חוסר רגישות ואכפתיות לתוצאות ההרסניות שעלולות להתרחש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כאן המסר שמעביר הנהג הוא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 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מודע אני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אך בוחר אני להסתכן ולסכן את האחר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הטיב לתאר 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, 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רף החומרה במעשיו של הנאשם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גבוה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ובא לידי ביטוי בכל אחד מרכיבי התנהגותו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ראשית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בהיותו נהג מקצועי ובמידת הליקוי בשיקול הדעת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בהובילו ברגע נתון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32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טונות של סלעים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שלישית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בביצוע המעשים בכביש מהיר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רביעית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בביצוע המעשים חרף קיומה של תנועה ערה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חמישית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בכך שבכל פסע ופסע מהתהליך יכול היה הנאשם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להתעשת ולמנוע את התרחשות התאונה הטראגית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אולם התעקש להמשיך ולנסוע לאחור על אף שחסם יותר ויותר את נתיב הנסיעה עצמו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דרגת ההתעלמות מהמודעות חריפה ביותר במקרה דנן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עסקינן בנהג שמודע לכוחו של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פול טריילר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והסיבוכים שיכול רכב כזה ליצור עבור נהגים אחרים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אין מנוס אלא לומר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כי חיי אדם קופחו מכיוון שהמערער לא היה מוכן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להטריח את עצמו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ולאבד זמן בנסיעה ופניה בהמשך הדרך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תחת זאת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בחר לנסוע לאחור במשך שלוש דקות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בכביש סואן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תוך שישה תמרונים שונים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בעוד מעל לשלושים כלי רכב הוכרחו להתאים את נסיעתם למחזה הקשה של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אין דין ואין דרך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כמובן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ברור שהמערער לא היה מעוניין בתוצאה הקשה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אך לא מיוחסת לו כוונה לפגוע באופן ישיר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אלא התעלמות במודע מחובותיו הבסיסיות ביותר כנהג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הצטברות הגורמים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טיב הרכב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תנאי הכביש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אופן הנהיגה ואורכה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הינם בגדר תאונה הממתינה להתרחש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הקטל בדרכים הוא תופעה מכוערת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חברה מתוקנת וערכית אינה יכולה להשלים עם קיפוח חיי אדם בשל תסכול של נהג שהחמיץ פניה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ומנסה לחפות על מחדלו תוך יצירת סיכון ברור וקשה לציבור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המערער בעל עבר פלילי לרבות תחבורתי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נתון זה עשוי להחמיר את מצבו של המערער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אך נראה שמבחינת הביקורת הערעורית די להתרכז בחומרת המעשה בהתאם לכללים שהובאו לעיל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המערער נדון בגין התנהגותו במשך כחמש דקות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ברם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התנהגות זו רצופה בזלזול באחריותו כנהג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אורך הזמן יחסי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במובן זה שהוא גורלי לנהג שנוסע בכביש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הדגש הושם בקדושת החיים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הנר שכבה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ובצורך להרתיע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בראייה כוללת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העונש הולם את חומרת המעשים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לכל הפחות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ובוודאי אינו מחמיר באופן שמצדיק התערבות על ידי ערכאת הערעור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ועבירות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וברשלנות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הנוסף</w:t>
      </w:r>
      <w:r>
        <w:rPr>
          <w:rtl w:val="true"/>
        </w:rPr>
        <w:t xml:space="preserve">),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. </w:t>
      </w:r>
      <w:r>
        <w:rPr>
          <w:rtl w:val="true"/>
        </w:rPr>
        <w:t>להשלמת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יוני</w:t>
      </w:r>
      <w:r>
        <w:rPr>
          <w:rFonts w:eastAsia="Arial TUR;Arial" w:cs="Arial TUR;Arial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14:25</w:t>
      </w:r>
      <w:r>
        <w:rPr>
          <w:rtl w:val="true"/>
        </w:rPr>
        <w:t xml:space="preserve">, </w:t>
      </w:r>
      <w:r>
        <w:rPr>
          <w:rtl w:val="true"/>
        </w:rPr>
        <w:t>בכביש</w:t>
      </w:r>
      <w:r>
        <w:rPr>
          <w:rFonts w:eastAsia="Arial TUR;Arial" w:cs="Arial TUR;Arial"/>
          <w:rtl w:val="true"/>
        </w:rPr>
        <w:t xml:space="preserve"> </w:t>
      </w:r>
      <w:r>
        <w:rPr/>
        <w:t>431</w:t>
      </w:r>
      <w:r>
        <w:rPr>
          <w:rtl w:val="true"/>
        </w:rPr>
        <w:t xml:space="preserve"> </w:t>
      </w:r>
      <w:r>
        <w:rPr>
          <w:rtl w:val="true"/>
        </w:rPr>
        <w:t>במשאית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פול</w:t>
      </w:r>
      <w:r>
        <w:rPr>
          <w:rtl w:val="true"/>
        </w:rPr>
        <w:t>-</w:t>
      </w:r>
      <w:r>
        <w:rPr>
          <w:rtl w:val="true"/>
        </w:rPr>
        <w:t>טריילר</w:t>
      </w:r>
      <w:r>
        <w:rPr>
          <w:rtl w:val="true"/>
        </w:rPr>
        <w:t xml:space="preserve">"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במשקל</w:t>
      </w:r>
      <w:r>
        <w:rPr>
          <w:rFonts w:eastAsia="Arial TUR;Arial" w:cs="Arial TUR;Arial"/>
          <w:rtl w:val="true"/>
        </w:rPr>
        <w:t xml:space="preserve"> </w:t>
      </w:r>
      <w:r>
        <w:rPr/>
        <w:t>32,000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שהחמיץ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והנגרר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השוליים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תנועת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בכביש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תמרונים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שנמשכו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ולאחור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התמרונים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הימני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מהנתיב</w:t>
      </w:r>
      <w:r>
        <w:rPr>
          <w:rtl w:val="true"/>
        </w:rPr>
        <w:t xml:space="preserve">. </w:t>
      </w:r>
      <w:r>
        <w:rPr>
          <w:rtl w:val="true"/>
        </w:rPr>
        <w:t>בפרק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בכביש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למשאית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ואוטובוסים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החסימה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מהתנגשות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במשאית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במשאית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החסומה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והתנגש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הקדמי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משאיתו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במשאית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לניתוחים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ברשלנות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ונדון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עקרונות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ולצערנו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.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tl w:val="true"/>
        </w:rPr>
        <w:t xml:space="preserve">. 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נסוגות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הואיל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המוכרים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ברשלנות</w:t>
      </w:r>
      <w:r>
        <w:rPr>
          <w:rtl w:val="true"/>
        </w:rPr>
        <w:t xml:space="preserve">. </w:t>
      </w:r>
      <w:r>
        <w:rPr>
          <w:rtl w:val="true"/>
        </w:rPr>
        <w:t>הקו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מאופיינת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רשלנות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tl w:val="true"/>
        </w:rPr>
        <w:t xml:space="preserve">. </w:t>
      </w:r>
      <w:r>
        <w:rPr>
          <w:rtl w:val="true"/>
        </w:rPr>
        <w:t>הבדל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בגישה</w:t>
      </w:r>
      <w:r>
        <w:rPr>
          <w:rtl w:val="true"/>
        </w:rPr>
        <w:t xml:space="preserve">. </w:t>
      </w:r>
      <w:r>
        <w:rPr>
          <w:rtl w:val="true"/>
        </w:rPr>
        <w:t>במצבים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רשלנות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. </w:t>
      </w:r>
      <w:r>
        <w:rPr>
          <w:rtl w:val="true"/>
        </w:rPr>
        <w:t>התכלית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הנהגים</w:t>
      </w:r>
      <w:r>
        <w:rPr>
          <w:rtl w:val="true"/>
        </w:rPr>
        <w:t xml:space="preserve">, </w:t>
      </w:r>
      <w:r>
        <w:rPr>
          <w:rtl w:val="true"/>
        </w:rPr>
        <w:t>שיפנימו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>: "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קטלני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בידך</w:t>
      </w:r>
      <w:r>
        <w:rPr>
          <w:rtl w:val="true"/>
        </w:rPr>
        <w:t xml:space="preserve">! </w:t>
      </w:r>
      <w:r>
        <w:rPr>
          <w:rtl w:val="true"/>
        </w:rPr>
        <w:t>עליך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העניינים</w:t>
      </w:r>
      <w:r>
        <w:rPr>
          <w:rtl w:val="true"/>
        </w:rPr>
        <w:t xml:space="preserve">. </w:t>
      </w:r>
      <w:r>
        <w:rPr>
          <w:rtl w:val="true"/>
        </w:rPr>
        <w:t>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!".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להריגה</w:t>
      </w:r>
      <w:r>
        <w:rPr>
          <w:rtl w:val="true"/>
        </w:rPr>
        <w:t xml:space="preserve">, </w:t>
      </w:r>
      <w:r>
        <w:rPr>
          <w:rtl w:val="true"/>
        </w:rPr>
        <w:t>המצב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tl w:val="true"/>
        </w:rPr>
        <w:t xml:space="preserve">. </w:t>
      </w:r>
      <w:r>
        <w:rPr>
          <w:rtl w:val="true"/>
        </w:rPr>
        <w:t>הנהג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ואכפתיות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ההרסניות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להתרחש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>: "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ולסכן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היטיב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שכתב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Style1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 xml:space="preserve">רף החומרה במעשיו של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ובא לידי ביטוי בכל אחד מרכיבי התנהגותו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בהיותו נהג מקצועי ובמידת הליקוי בשיקול הדעת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 xml:space="preserve">בהובילו ברגע נתון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טונות של סלעים</w:t>
      </w:r>
      <w:r>
        <w:rPr>
          <w:rtl w:val="true"/>
        </w:rPr>
        <w:t xml:space="preserve">.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בביצוע המעשים בכביש מהיר</w:t>
      </w:r>
      <w:r>
        <w:rPr>
          <w:rtl w:val="true"/>
        </w:rPr>
        <w:t xml:space="preserve">. </w:t>
      </w:r>
      <w:r>
        <w:rPr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בביצוע המעשים חרף קיומה של תנועה ערה</w:t>
      </w:r>
      <w:r>
        <w:rPr>
          <w:rtl w:val="true"/>
        </w:rPr>
        <w:t xml:space="preserve">. </w:t>
      </w:r>
      <w:r>
        <w:rPr>
          <w:rtl w:val="true"/>
        </w:rPr>
        <w:t>חמישית</w:t>
      </w:r>
      <w:r>
        <w:rPr>
          <w:rtl w:val="true"/>
        </w:rPr>
        <w:t xml:space="preserve">, </w:t>
      </w:r>
      <w:r>
        <w:rPr>
          <w:rtl w:val="true"/>
        </w:rPr>
        <w:t xml:space="preserve">בכך שבכל פסע ופסע מהתהליך יכול היה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להתעשת ולמנוע את התרחשות התאונה הטראגית</w:t>
      </w:r>
      <w:r>
        <w:rPr>
          <w:rtl w:val="true"/>
        </w:rPr>
        <w:t xml:space="preserve">, </w:t>
      </w:r>
      <w:r>
        <w:rPr>
          <w:rtl w:val="true"/>
        </w:rPr>
        <w:t>אולם התעקש להמשיך ולנסוע לאחור על אף שחסם יותר ויותר את נתיב הנסיעה עצמו</w:t>
      </w:r>
      <w:r>
        <w:rPr>
          <w:rtl w:val="true"/>
        </w:rPr>
        <w:t>"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דרגת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ההתעלמות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טריילר</w:t>
      </w:r>
      <w:r>
        <w:rPr>
          <w:rtl w:val="true"/>
        </w:rPr>
        <w:t xml:space="preserve">" </w:t>
      </w:r>
      <w:r>
        <w:rPr>
          <w:rtl w:val="true"/>
        </w:rPr>
        <w:t>והסיבוכים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קופחו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להטריח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" </w:t>
      </w:r>
      <w:r>
        <w:rPr>
          <w:rtl w:val="true"/>
        </w:rPr>
        <w:t>ולאבד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.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בכביש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סואן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תמרונים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הוכרחו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tl w:val="true"/>
        </w:rPr>
        <w:t xml:space="preserve">".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כנהג</w:t>
      </w:r>
      <w:r>
        <w:rPr>
          <w:rtl w:val="true"/>
        </w:rPr>
        <w:t xml:space="preserve">. </w:t>
      </w:r>
      <w:r>
        <w:rPr>
          <w:rtl w:val="true"/>
        </w:rPr>
        <w:t>הצטברות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הממתינה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להתרחש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הקטל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מכוערת</w:t>
      </w:r>
      <w:r>
        <w:rPr>
          <w:rtl w:val="true"/>
        </w:rPr>
        <w:t xml:space="preserve">. </w:t>
      </w:r>
      <w:r>
        <w:rPr>
          <w:rtl w:val="true"/>
        </w:rPr>
        <w:t>בשנים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בתאורה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המכוניות</w:t>
      </w:r>
      <w:r>
        <w:rPr>
          <w:rtl w:val="true"/>
        </w:rPr>
        <w:t xml:space="preserve">. </w:t>
      </w:r>
      <w:r>
        <w:rPr>
          <w:rtl w:val="true"/>
        </w:rPr>
        <w:t>התפתחויות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הזרקור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. </w:t>
      </w:r>
      <w:r>
        <w:rPr>
          <w:rtl w:val="true"/>
        </w:rPr>
        <w:t>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וערכית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קיפוח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שהחמיץ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פניה</w:t>
      </w:r>
      <w:r>
        <w:rPr>
          <w:rtl w:val="true"/>
        </w:rPr>
        <w:t xml:space="preserve">, </w:t>
      </w:r>
      <w:r>
        <w:rPr>
          <w:rtl w:val="true"/>
        </w:rPr>
        <w:t>ומנסה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ולחובתו</w:t>
      </w:r>
      <w:r>
        <w:rPr>
          <w:rFonts w:eastAsia="Arial TUR;Arial" w:cs="Arial TUR;Arial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תעבורה</w:t>
      </w:r>
      <w:r>
        <w:rPr>
          <w:rtl w:val="true"/>
        </w:rPr>
        <w:t xml:space="preserve">, </w:t>
      </w:r>
      <w:r>
        <w:rPr>
          <w:rtl w:val="true"/>
        </w:rPr>
        <w:t>חלקן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וחלקן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מהירות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רשיון</w:t>
      </w:r>
      <w:r>
        <w:rPr>
          <w:rtl w:val="true"/>
        </w:rPr>
        <w:t xml:space="preserve">, </w:t>
      </w:r>
      <w:r>
        <w:rPr>
          <w:rtl w:val="true"/>
        </w:rPr>
        <w:t>דיבור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זדונית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ריצה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הביקורת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, </w:t>
      </w:r>
      <w:r>
        <w:rPr>
          <w:rtl w:val="true"/>
        </w:rPr>
        <w:t>התחתן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ארוכות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;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בזלזול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כנהג</w:t>
      </w:r>
      <w:r>
        <w:rPr>
          <w:rtl w:val="true"/>
        </w:rPr>
        <w:t xml:space="preserve">. </w:t>
      </w:r>
      <w:r>
        <w:rPr>
          <w:rtl w:val="true"/>
        </w:rPr>
        <w:t>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בכביש</w:t>
      </w:r>
      <w:r>
        <w:rPr>
          <w:rtl w:val="true"/>
        </w:rPr>
        <w:t xml:space="preserve">. </w:t>
      </w:r>
      <w:r>
        <w:rPr>
          <w:rtl w:val="true"/>
        </w:rPr>
        <w:t>הדגש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בקדושת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הנר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שכבה</w:t>
      </w:r>
      <w:r>
        <w:rPr>
          <w:rtl w:val="true"/>
        </w:rPr>
        <w:t xml:space="preserve">, </w:t>
      </w:r>
      <w:r>
        <w:rPr>
          <w:rtl w:val="true"/>
        </w:rPr>
        <w:t>ובצורך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להרתיע</w:t>
      </w:r>
      <w:r>
        <w:rPr>
          <w:rtl w:val="true"/>
        </w:rPr>
        <w:t xml:space="preserve">. </w:t>
      </w:r>
      <w:r>
        <w:rPr>
          <w:rtl w:val="true"/>
        </w:rPr>
        <w:t>בראייה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end"/>
        <w:rPr>
          <w:sz w:val="28"/>
        </w:rPr>
      </w:pPr>
      <w:r>
        <w:rPr>
          <w:sz w:val="28"/>
          <w:sz w:val="28"/>
          <w:rtl w:val="true"/>
        </w:rPr>
        <w:t>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קרא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  <w:tab/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אני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מסכים</w:t>
      </w:r>
      <w:r>
        <w:rPr>
          <w:sz w:val="28"/>
          <w:rtl w:val="true"/>
        </w:rPr>
        <w:t xml:space="preserve">.  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end"/>
        <w:rPr>
          <w:sz w:val="28"/>
        </w:rPr>
      </w:pPr>
      <w:r>
        <w:rPr>
          <w:sz w:val="28"/>
          <w:sz w:val="28"/>
          <w:rtl w:val="true"/>
        </w:rPr>
        <w:t>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8"/>
          <w:szCs w:val="24"/>
        </w:rPr>
      </w:pPr>
      <w:r>
        <w:rPr>
          <w:rFonts w:cs="Miriam" w:ascii="Century" w:hAnsi="Century"/>
          <w:b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אני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מסכימה</w:t>
      </w:r>
      <w:r>
        <w:rPr>
          <w:sz w:val="28"/>
          <w:rtl w:val="true"/>
        </w:rPr>
        <w:t>.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end"/>
        <w:rPr>
          <w:sz w:val="28"/>
        </w:rPr>
      </w:pPr>
      <w:r>
        <w:rPr>
          <w:sz w:val="28"/>
          <w:sz w:val="28"/>
          <w:rtl w:val="true"/>
        </w:rPr>
        <w:t>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הוחלט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כאמור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בפסק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הנדל</w:t>
      </w:r>
      <w:r>
        <w:rPr>
          <w:sz w:val="28"/>
          <w:rtl w:val="true"/>
        </w:rPr>
        <w:t>.</w:t>
      </w:r>
    </w:p>
    <w:p>
      <w:pPr>
        <w:pStyle w:val="Ruller4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"/>
        <w:ind w:end="0"/>
        <w:jc w:val="both"/>
        <w:rPr>
          <w:sz w:val="16"/>
          <w:szCs w:val="22"/>
        </w:rPr>
      </w:pPr>
      <w:bookmarkStart w:id="17" w:name="Nitan"/>
      <w:r>
        <w:rPr>
          <w:color w:val="FFFFFF"/>
          <w:sz w:val="16"/>
          <w:szCs w:val="22"/>
        </w:rPr>
        <w:t>5129371</w:t>
      </w:r>
      <w:r>
        <w:rPr>
          <w:sz w:val="16"/>
          <w:szCs w:val="22"/>
          <w:rtl w:val="true"/>
        </w:rPr>
        <w:t xml:space="preserve"> </w:t>
      </w:r>
      <w:r>
        <w:rPr>
          <w:sz w:val="16"/>
          <w:sz w:val="16"/>
          <w:szCs w:val="22"/>
          <w:rtl w:val="true"/>
        </w:rPr>
        <w:t>ניתן</w:t>
      </w:r>
      <w:r>
        <w:rPr>
          <w:rFonts w:eastAsia="Arial TUR;Arial" w:cs="Arial TUR;Arial"/>
          <w:sz w:val="16"/>
          <w:sz w:val="16"/>
          <w:szCs w:val="22"/>
          <w:rtl w:val="true"/>
        </w:rPr>
        <w:t xml:space="preserve"> </w:t>
      </w:r>
      <w:r>
        <w:rPr>
          <w:sz w:val="16"/>
          <w:sz w:val="16"/>
          <w:szCs w:val="22"/>
          <w:rtl w:val="true"/>
        </w:rPr>
        <w:t>היום</w:t>
      </w:r>
      <w:r>
        <w:rPr>
          <w:sz w:val="16"/>
          <w:szCs w:val="22"/>
          <w:rtl w:val="true"/>
        </w:rPr>
        <w:t>, ‏</w:t>
      </w:r>
      <w:r>
        <w:rPr>
          <w:sz w:val="16"/>
          <w:sz w:val="16"/>
          <w:szCs w:val="22"/>
          <w:rtl w:val="true"/>
        </w:rPr>
        <w:t>כ</w:t>
      </w:r>
      <w:r>
        <w:rPr>
          <w:sz w:val="16"/>
          <w:szCs w:val="22"/>
          <w:rtl w:val="true"/>
        </w:rPr>
        <w:t>"</w:t>
      </w:r>
      <w:r>
        <w:rPr>
          <w:sz w:val="16"/>
          <w:sz w:val="16"/>
          <w:szCs w:val="22"/>
          <w:rtl w:val="true"/>
        </w:rPr>
        <w:t>ג</w:t>
      </w:r>
      <w:r>
        <w:rPr>
          <w:rFonts w:eastAsia="Arial TUR;Arial" w:cs="Arial TUR;Arial"/>
          <w:sz w:val="16"/>
          <w:sz w:val="16"/>
          <w:szCs w:val="22"/>
          <w:rtl w:val="true"/>
        </w:rPr>
        <w:t xml:space="preserve"> </w:t>
      </w:r>
      <w:r>
        <w:rPr>
          <w:sz w:val="16"/>
          <w:sz w:val="16"/>
          <w:szCs w:val="22"/>
          <w:rtl w:val="true"/>
        </w:rPr>
        <w:t>בסיון</w:t>
      </w:r>
      <w:r>
        <w:rPr>
          <w:rFonts w:eastAsia="Arial TUR;Arial" w:cs="Arial TUR;Arial"/>
          <w:sz w:val="16"/>
          <w:sz w:val="16"/>
          <w:szCs w:val="22"/>
          <w:rtl w:val="true"/>
        </w:rPr>
        <w:t xml:space="preserve"> </w:t>
      </w:r>
      <w:r>
        <w:rPr>
          <w:sz w:val="16"/>
          <w:sz w:val="16"/>
          <w:szCs w:val="22"/>
          <w:rtl w:val="true"/>
        </w:rPr>
        <w:t>התשע</w:t>
      </w:r>
      <w:r>
        <w:rPr>
          <w:sz w:val="16"/>
          <w:szCs w:val="22"/>
          <w:rtl w:val="true"/>
        </w:rPr>
        <w:t>"</w:t>
      </w:r>
      <w:r>
        <w:rPr>
          <w:sz w:val="16"/>
          <w:sz w:val="16"/>
          <w:szCs w:val="22"/>
          <w:rtl w:val="true"/>
        </w:rPr>
        <w:t>ט</w:t>
      </w:r>
      <w:r>
        <w:rPr>
          <w:rFonts w:eastAsia="Arial TUR;Arial" w:cs="Arial TUR;Arial"/>
          <w:sz w:val="16"/>
          <w:sz w:val="16"/>
          <w:szCs w:val="22"/>
          <w:rtl w:val="true"/>
        </w:rPr>
        <w:t xml:space="preserve"> </w:t>
      </w:r>
      <w:r>
        <w:rPr>
          <w:sz w:val="16"/>
          <w:szCs w:val="22"/>
          <w:rtl w:val="true"/>
        </w:rPr>
        <w:t>(‏</w:t>
      </w:r>
      <w:r>
        <w:rPr>
          <w:sz w:val="16"/>
          <w:szCs w:val="22"/>
        </w:rPr>
        <w:t>26.6.2019</w:t>
      </w:r>
      <w:r>
        <w:rPr>
          <w:sz w:val="16"/>
          <w:szCs w:val="22"/>
          <w:rtl w:val="true"/>
        </w:rPr>
        <w:t xml:space="preserve">). </w:t>
      </w:r>
      <w:bookmarkEnd w:id="17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start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sz w:val="16"/>
          <w:rtl w:val="true"/>
        </w:rPr>
        <w:t xml:space="preserve">   </w:t>
      </w:r>
      <w:r>
        <w:rPr>
          <w:sz w:val="16"/>
        </w:rPr>
        <w:t>18051350</w:t>
      </w:r>
      <w:r>
        <w:rPr>
          <w:sz w:val="16"/>
          <w:rtl w:val="true"/>
        </w:rPr>
        <w:t>_</w:t>
      </w:r>
      <w:r>
        <w:rPr>
          <w:sz w:val="16"/>
        </w:rPr>
        <w:t>Z05.docx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הנדל </w:t>
      </w:r>
      <w:r>
        <w:rPr>
          <w:rFonts w:cs="David;Times New Roman" w:ascii="David;Times New Roman" w:hAnsi="David;Times New Roman"/>
          <w:color w:val="000000"/>
          <w:szCs w:val="22"/>
        </w:rPr>
        <w:t>54678313-5135/18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  <w:u w:val="single"/>
        </w:rPr>
      </w:pPr>
      <w:r>
        <w:rPr>
          <w:rFonts w:cs="David;Times New Roman" w:ascii="David;Times New Roman" w:hAnsi="David;Times New Roman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הנדל </w:t>
      </w:r>
      <w:r>
        <w:rPr>
          <w:rFonts w:cs="David;Times New Roman" w:ascii="David;Times New Roman" w:hAnsi="David;Times New Roman"/>
          <w:color w:val="000000"/>
          <w:szCs w:val="22"/>
        </w:rPr>
        <w:t>54678313-5135/18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25"/>
      <w:footerReference w:type="default" r:id="rId2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5135/18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מחמד עבידיה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Style14">
    <w:name w:val="ציטוט בפסק דין תו"/>
    <w:qFormat/>
    <w:rPr>
      <w:rFonts w:ascii="FrankRuehl" w:hAnsi="FrankRuehl" w:cs="FrankRuehl"/>
      <w:spacing w:val="10"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5">
    <w:name w:val="ציטוט בפסק דין"/>
    <w:basedOn w:val="Normal"/>
    <w:qFormat/>
    <w:pPr>
      <w:ind w:hanging="0" w:start="1642" w:end="1282"/>
      <w:jc w:val="both"/>
    </w:pPr>
    <w:rPr>
      <w:rFonts w:ascii="FrankRuehl" w:hAnsi="FrankRuehl" w:cs="FrankRuehl"/>
      <w:spacing w:val="10"/>
      <w:sz w:val="28"/>
      <w:szCs w:val="28"/>
    </w:rPr>
  </w:style>
  <w:style w:type="paragraph" w:styleId="Style16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00276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8" TargetMode="External"/><Relationship Id="rId5" Type="http://schemas.openxmlformats.org/officeDocument/2006/relationships/hyperlink" Target="http://www.nevo.co.il/law/70301/304" TargetMode="External"/><Relationship Id="rId6" Type="http://schemas.openxmlformats.org/officeDocument/2006/relationships/hyperlink" Target="http://www.nevo.co.il/law/5227" TargetMode="External"/><Relationship Id="rId7" Type="http://schemas.openxmlformats.org/officeDocument/2006/relationships/hyperlink" Target="http://www.nevo.co.il/law/5227/62.2" TargetMode="External"/><Relationship Id="rId8" Type="http://schemas.openxmlformats.org/officeDocument/2006/relationships/hyperlink" Target="http://www.nevo.co.il/law/5227/64" TargetMode="External"/><Relationship Id="rId9" Type="http://schemas.openxmlformats.org/officeDocument/2006/relationships/hyperlink" Target="http://www.nevo.co.il/law/74274" TargetMode="External"/><Relationship Id="rId10" Type="http://schemas.openxmlformats.org/officeDocument/2006/relationships/hyperlink" Target="http://www.nevo.co.il/law/74274/38.3" TargetMode="External"/><Relationship Id="rId11" Type="http://schemas.openxmlformats.org/officeDocument/2006/relationships/hyperlink" Target="http://www.nevo.co.il/law/70301/298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5227/62.2" TargetMode="External"/><Relationship Id="rId14" Type="http://schemas.openxmlformats.org/officeDocument/2006/relationships/hyperlink" Target="http://www.nevo.co.il/law/5227" TargetMode="External"/><Relationship Id="rId15" Type="http://schemas.openxmlformats.org/officeDocument/2006/relationships/hyperlink" Target="http://www.nevo.co.il/law/74274/38.3" TargetMode="External"/><Relationship Id="rId16" Type="http://schemas.openxmlformats.org/officeDocument/2006/relationships/hyperlink" Target="http://www.nevo.co.il/law/74274" TargetMode="External"/><Relationship Id="rId17" Type="http://schemas.openxmlformats.org/officeDocument/2006/relationships/hyperlink" Target="http://www.nevo.co.il/law/70301/304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5227/64" TargetMode="External"/><Relationship Id="rId20" Type="http://schemas.openxmlformats.org/officeDocument/2006/relationships/hyperlink" Target="http://www.nevo.co.il/law/5227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supreme.court.gov.il/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2019-06-27T07:38:00Z</dcterms:created>
  <dc:creator>h4</dc:creator>
  <dc:description/>
  <cp:keywords/>
  <dc:language>en-IL</dc:language>
  <cp:lastModifiedBy>orly</cp:lastModifiedBy>
  <cp:lastPrinted>2019-06-26T12:04:00Z</cp:lastPrinted>
  <dcterms:modified xsi:type="dcterms:W3CDTF">2019-06-27T07:38:00Z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מחמד עבידיה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22002769</vt:lpwstr>
  </property>
  <property fmtid="{D5CDD505-2E9C-101B-9397-08002B2CF9AE}" pid="9" name="CITY">
    <vt:lpwstr/>
  </property>
  <property fmtid="{D5CDD505-2E9C-101B-9397-08002B2CF9AE}" pid="10" name="DATE">
    <vt:lpwstr>20190626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הנדל;ג' קרא;י' וילנר</vt:lpwstr>
  </property>
  <property fmtid="{D5CDD505-2E9C-101B-9397-08002B2CF9AE}" pid="14" name="LAWLISTTMP1">
    <vt:lpwstr>70301/298;304</vt:lpwstr>
  </property>
  <property fmtid="{D5CDD505-2E9C-101B-9397-08002B2CF9AE}" pid="15" name="LAWLISTTMP2">
    <vt:lpwstr>5227/062.2;064</vt:lpwstr>
  </property>
  <property fmtid="{D5CDD505-2E9C-101B-9397-08002B2CF9AE}" pid="16" name="LAWLISTTMP3">
    <vt:lpwstr>74274/038.3</vt:lpwstr>
  </property>
  <property fmtid="{D5CDD505-2E9C-101B-9397-08002B2CF9AE}" pid="17" name="LAWYER">
    <vt:lpwstr>חיים שויצר;אמיר מסארווה;ברכה וייס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נעה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תעבורה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תעבורה</vt:lpwstr>
  </property>
  <property fmtid="{D5CDD505-2E9C-101B-9397-08002B2CF9AE}" pid="32" name="NOSE14">
    <vt:lpwstr>עונשין</vt:lpwstr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104;77;104;77</vt:lpwstr>
  </property>
  <property fmtid="{D5CDD505-2E9C-101B-9397-08002B2CF9AE}" pid="39" name="NOSE21">
    <vt:lpwstr>עבירות</vt:lpwstr>
  </property>
  <property fmtid="{D5CDD505-2E9C-101B-9397-08002B2CF9AE}" pid="40" name="NOSE210">
    <vt:lpwstr/>
  </property>
  <property fmtid="{D5CDD505-2E9C-101B-9397-08002B2CF9AE}" pid="41" name="NOSE22">
    <vt:lpwstr>עבירות</vt:lpwstr>
  </property>
  <property fmtid="{D5CDD505-2E9C-101B-9397-08002B2CF9AE}" pid="42" name="NOSE23">
    <vt:lpwstr>ענישה</vt:lpwstr>
  </property>
  <property fmtid="{D5CDD505-2E9C-101B-9397-08002B2CF9AE}" pid="43" name="NOSE24">
    <vt:lpwstr>ענישה</vt:lpwstr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1830;1443;1831;1446</vt:lpwstr>
  </property>
  <property fmtid="{D5CDD505-2E9C-101B-9397-08002B2CF9AE}" pid="50" name="NOSE31">
    <vt:lpwstr>הריגה</vt:lpwstr>
  </property>
  <property fmtid="{D5CDD505-2E9C-101B-9397-08002B2CF9AE}" pid="51" name="NOSE310">
    <vt:lpwstr/>
  </property>
  <property fmtid="{D5CDD505-2E9C-101B-9397-08002B2CF9AE}" pid="52" name="NOSE32">
    <vt:lpwstr>גרימת מוות ברשלנות</vt:lpwstr>
  </property>
  <property fmtid="{D5CDD505-2E9C-101B-9397-08002B2CF9AE}" pid="53" name="NOSE33">
    <vt:lpwstr>מדיניות ענישה</vt:lpwstr>
  </property>
  <property fmtid="{D5CDD505-2E9C-101B-9397-08002B2CF9AE}" pid="54" name="NOSE34">
    <vt:lpwstr>מדיניות ענישה: שיקולים לחומרה</vt:lpwstr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11234;8784;11263;8995</vt:lpwstr>
  </property>
  <property fmtid="{D5CDD505-2E9C-101B-9397-08002B2CF9AE}" pid="61" name="PADIDATE">
    <vt:lpwstr>20190627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5135</vt:lpwstr>
  </property>
  <property fmtid="{D5CDD505-2E9C-101B-9397-08002B2CF9AE}" pid="67" name="PROCYEAR">
    <vt:lpwstr>18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410120190626</vt:lpwstr>
  </property>
  <property fmtid="{D5CDD505-2E9C-101B-9397-08002B2CF9AE}" pid="71" name="TYPE_N_DATE">
    <vt:lpwstr>41020190626</vt:lpwstr>
  </property>
  <property fmtid="{D5CDD505-2E9C-101B-9397-08002B2CF9AE}" pid="72" name="VOLUME">
    <vt:lpwstr/>
  </property>
  <property fmtid="{D5CDD505-2E9C-101B-9397-08002B2CF9AE}" pid="73" name="WORDNUMPAGES">
    <vt:lpwstr>7</vt:lpwstr>
  </property>
</Properties>
</file>