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5139/19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גורפינקל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במסגרת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37190-09-16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24.02.20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40"/>
        <w:gridCol w:w="5245"/>
      </w:tblGrid>
      <w:tr>
        <w:trPr/>
        <w:tc>
          <w:tcPr>
            <w:tcW w:w="304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4" w:name="lawyers_a_title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45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נודל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ruller31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40"/>
        <w:gridCol w:w="5245"/>
      </w:tblGrid>
      <w:tr>
        <w:trPr/>
        <w:tc>
          <w:tcPr>
            <w:tcW w:w="304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45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אושרה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פטל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רוזנברג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עונש המאסר בפועל בן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שהושת על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עורכת דין בעברה שהחזיקה חשבונות בנק בהם הפקידה את כספי לקוחותיה בנאמנות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הרשעתה בעבירות מס וגניבה בידי מורשה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מדובר בעבירות כלכליות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צווארון לבן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בגינן נדרשת החמרה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יש לקחת בחשבון את היקף הגניבה כנסיבה משמעותית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מדובר בהפרת אמונים ומעילה בכספים שנמסרו בנאמנות לעורך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כבר הקל בעונש ואין מקום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כלכליות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לאחר שהמערערת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עורכת דין בעברה שהחזיקה חשבונות בנק שונים בהם הפקידה את כספי לקוחותיה בנאמנות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הורשעה בשש עבירות גניבה בידי מורשה ובעבירות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ביצוע כל העבירות הושתו על המערערת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ושני 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חויבה המערערת לפצות כל אחד מחמשת קורבנות עבירות הגניבה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עונש המאסר בפועל שהושת על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ולדחיית מועד תשלום הפיצויים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המשנה לנשיאה מלצר והשופט עמית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להתערב בעונש שהשיתה הערכאה הדיונית אלא בנסיבות חריגות שבהן נפלה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נכנס לגדר המקרים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מדובר בעבירות גניבה בסכומים משמעותיים שביצעה המערערת שהייתה עורכת דין וניהלה עובר לתקופת ביצוע העבירות חיים נורמטיביים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דומה עניינה לעניינם של עוברי עבירות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צווארון לבן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שנעברות מטבע אופיין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ידי אנשים נורמטיביים ובעלי עבר נקי שבעניינם כבר נפסק כי נדרשת החמרה בעבירות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לעיתים החורבן שעבירות כלכליות עלולות להמיט על נפגעיהן הוא גדול לאין ערוך מאשר עבירות רכוש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רגילות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במדיניות הענישה בעבירות מסוג זה חלה מגמה של החמרה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לקחת בחשבון את היקף הגניבה כנסיבה משמעותית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מדובר בהפרת אמונים ומעילה בכספים שנמסרו בנאמנות לעורך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באירוע אחד בעבורו ניתן היה להקל עוד בדינה של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אם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בכמה עבירות המהוות 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יג 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מפני שלא 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קשר הדוק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כל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על פי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בא לקראת המערערת ולא קבע מתחם עונש נפרד לגבי כל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מתחם אחד שבין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בפי המערערת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היא נסחטה באיומים ונאלצה ליטול את הכספים כדי לשמור על בנותיה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אם היה ממש בטענה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שעמדה לפניה הגנה של כורח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המערערת לא טענה להגנה מעין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לטענת אכיפת דין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הונחה תשתית ראייתית לפיה גניזת תלונת המערערת נעשתה תוך הפלייתה לעומת המאיים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הגניבה התלוו עבירות מס לא פשוטות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 הראוי להן הוא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קיימות נסיבות לקולא בעניינה של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התחשב במערערת עד כמה שניתן בכך שקבע מתחם ענישה מתון ואף גזר את הדין מתחת למתחם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ברגיל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 לגזור את דינה של המערערת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המערערת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בכך שדחה את בקשתה לקבלת תסקיר שירות מבחן בעניינה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חובת תסקיר בהטלת עונש מאסר לנאשם שמלאו לו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הלכה היא כי הזמנת תסקיר לנאשמים מעל גיל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מסורה לשיקול דעת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מטרת התסקיר הייתה אך לשמש כמתווה להבאת טענות המערערת באשר לנסיבות שהביאו אותה לביצוע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הייתה נחיצות לתסקיר שעה שהמערערת במסגרת הטיעונים לעונש יכלה בעצמה להסביר מה הניע אותה לעבור את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גורפינקל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4.7.2019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37190-09-16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393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ובשתי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);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עורכת דין בעברה</w:t>
      </w:r>
      <w:r>
        <w:rPr>
          <w:rtl w:val="true"/>
        </w:rPr>
        <w:t xml:space="preserve">, </w:t>
      </w:r>
      <w:r>
        <w:rPr>
          <w:rtl w:val="true"/>
        </w:rPr>
        <w:t>ניהלה משרד עורכי דין בעיר רמת גן</w:t>
      </w:r>
      <w:r>
        <w:rPr>
          <w:rtl w:val="true"/>
        </w:rPr>
        <w:t xml:space="preserve">. </w:t>
      </w:r>
      <w:r>
        <w:rPr>
          <w:rtl w:val="true"/>
        </w:rPr>
        <w:t>במסגרת עיסוקה</w:t>
      </w:r>
      <w:r>
        <w:rPr>
          <w:rtl w:val="true"/>
        </w:rPr>
        <w:t xml:space="preserve">, </w:t>
      </w:r>
      <w:r>
        <w:rPr>
          <w:rtl w:val="true"/>
        </w:rPr>
        <w:t>החזיקה המערערת חשבונות בנק שונים בהם הפקידה את כספי לקוחותיה בנאמנות</w:t>
      </w:r>
      <w:r>
        <w:rPr>
          <w:rtl w:val="true"/>
        </w:rPr>
        <w:t xml:space="preserve">. </w:t>
      </w:r>
      <w:r>
        <w:rPr>
          <w:rtl w:val="true"/>
        </w:rPr>
        <w:t xml:space="preserve">בכתב האישום שהוגש נגד המערערת יוחסו לה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מקרים שונים בהם נטלה לכיסה כספים שהופקדו בנאמנותה בסכום כולל של </w:t>
      </w:r>
      <w:r>
        <w:rPr/>
        <w:t>4,217,343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קבלת כספים אלו המערערת לא דיווחה לרשויות המס בשנים </w:t>
      </w:r>
      <w:r>
        <w:rPr/>
        <w:t>2016-2014</w:t>
      </w:r>
      <w:r>
        <w:rPr>
          <w:rtl w:val="true"/>
        </w:rPr>
        <w:t xml:space="preserve"> </w:t>
      </w:r>
      <w:r>
        <w:rPr>
          <w:rtl w:val="true"/>
        </w:rPr>
        <w:t>ובגין כך יוחסו לה גם עבירות המס שפורטו לעיל</w:t>
      </w:r>
      <w:r>
        <w:rPr>
          <w:rtl w:val="true"/>
        </w:rPr>
        <w:t xml:space="preserve">. </w:t>
      </w:r>
      <w:r>
        <w:rPr>
          <w:rtl w:val="true"/>
        </w:rPr>
        <w:t xml:space="preserve">המערערת הודתה בביצוע העבירות והורשעה בהן ביום </w:t>
      </w:r>
      <w:r>
        <w:rPr/>
        <w:t>25.10.2017</w:t>
      </w:r>
      <w:r>
        <w:rPr>
          <w:rtl w:val="true"/>
        </w:rPr>
        <w:t xml:space="preserve">. </w:t>
      </w:r>
      <w:r>
        <w:rPr>
          <w:rtl w:val="true"/>
        </w:rPr>
        <w:t>הדיונים בעניינה נדחו מפעם לפעם על פי בקשתה כדי לאפשר לה להחזיר את הכספים שנטלה מלקוחותיה ועד ליום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החזירה סכום כולל של </w:t>
      </w:r>
      <w:r>
        <w:rPr/>
        <w:t>2,200,000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על חשבון מה שנטלה בגניבה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 טענת המערערת בטיעוניה לעונש היה כי נקלעה למצוקה קשה לאחר הליך גירושין ארוך ומכוער שבמסגרתו התנהל הליך של משמורת על שתי בנותיה</w:t>
      </w:r>
      <w:r>
        <w:rPr>
          <w:rtl w:val="true"/>
        </w:rPr>
        <w:t xml:space="preserve">. </w:t>
      </w:r>
      <w:r>
        <w:rPr>
          <w:rtl w:val="true"/>
        </w:rPr>
        <w:t xml:space="preserve">בצר לה המערערת נכנסה לקבוצה ללימודי פילוסופיה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הקבוצה</w:t>
      </w:r>
      <w:r>
        <w:rPr>
          <w:rtl w:val="true"/>
        </w:rPr>
        <w:t xml:space="preserve">). </w:t>
      </w:r>
      <w:r>
        <w:rPr>
          <w:rtl w:val="true"/>
        </w:rPr>
        <w:t>בקבוצה נמנה אדם</w:t>
      </w:r>
      <w:r>
        <w:rPr>
          <w:rtl w:val="true"/>
        </w:rPr>
        <w:t xml:space="preserve">, </w:t>
      </w:r>
      <w:r>
        <w:rPr>
          <w:rtl w:val="true"/>
        </w:rPr>
        <w:t>אף הוא עורך דין מקצועו</w:t>
      </w:r>
      <w:r>
        <w:rPr>
          <w:rtl w:val="true"/>
        </w:rPr>
        <w:t xml:space="preserve">, </w:t>
      </w:r>
      <w:r>
        <w:rPr>
          <w:rtl w:val="true"/>
        </w:rPr>
        <w:t xml:space="preserve">שנקלע לסכסוכים כספיים עם מייסדי הקבוצה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המאיים</w:t>
      </w:r>
      <w:r>
        <w:rPr>
          <w:rtl w:val="true"/>
        </w:rPr>
        <w:t xml:space="preserve">). </w:t>
      </w:r>
      <w:r>
        <w:rPr>
          <w:rtl w:val="true"/>
        </w:rPr>
        <w:t>לטענת המערערת הוא איים עליה כי יפגע בבנותיה אם לא תעביר לו סכומי כסף שונים מפעם לפעם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 חששה מפני איומיו</w:t>
      </w:r>
      <w:r>
        <w:rPr>
          <w:rtl w:val="true"/>
        </w:rPr>
        <w:t xml:space="preserve">, </w:t>
      </w:r>
      <w:r>
        <w:rPr>
          <w:rtl w:val="true"/>
        </w:rPr>
        <w:t>נאלצה לדבריה לגנוב מכספי לקוחותיה ולהעבירם אליו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דן בטענות המערערת והעמיד בספק את גרסתה</w:t>
      </w:r>
      <w:r>
        <w:rPr>
          <w:rtl w:val="true"/>
        </w:rPr>
        <w:t xml:space="preserve">. </w:t>
      </w:r>
      <w:r>
        <w:rPr>
          <w:rtl w:val="true"/>
        </w:rPr>
        <w:t>נקבע כי הסבירות שעורך דין יאיים על עורכת דין ברצח בנותיה</w:t>
      </w:r>
      <w:r>
        <w:rPr>
          <w:rtl w:val="true"/>
        </w:rPr>
        <w:t xml:space="preserve">, </w:t>
      </w:r>
      <w:r>
        <w:rPr>
          <w:rtl w:val="true"/>
        </w:rPr>
        <w:t>בלי שזו תתלונן על כך במשטרה</w:t>
      </w:r>
      <w:r>
        <w:rPr>
          <w:rtl w:val="true"/>
        </w:rPr>
        <w:t xml:space="preserve">, </w:t>
      </w:r>
      <w:r>
        <w:rPr>
          <w:rtl w:val="true"/>
        </w:rPr>
        <w:t>ותבחר תחת זאת לשלם סכומי כסף ניכרים במשך תקופה ממושכת</w:t>
      </w:r>
      <w:r>
        <w:rPr>
          <w:rtl w:val="true"/>
        </w:rPr>
        <w:t xml:space="preserve">, </w:t>
      </w:r>
      <w:r>
        <w:rPr>
          <w:rtl w:val="true"/>
        </w:rPr>
        <w:t>הינה נמוכה ביותר</w:t>
      </w:r>
      <w:r>
        <w:rPr>
          <w:rtl w:val="true"/>
        </w:rPr>
        <w:t xml:space="preserve">. </w:t>
      </w:r>
      <w:r>
        <w:rPr>
          <w:rtl w:val="true"/>
        </w:rPr>
        <w:t>בית המשפט גם ציין כי בין חברי הקבוצה התנהלו הליכים משפטיים שונים</w:t>
      </w:r>
      <w:r>
        <w:rPr>
          <w:rtl w:val="true"/>
        </w:rPr>
        <w:t xml:space="preserve">. </w:t>
      </w:r>
      <w:r>
        <w:rPr>
          <w:rtl w:val="true"/>
        </w:rPr>
        <w:t>בין היתר הוגשו נגד המאיים תלונות בגין ביצוע מעשים מיניים בחברות אחרות של הקבוצה</w:t>
      </w:r>
      <w:r>
        <w:rPr>
          <w:rtl w:val="true"/>
        </w:rPr>
        <w:t xml:space="preserve">. </w:t>
      </w:r>
      <w:r>
        <w:rPr>
          <w:rtl w:val="true"/>
        </w:rPr>
        <w:t>לאחר הליך אזרחי שהתנהל בין המתלוננות לבין המאיים</w:t>
      </w:r>
      <w:r>
        <w:rPr>
          <w:rtl w:val="true"/>
        </w:rPr>
        <w:t xml:space="preserve">, </w:t>
      </w:r>
      <w:r>
        <w:rPr>
          <w:rtl w:val="true"/>
        </w:rPr>
        <w:t>נקבע כי מדובר בתלונות שווא שבגינן אף חויבו המתלוננות לשלם למאיים סכומי כסף ניכרים כפיצוי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בעקבות תלונת המערערת על מעשי הסחיטה</w:t>
      </w:r>
      <w:r>
        <w:rPr>
          <w:rtl w:val="true"/>
        </w:rPr>
        <w:t xml:space="preserve">, </w:t>
      </w:r>
      <w:r>
        <w:rPr>
          <w:rtl w:val="true"/>
        </w:rPr>
        <w:t>נפתחה חקירת משטרה נגד המאיים</w:t>
      </w:r>
      <w:r>
        <w:rPr>
          <w:rtl w:val="true"/>
        </w:rPr>
        <w:t xml:space="preserve">, </w:t>
      </w:r>
      <w:r>
        <w:rPr>
          <w:rtl w:val="true"/>
        </w:rPr>
        <w:t>אך התיק נסגר מחוסר ראיות</w:t>
      </w:r>
      <w:r>
        <w:rPr>
          <w:rtl w:val="true"/>
        </w:rPr>
        <w:t xml:space="preserve">, </w:t>
      </w:r>
      <w:r>
        <w:rPr>
          <w:rtl w:val="true"/>
        </w:rPr>
        <w:t>ועד למועד מתן גזר הדין לא הייתה בידי המערערת כל עדות מסייעת או ראייה אחרת שתתמוך בטענתה כי נסחטה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הטיעונים לעונש שנשמעו בבית המשפט המחוזי הוגשה מטעם המערערת חוות דעת של פסיכולוגית</w:t>
      </w:r>
      <w:r>
        <w:rPr>
          <w:rtl w:val="true"/>
        </w:rPr>
        <w:t>-</w:t>
      </w:r>
      <w:r>
        <w:rPr>
          <w:rtl w:val="true"/>
        </w:rPr>
        <w:t>קלינית בהתייחס לפוסט טראומה ממנה סובלת המערערת</w:t>
      </w:r>
      <w:r>
        <w:rPr>
          <w:rtl w:val="true"/>
        </w:rPr>
        <w:t xml:space="preserve">. </w:t>
      </w:r>
      <w:r>
        <w:rPr>
          <w:rtl w:val="true"/>
        </w:rPr>
        <w:t>מתוך חוות דעת זו עלה כי כבר מילדותה הייתה המערערת קורבן לפגיעה גופנית ונפשית על ידי בני משפחתה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אף שחוות הדעת פירטה את משמעות הפוסט טראומה של המערערת</w:t>
      </w:r>
      <w:r>
        <w:rPr>
          <w:rtl w:val="true"/>
        </w:rPr>
        <w:t xml:space="preserve">, </w:t>
      </w:r>
      <w:r>
        <w:rPr>
          <w:rtl w:val="true"/>
        </w:rPr>
        <w:t>לא מצא בית המשפט קשר בין מצב נפשי זה לבין גניבת הכספים על ידה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התייחס בית המשפט לעדות של בתה בת 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(</w:t>
      </w:r>
      <w:r>
        <w:rPr>
          <w:rtl w:val="true"/>
        </w:rPr>
        <w:t>בעת עדותה</w:t>
      </w:r>
      <w:r>
        <w:rPr>
          <w:rtl w:val="true"/>
        </w:rPr>
        <w:t xml:space="preserve">) </w:t>
      </w:r>
      <w:r>
        <w:rPr>
          <w:rtl w:val="true"/>
        </w:rPr>
        <w:t>של המערערת והוגש מכתב של הבת הצעירה</w:t>
      </w:r>
      <w:r>
        <w:rPr>
          <w:rtl w:val="true"/>
        </w:rPr>
        <w:t xml:space="preserve">. </w:t>
      </w:r>
      <w:r>
        <w:rPr>
          <w:rtl w:val="true"/>
        </w:rPr>
        <w:t>שתי הבנות תיארו את המערערת כהורה יחיד שמהווה משענת ותמיכה עבורן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התייחס לחומרת העבירות שביצעה המערערת</w:t>
      </w:r>
      <w:r>
        <w:rPr>
          <w:rtl w:val="true"/>
        </w:rPr>
        <w:t xml:space="preserve">; </w:t>
      </w:r>
      <w:r>
        <w:rPr>
          <w:rtl w:val="true"/>
        </w:rPr>
        <w:t>את החומרה היתרה בכך שמדובר בעורכת דין ששימשה נאמנת על כספים של לקוחותיה</w:t>
      </w:r>
      <w:r>
        <w:rPr>
          <w:rtl w:val="true"/>
        </w:rPr>
        <w:t xml:space="preserve">; </w:t>
      </w:r>
      <w:r>
        <w:rPr>
          <w:rtl w:val="true"/>
        </w:rPr>
        <w:t>את המעילה הגסה באמון של הלקוחות</w:t>
      </w:r>
      <w:r>
        <w:rPr>
          <w:rtl w:val="true"/>
        </w:rPr>
        <w:t xml:space="preserve">; </w:t>
      </w:r>
      <w:r>
        <w:rPr>
          <w:rtl w:val="true"/>
        </w:rPr>
        <w:t>את הפגיעה הקשה בתדמית עורכי הדין ובמקצוע עריכת הדין</w:t>
      </w:r>
      <w:r>
        <w:rPr>
          <w:rtl w:val="true"/>
        </w:rPr>
        <w:t xml:space="preserve">; </w:t>
      </w:r>
      <w:r>
        <w:rPr>
          <w:rtl w:val="true"/>
        </w:rPr>
        <w:t>בצורך בהרתעת המערערת</w:t>
      </w:r>
      <w:r>
        <w:rPr>
          <w:rtl w:val="true"/>
        </w:rPr>
        <w:t xml:space="preserve">; </w:t>
      </w:r>
      <w:r>
        <w:rPr>
          <w:rtl w:val="true"/>
        </w:rPr>
        <w:t>בצורך בהרתעת הרבים</w:t>
      </w:r>
      <w:r>
        <w:rPr>
          <w:rtl w:val="true"/>
        </w:rPr>
        <w:t xml:space="preserve">; </w:t>
      </w:r>
      <w:r>
        <w:rPr>
          <w:rtl w:val="true"/>
        </w:rPr>
        <w:t>בצורך בהרתעת ציבור עורכי הדין ומי שמונה במסגרת עיסוקו כנאמן על כספי לקוחותיו</w:t>
      </w:r>
      <w:r>
        <w:rPr>
          <w:rtl w:val="true"/>
        </w:rPr>
        <w:t xml:space="preserve">; </w:t>
      </w:r>
      <w:r>
        <w:rPr>
          <w:rtl w:val="true"/>
        </w:rPr>
        <w:t>בתכנון שקדם לביצוע העבירות</w:t>
      </w:r>
      <w:r>
        <w:rPr>
          <w:rtl w:val="true"/>
        </w:rPr>
        <w:t xml:space="preserve">; </w:t>
      </w:r>
      <w:r>
        <w:rPr>
          <w:rtl w:val="true"/>
        </w:rPr>
        <w:t>בנזק שהיה צפוי להיגרם ובנזק שנגרם בפועל ללקוחותיה</w:t>
      </w:r>
      <w:r>
        <w:rPr>
          <w:rtl w:val="true"/>
        </w:rPr>
        <w:t xml:space="preserve">; </w:t>
      </w:r>
      <w:r>
        <w:rPr>
          <w:rtl w:val="true"/>
        </w:rPr>
        <w:t>בסיבות שהביאו את המערערת לביצוע העבירות</w:t>
      </w:r>
      <w:r>
        <w:rPr>
          <w:rtl w:val="true"/>
        </w:rPr>
        <w:t xml:space="preserve">; </w:t>
      </w:r>
      <w:r>
        <w:rPr>
          <w:rtl w:val="true"/>
        </w:rPr>
        <w:t>ביכולת המערערת להימנע מביצוע העבירות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לשיקולים לקולא בית המשפט לקח בחשבון את הפגיעה במערערת ובבנותיה  הכרוכה בעונש</w:t>
      </w:r>
      <w:r>
        <w:rPr>
          <w:rtl w:val="true"/>
        </w:rPr>
        <w:t xml:space="preserve">; </w:t>
      </w:r>
      <w:r>
        <w:rPr>
          <w:rtl w:val="true"/>
        </w:rPr>
        <w:t>בנטילת אחריות על המעשים והמאמצים שנעשו על ידה לפצות את לקוחותיה</w:t>
      </w:r>
      <w:r>
        <w:rPr>
          <w:rtl w:val="true"/>
        </w:rPr>
        <w:t xml:space="preserve">; </w:t>
      </w:r>
      <w:r>
        <w:rPr>
          <w:rtl w:val="true"/>
        </w:rPr>
        <w:t>בשיתוף הפעולה של המערערת עם רשויות אכיפת החוק</w:t>
      </w:r>
      <w:r>
        <w:rPr>
          <w:rtl w:val="true"/>
        </w:rPr>
        <w:t xml:space="preserve">; </w:t>
      </w:r>
      <w:r>
        <w:rPr>
          <w:rtl w:val="true"/>
        </w:rPr>
        <w:t>בנסיבות חייה הקשות</w:t>
      </w:r>
      <w:r>
        <w:rPr>
          <w:rtl w:val="true"/>
        </w:rPr>
        <w:t xml:space="preserve">; </w:t>
      </w:r>
      <w:r>
        <w:rPr>
          <w:rtl w:val="true"/>
        </w:rPr>
        <w:t>במצוקתה הנפשית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לעונש</w:t>
      </w:r>
      <w:r>
        <w:rPr>
          <w:rtl w:val="true"/>
        </w:rPr>
        <w:t xml:space="preserve">, </w:t>
      </w:r>
      <w:r>
        <w:rPr>
          <w:rtl w:val="true"/>
        </w:rPr>
        <w:t>בית המשפט דחה את טענות המערערת כי מדובר בכמה עבירות המהוות אירוע אחד</w:t>
      </w:r>
      <w:r>
        <w:rPr>
          <w:rtl w:val="true"/>
        </w:rPr>
        <w:t xml:space="preserve">, </w:t>
      </w:r>
      <w:r>
        <w:rPr>
          <w:rtl w:val="true"/>
        </w:rPr>
        <w:t>שכן מדובר במספר אירועים</w:t>
      </w:r>
      <w:r>
        <w:rPr>
          <w:rtl w:val="true"/>
        </w:rPr>
        <w:t xml:space="preserve">. </w:t>
      </w:r>
      <w:r>
        <w:rPr>
          <w:rtl w:val="true"/>
        </w:rPr>
        <w:t>כנגד כל נפגע עבירה ביצעה המערערת את המעשה במועדים שונים ובסכומים שונים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בהתחשב בעובדה שהמערערת ביצעה את מעשי הגניבה תוך שהיא משמשת כעורכת דין ומועלת בכספים שנמסרו למשמורתה כנאמנת</w:t>
      </w:r>
      <w:r>
        <w:rPr>
          <w:rtl w:val="true"/>
        </w:rPr>
        <w:t xml:space="preserve">; </w:t>
      </w:r>
      <w:r>
        <w:rPr>
          <w:rtl w:val="true"/>
        </w:rPr>
        <w:t>בפגיעה הקשה של מעשיה בערכים החברתיים</w:t>
      </w:r>
      <w:r>
        <w:rPr>
          <w:rtl w:val="true"/>
        </w:rPr>
        <w:t xml:space="preserve">; </w:t>
      </w:r>
      <w:r>
        <w:rPr>
          <w:rtl w:val="true"/>
        </w:rPr>
        <w:t>בפגיעה הקשה במקצוע עריכת הדין ובאמון הציבור במקצוע זה</w:t>
      </w:r>
      <w:r>
        <w:rPr>
          <w:rtl w:val="true"/>
        </w:rPr>
        <w:t xml:space="preserve">, </w:t>
      </w:r>
      <w:r>
        <w:rPr>
          <w:rtl w:val="true"/>
        </w:rPr>
        <w:t>נקבע כי בגין כל מעשי הגניבה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נמצא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ובגין עבירות המס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עומד על </w:t>
      </w:r>
      <w:r>
        <w:rPr/>
        <w:t>30-18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הוסיף וקבע כי בנסיבות רגילות</w:t>
      </w:r>
      <w:r>
        <w:rPr>
          <w:rtl w:val="true"/>
        </w:rPr>
        <w:t xml:space="preserve">, </w:t>
      </w:r>
      <w:r>
        <w:rPr>
          <w:rtl w:val="true"/>
        </w:rPr>
        <w:t>בהתאם לרמת הענישה המתייחסת לסוג זה של עבירות שמבוצע על ידי עורכי דין המועלים באמון לקוחותיהם</w:t>
      </w:r>
      <w:r>
        <w:rPr>
          <w:rtl w:val="true"/>
        </w:rPr>
        <w:t xml:space="preserve">, </w:t>
      </w:r>
      <w:r>
        <w:rPr>
          <w:rtl w:val="true"/>
        </w:rPr>
        <w:t xml:space="preserve">היה עונשה של המערערת עומד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אלא שבמקרה זה</w:t>
      </w:r>
      <w:r>
        <w:rPr>
          <w:rtl w:val="true"/>
        </w:rPr>
        <w:t xml:space="preserve">, </w:t>
      </w:r>
      <w:r>
        <w:rPr>
          <w:rtl w:val="true"/>
        </w:rPr>
        <w:t>למערערת אין עבר פלילי</w:t>
      </w:r>
      <w:r>
        <w:rPr>
          <w:rtl w:val="true"/>
        </w:rPr>
        <w:t xml:space="preserve">, </w:t>
      </w:r>
      <w:r>
        <w:rPr>
          <w:rtl w:val="true"/>
        </w:rPr>
        <w:t>היא הודתה בעבירות שיוחסו לה וקיבלה אחריות על מעשיה</w:t>
      </w:r>
      <w:r>
        <w:rPr>
          <w:rtl w:val="true"/>
        </w:rPr>
        <w:t xml:space="preserve">. </w:t>
      </w:r>
      <w:r>
        <w:rPr>
          <w:rtl w:val="true"/>
        </w:rPr>
        <w:t>כמו כן ניתן משקל משמעותי לכך שהמערערת גילתה רצון כן ואמיתי להחזיר את הכספים שגנבה</w:t>
      </w:r>
      <w:r>
        <w:rPr>
          <w:rtl w:val="true"/>
        </w:rPr>
        <w:t xml:space="preserve">, </w:t>
      </w:r>
      <w:r>
        <w:rPr>
          <w:rtl w:val="true"/>
        </w:rPr>
        <w:t>כאשר למעלה ממחצית סכום הגניבה אכן הוחזר לנפגעים וקיים סיכוי סביר</w:t>
      </w:r>
      <w:r>
        <w:rPr>
          <w:rtl w:val="true"/>
        </w:rPr>
        <w:t xml:space="preserve">, </w:t>
      </w:r>
      <w:r>
        <w:rPr>
          <w:rtl w:val="true"/>
        </w:rPr>
        <w:t>ללא קשר לחיובה של המערערת בפיצוי במסגרת ההליך הפלילי</w:t>
      </w:r>
      <w:r>
        <w:rPr>
          <w:rtl w:val="true"/>
        </w:rPr>
        <w:t xml:space="preserve">, </w:t>
      </w:r>
      <w:r>
        <w:rPr>
          <w:rtl w:val="true"/>
        </w:rPr>
        <w:t>כי תוך זמן קצר תוחזר גם יתרת הכספים לנפגעים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בשקלול כלל הנסיבות</w:t>
      </w:r>
      <w:r>
        <w:rPr>
          <w:rtl w:val="true"/>
        </w:rPr>
        <w:t xml:space="preserve">, </w:t>
      </w:r>
      <w:r>
        <w:rPr>
          <w:rtl w:val="true"/>
        </w:rPr>
        <w:t>גזר בית המשפט על המערערת את העונשים שפורטו 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נתן מספיק משקל לחרטתה הכנה ועל רצונה להחזיר את כל הכספים שנטלה מלקוחותיה שלא כדין</w:t>
      </w:r>
      <w:r>
        <w:rPr>
          <w:rtl w:val="true"/>
        </w:rPr>
        <w:t xml:space="preserve">. </w:t>
      </w:r>
      <w:r>
        <w:rPr>
          <w:rtl w:val="true"/>
        </w:rPr>
        <w:t>המערערת אף ביקשה להחזיר את הכספים עובר למעצרה</w:t>
      </w:r>
      <w:r>
        <w:rPr>
          <w:rtl w:val="true"/>
        </w:rPr>
        <w:t xml:space="preserve">. </w:t>
      </w:r>
      <w:r>
        <w:rPr>
          <w:rtl w:val="true"/>
        </w:rPr>
        <w:t>מצוקתה הנפשית אף הביאה אותה לכדי ניסיון אובדני</w:t>
      </w:r>
      <w:r>
        <w:rPr>
          <w:rtl w:val="true"/>
        </w:rPr>
        <w:t xml:space="preserve">. </w:t>
      </w:r>
      <w:r>
        <w:rPr>
          <w:rtl w:val="true"/>
        </w:rPr>
        <w:t>בית המשפט גם טעה לשיטתה בכך שדחה את טענתה שכל מעשיה נעשו על רקע של סחיטתה במשך תקופה ארוכה</w:t>
      </w:r>
      <w:r>
        <w:rPr>
          <w:rtl w:val="true"/>
        </w:rPr>
        <w:t xml:space="preserve">. </w:t>
      </w:r>
      <w:r>
        <w:rPr>
          <w:rtl w:val="true"/>
        </w:rPr>
        <w:t>בית המשפט גם התעלם מטענתה שהיא נקלעה למציאות קשה שלא בטובתה</w:t>
      </w:r>
      <w:r>
        <w:rPr>
          <w:rtl w:val="true"/>
        </w:rPr>
        <w:t xml:space="preserve">. </w:t>
      </w:r>
      <w:r>
        <w:rPr>
          <w:rtl w:val="true"/>
        </w:rPr>
        <w:t>מציאות זו והאיומים שהופנו אליה הם אלו אשר הובילו למעילתה בכספי לקוחותיה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לאחר מעצרה של המערערת</w:t>
      </w:r>
      <w:r>
        <w:rPr>
          <w:rtl w:val="true"/>
        </w:rPr>
        <w:t xml:space="preserve">, </w:t>
      </w:r>
      <w:r>
        <w:rPr>
          <w:rtl w:val="true"/>
        </w:rPr>
        <w:t>המאיים פנה למשטרה</w:t>
      </w:r>
      <w:r>
        <w:rPr>
          <w:rtl w:val="true"/>
        </w:rPr>
        <w:t xml:space="preserve">, </w:t>
      </w:r>
      <w:r>
        <w:rPr>
          <w:rtl w:val="true"/>
        </w:rPr>
        <w:t>סיפר מיוזמתו פרטים על אודות המערערת ולפניה זו התייחסה המשטרה בכובד ראש</w:t>
      </w:r>
      <w:r>
        <w:rPr>
          <w:rtl w:val="true"/>
        </w:rPr>
        <w:t xml:space="preserve">. </w:t>
      </w:r>
      <w:r>
        <w:rPr>
          <w:rtl w:val="true"/>
        </w:rPr>
        <w:t>לעומת זאת המשטרה לא התייחסה אל תלונות המערערת כנגד המאיים ברצינות המתבקשת וממילא לא חקרה אותן כדבעי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טעה בית המשפט במסקנתו כי גרסתה מופרכת בשל כך שלא התלוננה עובר למעצר כנגד המאיים</w:t>
      </w:r>
      <w:r>
        <w:rPr>
          <w:rtl w:val="true"/>
        </w:rPr>
        <w:t xml:space="preserve">. </w:t>
      </w:r>
      <w:r>
        <w:rPr>
          <w:rtl w:val="true"/>
        </w:rPr>
        <w:t>לו בית המשפט היה נותן משקל מתאים לטענת הסחיטה</w:t>
      </w:r>
      <w:r>
        <w:rPr>
          <w:rtl w:val="true"/>
        </w:rPr>
        <w:t xml:space="preserve">, </w:t>
      </w:r>
      <w:r>
        <w:rPr>
          <w:rtl w:val="true"/>
        </w:rPr>
        <w:t>העונש שהיה מושת עליה היה קל בהרבה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>הלינה המערערת על כך שבית המשפט לא דחה את המועד לשמיעת טיעונים לעונש</w:t>
      </w:r>
      <w:r>
        <w:rPr>
          <w:rtl w:val="true"/>
        </w:rPr>
        <w:t xml:space="preserve">. </w:t>
      </w:r>
      <w:r>
        <w:rPr>
          <w:rtl w:val="true"/>
        </w:rPr>
        <w:t>זאת כדי לאפשר לה להחזיר את מלוא הכספים שנטלה עובר לגזירת עונשה</w:t>
      </w:r>
      <w:r>
        <w:rPr>
          <w:rtl w:val="true"/>
        </w:rPr>
        <w:t xml:space="preserve">. </w:t>
      </w:r>
      <w:r>
        <w:rPr>
          <w:rtl w:val="true"/>
        </w:rPr>
        <w:t>לו היה עושה כן</w:t>
      </w:r>
      <w:r>
        <w:rPr>
          <w:rtl w:val="true"/>
        </w:rPr>
        <w:t xml:space="preserve">, </w:t>
      </w:r>
      <w:r>
        <w:rPr>
          <w:rtl w:val="true"/>
        </w:rPr>
        <w:t>והיה עולה בידה להחזיר את כל הכספים</w:t>
      </w:r>
      <w:r>
        <w:rPr>
          <w:rtl w:val="true"/>
        </w:rPr>
        <w:t xml:space="preserve">, </w:t>
      </w:r>
      <w:r>
        <w:rPr>
          <w:rtl w:val="true"/>
        </w:rPr>
        <w:t>גם עובדה זו הייתה מובילה להקלה משמעותית בעונשה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בנסיבות שנוצרו היה על בית המשפט לראותה כמי שבפועל החזירה את כל הכספים</w:t>
      </w:r>
      <w:r>
        <w:rPr>
          <w:rtl w:val="true"/>
        </w:rPr>
        <w:t xml:space="preserve">. </w:t>
      </w:r>
      <w:r>
        <w:rPr>
          <w:rtl w:val="true"/>
        </w:rPr>
        <w:t>כן טעה בית המשפט שדחה את בקשתה להפנותה לקבלת תסקיר מטעם שירות המבחן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בגילה של המערערת ובהיותה עורכת דין ללא עבר פלילי המטופלת בשתי בנות קטינות</w:t>
      </w:r>
      <w:r>
        <w:rPr>
          <w:rtl w:val="true"/>
        </w:rPr>
        <w:t xml:space="preserve">, </w:t>
      </w:r>
      <w:r>
        <w:rPr>
          <w:rtl w:val="true"/>
        </w:rPr>
        <w:t>אשר שליחתה למאסר תמיט עליהן חורבן</w:t>
      </w:r>
      <w:r>
        <w:rPr>
          <w:rtl w:val="true"/>
        </w:rPr>
        <w:t xml:space="preserve">. </w:t>
      </w:r>
      <w:r>
        <w:rPr>
          <w:rtl w:val="true"/>
        </w:rPr>
        <w:t>נתונים אלו היו צריכים להוביל את בית המשפט למסקנה כי יש לערוך תסקיר בעניינה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טענה המערערת נגד מתחם העונש שקבע בית המשפט והעונש שהושת עליה בפועל בתוך המתחם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לא ניתן משקל מספיק להודאתה</w:t>
      </w:r>
      <w:r>
        <w:rPr>
          <w:rtl w:val="true"/>
        </w:rPr>
        <w:t xml:space="preserve">, </w:t>
      </w:r>
      <w:r>
        <w:rPr>
          <w:rtl w:val="true"/>
        </w:rPr>
        <w:t>לנסיבותיה האישיות</w:t>
      </w:r>
      <w:r>
        <w:rPr>
          <w:rtl w:val="true"/>
        </w:rPr>
        <w:t xml:space="preserve">, </w:t>
      </w:r>
      <w:r>
        <w:rPr>
          <w:rtl w:val="true"/>
        </w:rPr>
        <w:t>לדרך השיקום שעברה ולכך שהלכה למעשה מדובר באירוע אחד ולא למספר אירועים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החרתה החזיקה אחר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היא הדגישה בטיעוניה את הסכום הגבוה שנגנב על ידי המערערת</w:t>
      </w:r>
      <w:r>
        <w:rPr>
          <w:rtl w:val="true"/>
        </w:rPr>
        <w:t xml:space="preserve">, </w:t>
      </w:r>
      <w:r>
        <w:rPr>
          <w:rtl w:val="true"/>
        </w:rPr>
        <w:t>כאשר נקודת המוצא של בית המשפט המחוזי הייתה הלכה למעשה שהמערערת החזירה או עומדת להחזיר בזמן הקרוב את כל כספי הגניבה שנטלה וזקף זאת לזכותה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טרם החזירה את כל הכספים ללקוחותיה שהם אנשים הבאים בימים ושהתחייבו לשלם את הכספים שהוחזקו על ידי המערערת בנאמנות בעסקאות </w:t>
      </w:r>
      <w:r>
        <w:rPr>
          <w:rtl w:val="true"/>
        </w:rPr>
        <w:t>"</w:t>
      </w:r>
      <w:r>
        <w:rPr>
          <w:rtl w:val="true"/>
        </w:rPr>
        <w:t>גב אל גב</w:t>
      </w:r>
      <w:r>
        <w:rPr>
          <w:rtl w:val="true"/>
        </w:rPr>
        <w:t xml:space="preserve">". </w:t>
      </w:r>
      <w:r>
        <w:rPr>
          <w:rtl w:val="true"/>
        </w:rPr>
        <w:t>נטילת הכספים על ידי המערערת גרמה להם אפוא נזק עצום</w:t>
      </w:r>
      <w:r>
        <w:rPr>
          <w:rtl w:val="true"/>
        </w:rPr>
        <w:t xml:space="preserve">. </w:t>
      </w:r>
      <w:r>
        <w:rPr>
          <w:rtl w:val="true"/>
        </w:rPr>
        <w:t>המשיבה גם דחתה בשתי ידיים את גרסת הסחיטה של המערערת</w:t>
      </w:r>
      <w:r>
        <w:rPr>
          <w:rtl w:val="true"/>
        </w:rPr>
        <w:t xml:space="preserve">. </w:t>
      </w:r>
      <w:r>
        <w:rPr>
          <w:rtl w:val="true"/>
        </w:rPr>
        <w:t>לו היה לטענה זו בסיס במציאות</w:t>
      </w:r>
      <w:r>
        <w:rPr>
          <w:rtl w:val="true"/>
        </w:rPr>
        <w:t xml:space="preserve">, </w:t>
      </w:r>
      <w:r>
        <w:rPr>
          <w:rtl w:val="true"/>
        </w:rPr>
        <w:t xml:space="preserve">היה על המערערת לטעון את הטענה במסגרת הגנת כורח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משלא עשתה כן</w:t>
      </w:r>
      <w:r>
        <w:rPr>
          <w:rtl w:val="true"/>
        </w:rPr>
        <w:t xml:space="preserve">, </w:t>
      </w:r>
      <w:r>
        <w:rPr>
          <w:rtl w:val="true"/>
        </w:rPr>
        <w:t>סימן הוא כי אין ממש בטענתה</w:t>
      </w:r>
      <w:r>
        <w:rPr>
          <w:rtl w:val="true"/>
        </w:rPr>
        <w:t xml:space="preserve">. </w:t>
      </w:r>
      <w:r>
        <w:rPr>
          <w:rtl w:val="true"/>
        </w:rPr>
        <w:t>כן יש לדחות את טענת המערערת שלא נתקבל תסקיר בעניינה</w:t>
      </w:r>
      <w:r>
        <w:rPr>
          <w:rtl w:val="true"/>
        </w:rPr>
        <w:t xml:space="preserve">. </w:t>
      </w:r>
      <w:r>
        <w:rPr>
          <w:rtl w:val="true"/>
        </w:rPr>
        <w:t>עובדה זו שאינה שנויה במחלוקת</w:t>
      </w:r>
      <w:r>
        <w:rPr>
          <w:rtl w:val="true"/>
        </w:rPr>
        <w:t xml:space="preserve">, </w:t>
      </w:r>
      <w:r>
        <w:rPr>
          <w:rtl w:val="true"/>
        </w:rPr>
        <w:t>היא פועל יוצא מכך שהמערערת לא ביקשה תסקיר במועד עם מתן הכרעת הדין</w:t>
      </w:r>
      <w:r>
        <w:rPr>
          <w:rtl w:val="true"/>
        </w:rPr>
        <w:t xml:space="preserve">, </w:t>
      </w:r>
      <w:r>
        <w:rPr>
          <w:rtl w:val="true"/>
        </w:rPr>
        <w:t>אלא התמקדה בטענתה שברצונה להחזיר את הכספים שגנבה ולשם כך ביקשה דחיות חוזרות ונשנות של מועדי הדיון עד אשר בית המשפט המחוזי לא היה מוכן עוד לדחיות נוספות</w:t>
      </w:r>
      <w:r>
        <w:rPr>
          <w:rtl w:val="true"/>
        </w:rPr>
        <w:t xml:space="preserve">. </w:t>
      </w:r>
      <w:r>
        <w:rPr>
          <w:rtl w:val="true"/>
        </w:rPr>
        <w:t>כך יש לדחות את טענות המערערת באשר למצבה הנפשי</w:t>
      </w:r>
      <w:r>
        <w:rPr>
          <w:rtl w:val="true"/>
        </w:rPr>
        <w:t xml:space="preserve">. </w:t>
      </w:r>
      <w:r>
        <w:rPr>
          <w:rtl w:val="true"/>
        </w:rPr>
        <w:t>המשיבה הצביעה על כך שהמערערת פנתה מיזמתה לטיפול ומצבה כיום לטענתה תקין ויציב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לדעת המשיבה בית המשפט המחוזי לקח בחשבון את מלוא טענותיה של המערערת ובכלל זה התחשב במכלול נסיבותיה לקולא</w:t>
      </w:r>
      <w:r>
        <w:rPr>
          <w:rtl w:val="true"/>
        </w:rPr>
        <w:t xml:space="preserve">. </w:t>
      </w:r>
      <w:r>
        <w:rPr>
          <w:rtl w:val="true"/>
        </w:rPr>
        <w:t>בית המשפט התחשב במצבן של בנותיה ואת הנזק שמאסרה של המערערת עלול לגרום להן</w:t>
      </w:r>
      <w:r>
        <w:rPr>
          <w:rtl w:val="true"/>
        </w:rPr>
        <w:t xml:space="preserve">. </w:t>
      </w:r>
      <w:r>
        <w:rPr>
          <w:rtl w:val="true"/>
        </w:rPr>
        <w:t>כן לקח בית המשפט בחשבון את טענת המערערת כי לא נטלה את הכספים לכיסה הפרטי והעובדה שלקחה אחריות מלאה על מעשיה</w:t>
      </w:r>
      <w:r>
        <w:rPr>
          <w:rtl w:val="true"/>
        </w:rPr>
        <w:t xml:space="preserve">. </w:t>
      </w:r>
      <w:r>
        <w:rPr>
          <w:rtl w:val="true"/>
        </w:rPr>
        <w:t>בית המשפט אף בא כברת דרך ארוכה לקראת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שעה שסבר כי ברגיל העונש הראוי במקרים כגון אלו עומד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אך בהתחשב במכלול השיקולים לקולא</w:t>
      </w:r>
      <w:r>
        <w:rPr>
          <w:rtl w:val="true"/>
        </w:rPr>
        <w:t xml:space="preserve">, </w:t>
      </w:r>
      <w:r>
        <w:rPr>
          <w:rtl w:val="true"/>
        </w:rPr>
        <w:t>השית עליה רק מחצית מתקופה זו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נקודת המוצא היא כי אין זה מדרכה של ערכאת הערעור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ניכרת חריגה קיצונית ממדיניות הענישה הנוהגת במקרים דומים </w:t>
      </w:r>
      <w:r>
        <w:rPr>
          <w:rtl w:val="true"/>
        </w:rPr>
        <w:t>(</w:t>
      </w:r>
      <w:r>
        <w:rPr>
          <w:rtl w:val="true"/>
        </w:rPr>
        <w:t>וראו למשל לאחרונה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בורגרקאר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18.2.2020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13.2.2020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27.11.19</w:t>
      </w:r>
      <w:r>
        <w:rPr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על 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מקרה זה נכנס לגדרם של אותם מקרים המצדיקים התערבות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זה מדובר בעבירות גניבה בסכומים משמעותיים שבוצעו על ידי המערערת שהייתה עורכת דין וניהלה עובר לתקופת ביצוע העבירות חיים נורמטיביים</w:t>
      </w:r>
      <w:r>
        <w:rPr>
          <w:rtl w:val="true"/>
        </w:rPr>
        <w:t xml:space="preserve">. </w:t>
      </w:r>
      <w:r>
        <w:rPr>
          <w:rtl w:val="true"/>
        </w:rPr>
        <w:t xml:space="preserve">דומה עניינה לעניינם של עוברי עבירות </w:t>
      </w:r>
      <w:r>
        <w:rPr>
          <w:rtl w:val="true"/>
        </w:rPr>
        <w:t>"</w:t>
      </w:r>
      <w:r>
        <w:rPr>
          <w:rtl w:val="true"/>
        </w:rPr>
        <w:t>צווארון לבן</w:t>
      </w:r>
      <w:r>
        <w:rPr>
          <w:rtl w:val="true"/>
        </w:rPr>
        <w:t xml:space="preserve">", </w:t>
      </w:r>
      <w:r>
        <w:rPr>
          <w:rtl w:val="true"/>
        </w:rPr>
        <w:t>אשר נעברות מטבע אופיין</w:t>
      </w:r>
      <w:r>
        <w:rPr>
          <w:rtl w:val="true"/>
        </w:rPr>
        <w:t xml:space="preserve">, </w:t>
      </w: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על ידי אנשים נורמטיביים ובעלי עבר נקי</w:t>
      </w:r>
      <w:r>
        <w:rPr>
          <w:rtl w:val="true"/>
        </w:rPr>
        <w:t xml:space="preserve">, </w:t>
      </w:r>
      <w:r>
        <w:rPr>
          <w:rtl w:val="true"/>
        </w:rPr>
        <w:t>על אודותיהם אמר בית משפט זה בהתייחס למדיניות הענישה הראויה בעבירות מסוג זה כי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המכונות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צווארון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'.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תדמיתן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הנקיה</w:t>
      </w:r>
      <w:r>
        <w:rPr>
          <w:rtl w:val="true"/>
        </w:rPr>
        <w:t xml:space="preserve">'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רגילות</w:t>
      </w:r>
      <w:r>
        <w:rPr>
          <w:rtl w:val="true"/>
        </w:rPr>
        <w:t xml:space="preserve">'. </w:t>
      </w:r>
      <w:r>
        <w:rPr>
          <w:rtl w:val="true"/>
        </w:rPr>
        <w:t>נזקיהן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ובחרות</w:t>
      </w:r>
      <w:r>
        <w:rPr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638</w:t>
      </w:r>
      <w:r>
        <w:rPr>
          <w:sz w:val="28"/>
          <w:rtl w:val="true"/>
        </w:rPr>
        <w:t xml:space="preserve"> (</w:t>
      </w:r>
      <w:r>
        <w:rPr>
          <w:sz w:val="28"/>
        </w:rPr>
        <w:t>12.1.2016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>)</w:t>
      </w:r>
      <w:r>
        <w:rPr>
          <w:sz w:val="28"/>
          <w:rtl w:val="true"/>
        </w:rPr>
        <w:t xml:space="preserve">).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לכך ניתן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במדיניות הענישה בעבירות מסוג זה חלה מגמה של החמרה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מגמה שהוגדרה כמוצדקת וכמתחייבת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4190/13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18.11.2014</w:t>
      </w:r>
      <w:r>
        <w:rPr>
          <w:rFonts w:cs="Century" w:ascii="Century" w:hAnsi="Century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4666/12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גורבץ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8.11.2012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6020/12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29.4.2013</w:t>
      </w:r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4430/13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31.3.2014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לקחת בחשבון את היקף הגניבה כנסיבה משמעותית לחומרה </w:t>
      </w:r>
      <w:r>
        <w:rPr>
          <w:rFonts w:cs="Century" w:ascii="Century" w:hAnsi="Century"/>
          <w:rtl w:val="true"/>
        </w:rPr>
        <w:t>(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10632/07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10.6.2008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מדובר במקרה זה כאמור בהפרת אמונים ומעילה בכספים שנמסרו בנאמנות לעורך דין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בית משפט זה </w:t>
      </w:r>
      <w:r>
        <w:rPr>
          <w:rtl w:val="true"/>
        </w:rPr>
        <w:t>(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23.7.2015</w:t>
      </w:r>
      <w:r>
        <w:rPr>
          <w:rtl w:val="true"/>
        </w:rPr>
        <w:t xml:space="preserve">)):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16.10.2007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(</w:t>
      </w:r>
      <w:r>
        <w:rPr/>
        <w:t>5.2.2009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23.5.2011</w:t>
      </w:r>
      <w:r>
        <w:rPr>
          <w:rtl w:val="true"/>
        </w:rPr>
        <w:t>))." (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יותר מכך</w:t>
      </w:r>
      <w:r>
        <w:rPr>
          <w:rtl w:val="true"/>
        </w:rPr>
        <w:t xml:space="preserve">, </w:t>
      </w:r>
      <w:r>
        <w:rPr>
          <w:rtl w:val="true"/>
        </w:rPr>
        <w:t>החומרה בענייננו אף מוגברת</w:t>
      </w:r>
      <w:r>
        <w:rPr>
          <w:rtl w:val="true"/>
        </w:rPr>
        <w:t xml:space="preserve">, </w:t>
      </w:r>
      <w:r>
        <w:rPr>
          <w:rtl w:val="true"/>
        </w:rPr>
        <w:t>שעה שבגניבתה הפרה המערערת את האמון שנתנו בה לקוחותיה המבוגרים</w:t>
      </w:r>
      <w:r>
        <w:rPr>
          <w:rtl w:val="true"/>
        </w:rPr>
        <w:t xml:space="preserve">, </w:t>
      </w:r>
      <w:r>
        <w:rPr>
          <w:rtl w:val="true"/>
        </w:rPr>
        <w:t>תוך גזילת כספיהם</w:t>
      </w:r>
      <w:r>
        <w:rPr>
          <w:rtl w:val="true"/>
        </w:rPr>
        <w:t xml:space="preserve">, </w:t>
      </w:r>
      <w:r>
        <w:rPr>
          <w:rtl w:val="true"/>
        </w:rPr>
        <w:t xml:space="preserve">אשר אמורים היו לשמש להם כמקור לשיפור איכות חייהם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11.9.2013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בכתב האישום מסופר באישום הראשון כיצד ביום </w:t>
      </w:r>
      <w:r>
        <w:rPr/>
        <w:t>16.12.2015</w:t>
      </w:r>
      <w:r>
        <w:rPr>
          <w:rtl w:val="true"/>
        </w:rPr>
        <w:t xml:space="preserve"> </w:t>
      </w:r>
      <w:r>
        <w:rPr>
          <w:rtl w:val="true"/>
        </w:rPr>
        <w:t xml:space="preserve">נחתם חוזה מכר לדירה בתל אביב תמורת </w:t>
      </w:r>
      <w:r>
        <w:rPr/>
        <w:t>1,820,000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מתוך סכום זה החזיקה המערערת סך של </w:t>
      </w:r>
      <w:r>
        <w:rPr/>
        <w:t>430,000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בנאמנות</w:t>
      </w:r>
      <w:r>
        <w:rPr>
          <w:rtl w:val="true"/>
        </w:rPr>
        <w:t xml:space="preserve">. </w:t>
      </w:r>
      <w:r>
        <w:rPr>
          <w:rtl w:val="true"/>
        </w:rPr>
        <w:t>זאת להבטחת תשלומי מס שבח על ידי המוכרים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במספר רב של מועדים לאחר מכן משכה המערערת סכומי כסף שונים מחשבון הנאמנות עד לריקון מלוא החשבון</w:t>
      </w:r>
      <w:r>
        <w:rPr>
          <w:rtl w:val="true"/>
        </w:rPr>
        <w:t xml:space="preserve">. </w:t>
      </w:r>
      <w:r>
        <w:rPr>
          <w:rtl w:val="true"/>
        </w:rPr>
        <w:t xml:space="preserve">כשנתגלה העניין במהלך חודש מאי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השיבה רק 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מתוך הכספים שגנבה</w:t>
      </w:r>
      <w:r>
        <w:rPr>
          <w:rtl w:val="true"/>
        </w:rPr>
        <w:t xml:space="preserve">; </w:t>
      </w:r>
      <w:r>
        <w:rPr>
          <w:rtl w:val="true"/>
        </w:rPr>
        <w:t>המערערת נהגה באותו אופן כפי שפורט 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לגבי הסכם מכר שנחתם ביום </w:t>
      </w:r>
      <w:r>
        <w:rPr/>
        <w:t>11.2.2015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4,350,000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מתוכם החזיקה סך של </w:t>
      </w:r>
      <w:r>
        <w:rPr/>
        <w:t>600,000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בנאמנות ונטלה לעצמה במספר רב של מועדים סך של </w:t>
      </w:r>
      <w:r>
        <w:rPr/>
        <w:t>539,000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לצרכיה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השלישי מסופר כיצד נהגה המערערת בכספי מכר של נכס תמורת </w:t>
      </w:r>
      <w:r>
        <w:rPr/>
        <w:t>2,800,000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מתוכם החזיקה </w:t>
      </w:r>
      <w:r>
        <w:rPr/>
        <w:t>2,380,000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בנאמנות</w:t>
      </w:r>
      <w:r>
        <w:rPr>
          <w:rtl w:val="true"/>
        </w:rPr>
        <w:t xml:space="preserve">, </w:t>
      </w:r>
      <w:r>
        <w:rPr>
          <w:rtl w:val="true"/>
        </w:rPr>
        <w:t>מהם נטלה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במספר רב של מועדים בין יום </w:t>
      </w:r>
      <w:r>
        <w:rPr/>
        <w:t>25.5.2014</w:t>
      </w:r>
      <w:r>
        <w:rPr>
          <w:rtl w:val="true"/>
        </w:rPr>
        <w:t xml:space="preserve"> </w:t>
      </w:r>
      <w:r>
        <w:rPr>
          <w:rtl w:val="true"/>
        </w:rPr>
        <w:t xml:space="preserve">ליום </w:t>
      </w:r>
      <w:r>
        <w:rPr/>
        <w:t>1.12.2015</w:t>
      </w:r>
      <w:r>
        <w:rPr>
          <w:rtl w:val="true"/>
        </w:rPr>
        <w:t xml:space="preserve"> </w:t>
      </w:r>
      <w:r>
        <w:rPr>
          <w:rtl w:val="true"/>
        </w:rPr>
        <w:t xml:space="preserve">סך של </w:t>
      </w:r>
      <w:r>
        <w:rPr/>
        <w:t>1,117,343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הרביעי מדובר בעסקת מקרקעין מיום </w:t>
      </w:r>
      <w:r>
        <w:rPr/>
        <w:t>9.2.2016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950,000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מתוכם נטלה המערערת במספר רב של מועדים סך של </w:t>
      </w:r>
      <w:r>
        <w:rPr/>
        <w:t>225,000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שנמסרו לה בנאמנות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החמישי מסופר על עסקת מקרקעין מיום </w:t>
      </w:r>
      <w:r>
        <w:rPr/>
        <w:t>25.1.2015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2,687,500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מתוכם המערערת נטלה במספר רב של מועדים סך של </w:t>
      </w:r>
      <w:r>
        <w:rPr/>
        <w:t>246,000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מתוך </w:t>
      </w:r>
      <w:r>
        <w:rPr/>
        <w:t>300,000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שנמסרו לה בנאמנות</w:t>
      </w:r>
      <w:r>
        <w:rPr>
          <w:rtl w:val="true"/>
        </w:rPr>
        <w:t xml:space="preserve">; </w:t>
      </w:r>
      <w:r>
        <w:rPr>
          <w:rtl w:val="true"/>
        </w:rPr>
        <w:t xml:space="preserve">ובאישום השישי מסופר על עסקה מחודש אוגוסט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2,500,000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מהם נטלה שוב במספר רב של מועדים סך של </w:t>
      </w:r>
      <w:r>
        <w:rPr/>
        <w:t>1,700,000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שנמסרו לה בנאמנות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 במשך למעלה משנתיים המערערת סיגלה לעצמה דפוס התנהגות חוזר ונשנה של החזקת כספי נאמנות של רוכשי נכסי נדל</w:t>
      </w:r>
      <w:r>
        <w:rPr>
          <w:rtl w:val="true"/>
        </w:rPr>
        <w:t>"</w:t>
      </w:r>
      <w:r>
        <w:rPr>
          <w:rtl w:val="true"/>
        </w:rPr>
        <w:t>ן תמימים ונטילתם מעת לעת ללא רשות תוך הפרת חובת הנאמנות החלה עליה</w:t>
      </w:r>
      <w:r>
        <w:rPr>
          <w:rtl w:val="true"/>
        </w:rPr>
        <w:t xml:space="preserve">, </w:t>
      </w:r>
      <w:r>
        <w:rPr>
          <w:rtl w:val="true"/>
        </w:rPr>
        <w:t>תוך הותרת רוכשי הנכסים ערומים מכספם</w:t>
      </w:r>
      <w:r>
        <w:rPr>
          <w:rtl w:val="true"/>
        </w:rPr>
        <w:t xml:space="preserve">. </w:t>
      </w:r>
      <w:r>
        <w:rPr>
          <w:rtl w:val="true"/>
        </w:rPr>
        <w:t xml:space="preserve">ברור אפוא שאין בסיס לטענת המערערת כי המדובר באירוע אחד </w:t>
      </w:r>
      <w:r>
        <w:rPr>
          <w:rtl w:val="true"/>
        </w:rPr>
        <w:t>–</w:t>
      </w:r>
      <w:r>
        <w:rPr>
          <w:rtl w:val="true"/>
        </w:rPr>
        <w:t xml:space="preserve"> בעבורו ניתן היה להקל עוד בדינה </w:t>
      </w:r>
      <w:r>
        <w:rPr>
          <w:rtl w:val="true"/>
        </w:rPr>
        <w:t>–</w:t>
      </w:r>
      <w:r>
        <w:rPr>
          <w:rtl w:val="true"/>
        </w:rPr>
        <w:t xml:space="preserve"> כי אם </w:t>
      </w:r>
      <w:r>
        <w:rPr>
          <w:rtl w:val="true"/>
        </w:rPr>
        <w:t>"</w:t>
      </w:r>
      <w:r>
        <w:rPr>
          <w:rtl w:val="true"/>
        </w:rPr>
        <w:t>בכמה עבירות המהוות כמה אירועים</w:t>
      </w:r>
      <w:r>
        <w:rPr>
          <w:rtl w:val="true"/>
        </w:rPr>
        <w:t xml:space="preserve">" </w:t>
      </w:r>
      <w:r>
        <w:rPr>
          <w:rtl w:val="true"/>
        </w:rPr>
        <w:t xml:space="preserve">כלשונו של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 xml:space="preserve">זאת מפני שלא קיים </w:t>
      </w:r>
      <w:r>
        <w:rPr>
          <w:rtl w:val="true"/>
        </w:rPr>
        <w:t>"</w:t>
      </w:r>
      <w:r>
        <w:rPr>
          <w:rtl w:val="true"/>
        </w:rPr>
        <w:t>קשר הדוק</w:t>
      </w:r>
      <w:r>
        <w:rPr>
          <w:rtl w:val="true"/>
        </w:rPr>
        <w:t xml:space="preserve">" </w:t>
      </w:r>
      <w:r>
        <w:rPr>
          <w:rtl w:val="true"/>
        </w:rPr>
        <w:t xml:space="preserve">בין כל האירועים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אבר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4316/13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חג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אמה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30.10.2014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דלאל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 xml:space="preserve">)).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גם בעניין זה בית המשפט המחוזי בא לקראת המערערת ולא קבע מתחם עונש נפרד לגבי כל אישום ואישום</w:t>
      </w:r>
      <w:r>
        <w:rPr>
          <w:rtl w:val="true"/>
        </w:rPr>
        <w:t xml:space="preserve">, </w:t>
      </w:r>
      <w:r>
        <w:rPr>
          <w:rtl w:val="true"/>
        </w:rPr>
        <w:t xml:space="preserve">אלא מתחם אחד שבין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כאמור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כאמור בפי המערערת </w:t>
      </w:r>
      <w:r>
        <w:rPr>
          <w:rtl w:val="true"/>
        </w:rPr>
        <w:t>"</w:t>
      </w:r>
      <w:r>
        <w:rPr>
          <w:rtl w:val="true"/>
        </w:rPr>
        <w:t>טענת הגנה</w:t>
      </w:r>
      <w:r>
        <w:rPr>
          <w:rtl w:val="true"/>
        </w:rPr>
        <w:t xml:space="preserve">" </w:t>
      </w:r>
      <w:r>
        <w:rPr>
          <w:rtl w:val="true"/>
        </w:rPr>
        <w:t>על פיה היא נסחטה באיומים ונאלצה ליטול את הכספים כדי לשמור על בנותיה לבל יאונה להן רע</w:t>
      </w:r>
      <w:r>
        <w:rPr>
          <w:rtl w:val="true"/>
        </w:rPr>
        <w:t xml:space="preserve">. </w:t>
      </w:r>
      <w:r>
        <w:rPr>
          <w:rtl w:val="true"/>
        </w:rPr>
        <w:t xml:space="preserve">אלא שיש ממש בטענת המשיבה כי בטיעון זה קיימת מידה לא מעטה של </w:t>
      </w:r>
      <w:r>
        <w:rPr>
          <w:rtl w:val="true"/>
        </w:rPr>
        <w:t>"</w:t>
      </w:r>
      <w:r>
        <w:rPr>
          <w:rtl w:val="true"/>
        </w:rPr>
        <w:t>תאחז בזה וגם מזה אל תנח את ידך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קהלת</w:t>
      </w:r>
      <w:r>
        <w:rPr>
          <w:rtl w:val="true"/>
        </w:rPr>
        <w:t xml:space="preserve"> ז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היינו אם היה ממש בטענה</w:t>
      </w:r>
      <w:r>
        <w:rPr>
          <w:rtl w:val="true"/>
        </w:rPr>
        <w:t xml:space="preserve">, </w:t>
      </w:r>
      <w:r>
        <w:rPr>
          <w:rtl w:val="true"/>
        </w:rPr>
        <w:t>והסחיטה והאיומים של המאיים כלפי המערערת הם אלו שהניעו אותה ליטול את הכספים</w:t>
      </w:r>
      <w:r>
        <w:rPr>
          <w:rtl w:val="true"/>
        </w:rPr>
        <w:t xml:space="preserve">, </w:t>
      </w:r>
      <w:r>
        <w:rPr>
          <w:rtl w:val="true"/>
        </w:rPr>
        <w:t xml:space="preserve">הרי שעמדה לפניה הגנה של כורח על פי דין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משלא טענה המערערת להגנה מעין זו</w:t>
      </w:r>
      <w:r>
        <w:rPr>
          <w:rtl w:val="true"/>
        </w:rPr>
        <w:t xml:space="preserve">, </w:t>
      </w:r>
      <w:r>
        <w:rPr>
          <w:rtl w:val="true"/>
        </w:rPr>
        <w:t>והורשעה בהתאם להודאתה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הדבר מדבר בעד עצמו</w:t>
      </w:r>
      <w:r>
        <w:rPr>
          <w:rtl w:val="true"/>
        </w:rPr>
        <w:t xml:space="preserve">. </w:t>
      </w:r>
      <w:r>
        <w:rPr>
          <w:rtl w:val="true"/>
        </w:rPr>
        <w:t>על כך יש להוסיף באשר לטענת אכיפת דין בררנית</w:t>
      </w:r>
      <w:r>
        <w:rPr>
          <w:rtl w:val="true"/>
        </w:rPr>
        <w:t xml:space="preserve">, </w:t>
      </w:r>
      <w:r>
        <w:rPr>
          <w:rtl w:val="true"/>
        </w:rPr>
        <w:t>כי לא הונחה תשתית ראייתית לפני בית המשפט המחוזי שגניזת תלונת המערערת נעשתה תוך הפלייתה לעומת המאיים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לכל האמור</w:t>
      </w:r>
      <w:r>
        <w:rPr>
          <w:rtl w:val="true"/>
        </w:rPr>
        <w:t xml:space="preserve">, </w:t>
      </w:r>
      <w:r>
        <w:rPr>
          <w:rtl w:val="true"/>
        </w:rPr>
        <w:t>אין לשכוח כי לעבירות הגניבה התלוו עבירות מס לא פשוטות</w:t>
      </w:r>
      <w:r>
        <w:rPr>
          <w:rtl w:val="true"/>
        </w:rPr>
        <w:t xml:space="preserve">, </w:t>
      </w:r>
      <w:r>
        <w:rPr>
          <w:rtl w:val="true"/>
        </w:rPr>
        <w:t>אשר ראויות גם הן לתגובה עונשית הולמת</w:t>
      </w:r>
      <w:r>
        <w:rPr>
          <w:rtl w:val="true"/>
        </w:rPr>
        <w:t xml:space="preserve">. </w:t>
      </w:r>
      <w:r>
        <w:rPr>
          <w:rtl w:val="true"/>
        </w:rPr>
        <w:t>לא פעם הביע בית המשפט כי העונש הראוי בעבירות מס כגון אלו</w:t>
      </w:r>
      <w:r>
        <w:rPr>
          <w:rtl w:val="true"/>
        </w:rPr>
        <w:t xml:space="preserve">, </w:t>
      </w:r>
      <w:r>
        <w:rPr>
          <w:rtl w:val="true"/>
        </w:rPr>
        <w:t>הוא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כפי שנאמרו בהקשר זה במסגרת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חברת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וייס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ארנסט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211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), </w:t>
      </w:r>
      <w:r>
        <w:rPr>
          <w:rtl w:val="true"/>
        </w:rPr>
        <w:t>הדברים הבאים שלא נס ליחם</w:t>
      </w:r>
      <w:r>
        <w:rPr>
          <w:rtl w:val="true"/>
        </w:rPr>
        <w:t xml:space="preserve">: </w:t>
      </w:r>
    </w:p>
    <w:p>
      <w:pPr>
        <w:pStyle w:val="Normal"/>
        <w:shd w:fill="FFFFFF" w:val="clear"/>
        <w:ind w:hanging="1644" w:start="1644" w:end="1843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ומטביעה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.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צווארונו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לבן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והריהו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כצווארונו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ושודד</w:t>
      </w:r>
      <w:r>
        <w:rPr>
          <w:rtl w:val="true"/>
        </w:rPr>
        <w:t xml:space="preserve">, </w:t>
      </w:r>
      <w:r>
        <w:rPr>
          <w:rtl w:val="true"/>
        </w:rPr>
        <w:t>שהאחד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"...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 xml:space="preserve">..., </w:t>
      </w:r>
      <w:r>
        <w:rPr>
          <w:rtl w:val="true"/>
        </w:rPr>
        <w:t>וידעו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המסחר</w:t>
      </w:r>
      <w:r>
        <w:rPr>
          <w:rtl w:val="true"/>
        </w:rPr>
        <w:t xml:space="preserve">,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והתעשייה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218-217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גלם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 מנגד</w:t>
      </w:r>
      <w:r>
        <w:rPr>
          <w:rtl w:val="true"/>
        </w:rPr>
        <w:t xml:space="preserve">, </w:t>
      </w:r>
      <w:r>
        <w:rPr>
          <w:rtl w:val="true"/>
        </w:rPr>
        <w:t>קיימות כפי שפורטו לעיל</w:t>
      </w:r>
      <w:r>
        <w:rPr>
          <w:rtl w:val="true"/>
        </w:rPr>
        <w:t xml:space="preserve">, </w:t>
      </w:r>
      <w:r>
        <w:rPr>
          <w:rtl w:val="true"/>
        </w:rPr>
        <w:t>נסיבות לקולא בעניינה של המערערת ולא אמנה אותן שוב כרוכל</w:t>
      </w:r>
      <w:r>
        <w:rPr>
          <w:rtl w:val="true"/>
        </w:rPr>
        <w:t xml:space="preserve">. </w:t>
      </w:r>
      <w:r>
        <w:rPr>
          <w:rtl w:val="true"/>
        </w:rPr>
        <w:t>אומר רק כי בית המשפט המחוזי התחשב במערערת עד כמה שניתן</w:t>
      </w:r>
      <w:r>
        <w:rPr>
          <w:rtl w:val="true"/>
        </w:rPr>
        <w:t xml:space="preserve">, </w:t>
      </w:r>
      <w:r>
        <w:rPr>
          <w:rtl w:val="true"/>
        </w:rPr>
        <w:t>בא לקראתה באופן משמעותי בכך שקבע מתחם ענישה מתון ואף גזר לבסוף את הדין מתחת למתחם לקולא</w:t>
      </w:r>
      <w:r>
        <w:rPr>
          <w:rtl w:val="true"/>
        </w:rPr>
        <w:t xml:space="preserve">. </w:t>
      </w:r>
      <w:r>
        <w:rPr>
          <w:rtl w:val="true"/>
        </w:rPr>
        <w:t>יש גם רגליים מוצקות לאמרת בית המשפט המחוזי שברגיל בנסיבות העניין</w:t>
      </w:r>
      <w:r>
        <w:rPr>
          <w:rtl w:val="true"/>
        </w:rPr>
        <w:t xml:space="preserve">, </w:t>
      </w:r>
      <w:r>
        <w:rPr>
          <w:rtl w:val="true"/>
        </w:rPr>
        <w:t>היה מקום לגזור את דינה של המערערת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 יש גם לדחות את טענת המערערת כי שגה בית המשפט המחוזי בכך שדחה את בקשתה לקבלת תסקיר שירות מבחן בעניינה</w:t>
      </w:r>
      <w:r>
        <w:rPr>
          <w:rtl w:val="true"/>
        </w:rPr>
        <w:t xml:space="preserve">. </w:t>
      </w:r>
      <w:r>
        <w:rPr>
          <w:rtl w:val="true"/>
        </w:rPr>
        <w:t>כידוע אין חובת תסקיר בהטלת עונש מאסר לנאשם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מלאו לו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אכרזת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תסקיר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קצין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מבחן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1964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28.11.2016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6.7.2015</w:t>
      </w:r>
      <w:r>
        <w:rPr>
          <w:rtl w:val="true"/>
        </w:rPr>
        <w:t xml:space="preserve">);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4512/09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סבטלנה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רוסו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31.8.2010</w:t>
      </w:r>
      <w:r>
        <w:rPr>
          <w:rtl w:val="true"/>
        </w:rPr>
        <w:t xml:space="preserve">)). </w:t>
      </w:r>
      <w:r>
        <w:rPr>
          <w:rtl w:val="true"/>
        </w:rPr>
        <w:t xml:space="preserve">והלכה היא מקדמת דנא כי הזמנת תסקיר לנאשמים מעל גיל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מסורה לשיקול דעת בית המשפט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2.8.2015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11.6.2014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בעובדה שבית המשפט המחוזי לא ראה לנכון להזמין תסקיר על אודות המערערת</w:t>
      </w:r>
      <w:r>
        <w:rPr>
          <w:rtl w:val="true"/>
        </w:rPr>
        <w:t xml:space="preserve">, </w:t>
      </w:r>
      <w:r>
        <w:rPr>
          <w:rtl w:val="true"/>
        </w:rPr>
        <w:t>כדי להטות את הדין לעברהּ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גם נימק את החלטתו בעניין זה במסגרת החלטתו מיום </w:t>
      </w:r>
      <w:r>
        <w:rPr/>
        <w:t>2.1.2018</w:t>
      </w:r>
      <w:r>
        <w:rPr>
          <w:rtl w:val="true"/>
        </w:rPr>
        <w:t xml:space="preserve"> </w:t>
      </w:r>
      <w:r>
        <w:rPr>
          <w:rtl w:val="true"/>
        </w:rPr>
        <w:t>ובה ציין כי מטרת התסקיר במקרה זה הייתה אך לשמש כמתווה להבאת טענות המערערת באשר לנסיבות שהביאו אותה לביצוע המעשים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הייתה נחיצות לתסקיר שעה שהמערערת במסגרת הטיעונים לעונש יכלה בעצמה להסביר</w:t>
      </w:r>
      <w:r>
        <w:rPr>
          <w:rtl w:val="true"/>
        </w:rPr>
        <w:t xml:space="preserve">, </w:t>
      </w:r>
      <w:r>
        <w:rPr>
          <w:rtl w:val="true"/>
        </w:rPr>
        <w:t>שלא באמצעות תיווך שירות המבחן</w:t>
      </w:r>
      <w:r>
        <w:rPr>
          <w:rtl w:val="true"/>
        </w:rPr>
        <w:t xml:space="preserve">, </w:t>
      </w:r>
      <w:r>
        <w:rPr>
          <w:rtl w:val="true"/>
        </w:rPr>
        <w:t>מה הניע אותה לעבור את העבירות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מקום לשעות לטענת המערערת כי היה על בית המשפט המחוזי לקבל את בקשתה לארכה נוספת לצורך הפקדת יתרת כספי הגניבה</w:t>
      </w:r>
      <w:r>
        <w:rPr>
          <w:rtl w:val="true"/>
        </w:rPr>
        <w:t xml:space="preserve">. </w:t>
      </w:r>
      <w:r>
        <w:rPr>
          <w:rtl w:val="true"/>
        </w:rPr>
        <w:t>לשם החזרת יתרת הכספים נתבקשו במשך כמעט שנתיים ימים</w:t>
      </w:r>
      <w:r>
        <w:rPr>
          <w:rtl w:val="true"/>
        </w:rPr>
        <w:t xml:space="preserve">, </w:t>
      </w:r>
      <w:r>
        <w:rPr>
          <w:rtl w:val="true"/>
        </w:rPr>
        <w:t xml:space="preserve">החל ממועד הרשעתה על פי הודאתה ביום </w:t>
      </w:r>
      <w:r>
        <w:rPr/>
        <w:t>25.10.2017</w:t>
      </w:r>
      <w:r>
        <w:rPr>
          <w:rtl w:val="true"/>
        </w:rPr>
        <w:t xml:space="preserve"> </w:t>
      </w:r>
      <w:r>
        <w:rPr>
          <w:rtl w:val="true"/>
        </w:rPr>
        <w:t xml:space="preserve">ועד למתן גזר הדין ביום </w:t>
      </w:r>
      <w:r>
        <w:rPr/>
        <w:t>4.7.2019</w:t>
      </w:r>
      <w:r>
        <w:rPr>
          <w:rtl w:val="true"/>
        </w:rPr>
        <w:t xml:space="preserve">, </w:t>
      </w:r>
      <w:r>
        <w:rPr>
          <w:rtl w:val="true"/>
        </w:rPr>
        <w:t xml:space="preserve">בקשות רבות </w:t>
      </w:r>
      <w:r>
        <w:rPr>
          <w:rtl w:val="true"/>
        </w:rPr>
        <w:t>(</w:t>
      </w:r>
      <w:r>
        <w:rPr>
          <w:rtl w:val="true"/>
        </w:rPr>
        <w:t>כפי שעולה מעיון במערכת נט המשפט</w:t>
      </w:r>
      <w:r>
        <w:rPr>
          <w:rtl w:val="true"/>
        </w:rPr>
        <w:t xml:space="preserve">, </w:t>
      </w:r>
      <w:r>
        <w:rPr>
          <w:rtl w:val="true"/>
        </w:rPr>
        <w:t>למעלה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בקשות דחייה</w:t>
      </w:r>
      <w:r>
        <w:rPr>
          <w:rtl w:val="true"/>
        </w:rPr>
        <w:t xml:space="preserve">) </w:t>
      </w:r>
      <w:r>
        <w:rPr>
          <w:rtl w:val="true"/>
        </w:rPr>
        <w:t>לדחיית מועד הדיון</w:t>
      </w:r>
      <w:r>
        <w:rPr>
          <w:rtl w:val="true"/>
        </w:rPr>
        <w:t xml:space="preserve">. </w:t>
      </w:r>
      <w:r>
        <w:rPr>
          <w:rtl w:val="true"/>
        </w:rPr>
        <w:t>ולא למותר לציין במסגרת זו</w:t>
      </w:r>
      <w:r>
        <w:rPr>
          <w:rtl w:val="true"/>
        </w:rPr>
        <w:t xml:space="preserve">, </w:t>
      </w:r>
      <w:r>
        <w:rPr>
          <w:rtl w:val="true"/>
        </w:rPr>
        <w:t>שהמערערת לא השלימה עד היום את החזרת הכספים מעבר למה שהשיבה עד יום מתן גזר דינה</w:t>
      </w:r>
      <w:r>
        <w:rPr>
          <w:rtl w:val="true"/>
        </w:rPr>
        <w:t xml:space="preserve">. </w:t>
      </w:r>
      <w:r>
        <w:rPr>
          <w:rtl w:val="true"/>
        </w:rPr>
        <w:t>על כן קשה להלום את טענתה שהיה על בית המשפט לדחות עוד את מועד מתן גזר הדין כדי לאפשר לה להשלים את הדבר עובר לגזירת דינה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 לכל כל האמור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bidi w:val="0"/>
        <w:rPr/>
      </w:pPr>
      <w:r>
        <w:rPr>
          <w:rFonts w:ascii="FrankRuehl" w:hAnsi="FrankRuehl"/>
          <w:sz w:val="28"/>
          <w:sz w:val="28"/>
          <w:rtl w:val="true"/>
        </w:rPr>
        <w:t>ש ו פ 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1"/>
        <w:shd w:fill="FFFFFF" w:val="clear"/>
        <w:ind w:end="0"/>
        <w:jc w:val="start"/>
        <w:rPr>
          <w:rFonts w:ascii="Miriam" w:hAnsi="Miriam" w:cs="Miriam"/>
          <w:sz w:val="24"/>
          <w:szCs w:val="24"/>
          <w:u w:val="single"/>
        </w:rPr>
      </w:pP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המשנה לנשיאה ח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 w:ascii="Miriam" w:hAnsi="Miriam"/>
          <w:sz w:val="24"/>
          <w:szCs w:val="24"/>
          <w:u w:val="single"/>
          <w:rtl w:val="true"/>
        </w:rPr>
        <w:t>: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end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 ו פ ט</w:t>
      </w:r>
    </w:p>
    <w:p>
      <w:pPr>
        <w:pStyle w:val="ruller411"/>
        <w:shd w:fill="FFFFFF" w:val="clear"/>
        <w:ind w:end="0"/>
        <w:jc w:val="end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tl w:val="true"/>
        </w:rPr>
        <w:t xml:space="preserve">השופט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>: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end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 ו פ 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ת</w:t>
      </w:r>
      <w:r>
        <w:rPr>
          <w:rtl w:val="true"/>
        </w:rPr>
        <w:t>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עליה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24.5.2020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 xml:space="preserve">במקום אחר שייקבע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ה</w:t>
      </w:r>
      <w:r>
        <w:rPr>
          <w:rtl w:val="true"/>
        </w:rPr>
        <w:t xml:space="preserve">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מערערת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17.3.2020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19051390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רד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54678313-5139/19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5139/19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איה שרה לביא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bodyverdict1">
    <w:name w:val="bodyverdict"/>
    <w:basedOn w:val="Normal"/>
    <w:qFormat/>
    <w:pPr>
      <w:textAlignment w:val="auto"/>
    </w:pPr>
    <w:rPr>
      <w:rFonts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332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jb" TargetMode="External"/><Relationship Id="rId5" Type="http://schemas.openxmlformats.org/officeDocument/2006/relationships/hyperlink" Target="http://www.nevo.co.il/law/70301/393.2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20.1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1557" TargetMode="External"/><Relationship Id="rId11" Type="http://schemas.openxmlformats.org/officeDocument/2006/relationships/hyperlink" Target="http://www.nevo.co.il/case/21633290" TargetMode="External"/><Relationship Id="rId12" Type="http://schemas.openxmlformats.org/officeDocument/2006/relationships/hyperlink" Target="http://www.nevo.co.il/law/70301/393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84255/220.1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84255/220.5" TargetMode="External"/><Relationship Id="rId17" Type="http://schemas.openxmlformats.org/officeDocument/2006/relationships/hyperlink" Target="http://www.nevo.co.il/law/70301/34jb" TargetMode="External"/><Relationship Id="rId18" Type="http://schemas.openxmlformats.org/officeDocument/2006/relationships/hyperlink" Target="http://www.nevo.co.il/case/26287879" TargetMode="External"/><Relationship Id="rId19" Type="http://schemas.openxmlformats.org/officeDocument/2006/relationships/hyperlink" Target="http://www.nevo.co.il/case/26051088" TargetMode="External"/><Relationship Id="rId20" Type="http://schemas.openxmlformats.org/officeDocument/2006/relationships/hyperlink" Target="http://www.nevo.co.il/case/24263344" TargetMode="External"/><Relationship Id="rId21" Type="http://schemas.openxmlformats.org/officeDocument/2006/relationships/hyperlink" Target="http://www.nevo.co.il/case/26082398" TargetMode="External"/><Relationship Id="rId22" Type="http://schemas.openxmlformats.org/officeDocument/2006/relationships/hyperlink" Target="http://www.nevo.co.il/case/7009926" TargetMode="External"/><Relationship Id="rId23" Type="http://schemas.openxmlformats.org/officeDocument/2006/relationships/hyperlink" Target="http://www.nevo.co.il/case/17948120" TargetMode="External"/><Relationship Id="rId24" Type="http://schemas.openxmlformats.org/officeDocument/2006/relationships/hyperlink" Target="http://www.nevo.co.il/case/7678677" TargetMode="External"/><Relationship Id="rId25" Type="http://schemas.openxmlformats.org/officeDocument/2006/relationships/hyperlink" Target="http://www.nevo.co.il/case/5587820" TargetMode="External"/><Relationship Id="rId26" Type="http://schemas.openxmlformats.org/officeDocument/2006/relationships/hyperlink" Target="http://www.nevo.co.il/case/5592242" TargetMode="External"/><Relationship Id="rId27" Type="http://schemas.openxmlformats.org/officeDocument/2006/relationships/hyperlink" Target="http://www.nevo.co.il/case/7681179" TargetMode="External"/><Relationship Id="rId28" Type="http://schemas.openxmlformats.org/officeDocument/2006/relationships/hyperlink" Target="http://www.nevo.co.il/case/5802143" TargetMode="External"/><Relationship Id="rId29" Type="http://schemas.openxmlformats.org/officeDocument/2006/relationships/hyperlink" Target="http://www.nevo.co.il/case/11303307" TargetMode="External"/><Relationship Id="rId30" Type="http://schemas.openxmlformats.org/officeDocument/2006/relationships/hyperlink" Target="http://www.nevo.co.il/case/6095141" TargetMode="External"/><Relationship Id="rId31" Type="http://schemas.openxmlformats.org/officeDocument/2006/relationships/hyperlink" Target="http://www.nevo.co.il/case/5611910" TargetMode="External"/><Relationship Id="rId32" Type="http://schemas.openxmlformats.org/officeDocument/2006/relationships/hyperlink" Target="http://www.nevo.co.il/case/5608415" TargetMode="External"/><Relationship Id="rId33" Type="http://schemas.openxmlformats.org/officeDocument/2006/relationships/hyperlink" Target="http://www.nevo.co.il/case/5607979" TargetMode="External"/><Relationship Id="rId34" Type="http://schemas.openxmlformats.org/officeDocument/2006/relationships/hyperlink" Target="http://www.nevo.co.il/case/22578446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case/13093721" TargetMode="External"/><Relationship Id="rId37" Type="http://schemas.openxmlformats.org/officeDocument/2006/relationships/hyperlink" Target="http://www.nevo.co.il/case/7680382" TargetMode="External"/><Relationship Id="rId38" Type="http://schemas.openxmlformats.org/officeDocument/2006/relationships/hyperlink" Target="http://www.nevo.co.il/case/20033641" TargetMode="External"/><Relationship Id="rId39" Type="http://schemas.openxmlformats.org/officeDocument/2006/relationships/hyperlink" Target="http://www.nevo.co.il/law/70301/34jb" TargetMode="External"/><Relationship Id="rId40" Type="http://schemas.openxmlformats.org/officeDocument/2006/relationships/hyperlink" Target="http://www.nevo.co.il/case/17946174" TargetMode="External"/><Relationship Id="rId41" Type="http://schemas.openxmlformats.org/officeDocument/2006/relationships/hyperlink" Target="http://www.nevo.co.il/case/5589547" TargetMode="External"/><Relationship Id="rId42" Type="http://schemas.openxmlformats.org/officeDocument/2006/relationships/hyperlink" Target="http://www.nevo.co.il/law/71557" TargetMode="External"/><Relationship Id="rId43" Type="http://schemas.openxmlformats.org/officeDocument/2006/relationships/hyperlink" Target="http://www.nevo.co.il/case/20135914" TargetMode="External"/><Relationship Id="rId44" Type="http://schemas.openxmlformats.org/officeDocument/2006/relationships/hyperlink" Target="http://www.nevo.co.il/case/5841752" TargetMode="External"/><Relationship Id="rId45" Type="http://schemas.openxmlformats.org/officeDocument/2006/relationships/hyperlink" Target="http://www.nevo.co.il/case/5961859" TargetMode="External"/><Relationship Id="rId46" Type="http://schemas.openxmlformats.org/officeDocument/2006/relationships/hyperlink" Target="http://www.nevo.co.il/case/17954253" TargetMode="External"/><Relationship Id="rId47" Type="http://schemas.openxmlformats.org/officeDocument/2006/relationships/hyperlink" Target="http://www.nevo.co.il/case/11269856" TargetMode="External"/><Relationship Id="rId48" Type="http://schemas.openxmlformats.org/officeDocument/2006/relationships/hyperlink" Target="http://supreme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2020-03-18T10:36:00Z</dcterms:created>
  <dc:creator>h4</dc:creator>
  <dc:description/>
  <cp:keywords/>
  <dc:language>en-IL</dc:language>
  <cp:lastModifiedBy>orly</cp:lastModifiedBy>
  <cp:lastPrinted>2020-03-17T12:20:00Z</cp:lastPrinted>
  <dcterms:modified xsi:type="dcterms:W3CDTF">2020-03-18T10:36:00Z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איה שרה לביא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21633290:2;26287879;26051088;24263344;26082398;7009926;17948120;7678677;5587820;5592242;7681179;5802143;11303307;6095141;5611910;5608415;5607979;22578446;13093721;7680382;20033641;17946174;5589547;20135914;5841752;5961859;17954253;11269856</vt:lpwstr>
  </property>
  <property fmtid="{D5CDD505-2E9C-101B-9397-08002B2CF9AE}" pid="9" name="CITY">
    <vt:lpwstr/>
  </property>
  <property fmtid="{D5CDD505-2E9C-101B-9397-08002B2CF9AE}" pid="10" name="DATE">
    <vt:lpwstr>20200317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מינץ;ח' מלצר</vt:lpwstr>
  </property>
  <property fmtid="{D5CDD505-2E9C-101B-9397-08002B2CF9AE}" pid="14" name="LAWLISTTMP1">
    <vt:lpwstr>70301/393.2;34jb:2;40jc</vt:lpwstr>
  </property>
  <property fmtid="{D5CDD505-2E9C-101B-9397-08002B2CF9AE}" pid="15" name="LAWLISTTMP2">
    <vt:lpwstr>84255/220.1;220.5</vt:lpwstr>
  </property>
  <property fmtid="{D5CDD505-2E9C-101B-9397-08002B2CF9AE}" pid="16" name="LAWLISTTMP3">
    <vt:lpwstr>71557</vt:lpwstr>
  </property>
  <property fmtid="{D5CDD505-2E9C-101B-9397-08002B2CF9AE}" pid="17" name="LAWYER">
    <vt:lpwstr>אושרה פטל רוזנברג;שי נודל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מדיניות ענישה: עבירות כלכליות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 לחומרה</vt:lpwstr>
  </property>
  <property fmtid="{D5CDD505-2E9C-101B-9397-08002B2CF9AE}" pid="53" name="NOSE33">
    <vt:lpwstr>התערבות ערכאת הערעור</vt:lpwstr>
  </property>
  <property fmtid="{D5CDD505-2E9C-101B-9397-08002B2CF9AE}" pid="54" name="NOSE34">
    <vt:lpwstr>שיקולי ענישה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8987;8995;8978;15506</vt:lpwstr>
  </property>
  <property fmtid="{D5CDD505-2E9C-101B-9397-08002B2CF9AE}" pid="61" name="PADIDATE">
    <vt:lpwstr>20200318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5139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410120200317</vt:lpwstr>
  </property>
  <property fmtid="{D5CDD505-2E9C-101B-9397-08002B2CF9AE}" pid="71" name="TYPE_N_DATE">
    <vt:lpwstr>41020200317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