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5167/22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סגנית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נבו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תמיר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3.7.2022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</w:rPr>
              <w:t>14067-06-18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27.12.2022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עוז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גבריאל הלוי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תורת דיני הראיות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00"/>
          <w:sz w:val="24"/>
        </w:rPr>
      </w:pPr>
      <w:r>
        <w:rPr>
          <w:rFonts w:cs="FrankRuehl" w:ascii="FrankRuehl" w:hAnsi="FrankRuehl"/>
          <w:color w:val="000000"/>
          <w:sz w:val="24"/>
          <w:rtl w:val="true"/>
        </w:rPr>
      </w:r>
      <w:bookmarkStart w:id="6" w:name="Links_End"/>
      <w:bookmarkStart w:id="7" w:name="Links_End"/>
      <w:bookmarkEnd w:id="7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8" w:name="LawTable"/>
      <w:bookmarkEnd w:id="8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u w:val="none"/>
          </w:rPr>
          <w:t>37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354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354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354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אכרזת דרכי ענישה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תסקיר של קצין מבחן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לתיקון דיני העונשין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דרכי ענישה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19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ז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215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1" w:name="ABSTRACT_START"/>
      <w:bookmarkEnd w:id="11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רעור על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המערער בעבירות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משפחה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עילה המצדיקה התערבות בהכרעת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כי לא ניתן היה לגזור את דינו בטרם 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תסקיר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חובת עריכת תסקיר על מי שטרם מלאו לו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בעת ביצוע 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מקרה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זה בו המערער הורשע בהיותו מעל גיל </w:t>
      </w:r>
      <w:r>
        <w:rPr>
          <w:rFonts w:cs="Times New Roman" w:ascii="Times New Roman" w:hAnsi="Times New Roman"/>
          <w:spacing w:val="0"/>
          <w:sz w:val="24"/>
          <w:szCs w:val="26"/>
        </w:rPr>
        <w:t>50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 עבירות שביצע בהיותו בן פחות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חל הרציונל שבבסיס החובה לקבל תסקיר וניתן לקבוע כי אין כל סיכוי שקבלת תסקיר הייתה משפיעה על גזר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קבלת תסקיר אינה גורמת עיוות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ומשכך אין בה כדי לגרוע מתוקפו של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המאסר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בן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אינו 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ורג לחומרא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להפריז בחלוף הזמן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 ניתן משקל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תסקיר שירות מבחן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 התערבות בממצאים עובדתיים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במידת 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רעור על 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של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בגדרו הורשע המערער בעבירות של תקיפה מינית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מגונה בבת משפחה ומעשה מגונה בפני קטינה בת 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המעשים בוצעו כלפי המתלוננת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אחותו מצד אביו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19</w:t>
      </w:r>
      <w:r>
        <w:rPr>
          <w:rFonts w:cs="Times New Roman" w:ascii="Times New Roman" w:hAnsi="Times New Roman"/>
          <w:spacing w:val="0"/>
          <w:sz w:val="24"/>
          <w:szCs w:val="26"/>
        </w:rPr>
        <w:t>93-</w:t>
      </w:r>
      <w:r>
        <w:rPr>
          <w:rFonts w:cs="Times New Roman" w:ascii="Times New Roman" w:hAnsi="Times New Roman"/>
          <w:spacing w:val="0"/>
          <w:sz w:val="24"/>
          <w:szCs w:val="26"/>
        </w:rPr>
        <w:t>19</w:t>
      </w:r>
      <w:r>
        <w:rPr>
          <w:rFonts w:cs="Times New Roman" w:ascii="Times New Roman" w:hAnsi="Times New Roman"/>
          <w:spacing w:val="0"/>
          <w:sz w:val="24"/>
          <w:szCs w:val="26"/>
        </w:rPr>
        <w:t>88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עת היה המערער בן </w:t>
      </w:r>
      <w:r>
        <w:rPr>
          <w:rFonts w:cs="Times New Roman" w:ascii="Times New Roman" w:hAnsi="Times New Roman"/>
          <w:spacing w:val="0"/>
          <w:sz w:val="24"/>
          <w:szCs w:val="26"/>
        </w:rPr>
        <w:t>23-18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והמתלוננת בת </w:t>
      </w:r>
      <w:r>
        <w:rPr>
          <w:rFonts w:cs="Times New Roman" w:ascii="Times New Roman" w:hAnsi="Times New Roman"/>
          <w:spacing w:val="0"/>
          <w:sz w:val="24"/>
          <w:szCs w:val="26"/>
        </w:rPr>
        <w:t>12-7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 האישום נגד המערער הוגש למשטרה עת מלאו לה למעלה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מאסר בפועל למשך </w:t>
      </w:r>
      <w:r>
        <w:rPr>
          <w:rFonts w:cs="Times New Roman" w:ascii="Times New Roman" w:hAnsi="Times New Roman"/>
          <w:spacing w:val="0"/>
          <w:sz w:val="24"/>
          <w:szCs w:val="26"/>
        </w:rPr>
        <w:t>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ותשלום פיצוי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נסוב על הכרעת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הדין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וילנר ובהסכמת השופטים עמית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מדרכה של ערכאת הערעור להתערב בממצאי עובדה ומהימנות שקבעה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לכלל זה משקל רב במיוחד בנוגע לעבירות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וביתר שאת לעבירות מין במשפחה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מקום לחרוג מהכלל שלפיו ערכאת הערעור לא תתערב בממצאי עובדה ומהימנות שקבעה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 המערער מבוססת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בראש ובראשונה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מסקנת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 מהימנותה הרבה של עדות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לעומת מסקנתו בדבר הקשיים הניכרים בעדות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מסקנות אלו מבוססות על התרשמותו הישירה של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 מהמתלוננת ומהמערער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שיתרונות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שבכוחה לעמוד 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אותות האמת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שבעדויות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באים לביטוי מובהק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קביעות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 מהימנות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נטועות עמוק בהתרשמותו הבלתי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אמצעית ממנה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להתערב בקביעותיו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טענות המערער בדבר קביעותיו העובדתיות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נדחו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ונדחתה 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ענת 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אין די בחיזוקים לעדות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שעליהם הצביע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להביא להרשעתו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הוסיף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לזקוף לחובתן של נפגעות עבירות מין את הגשת התלונה כעבור זמן 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בוודאי כשהעבירות בוצעו בהן שעה שהיו קטינות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 לא הצביע על עילה המצדיקה התערבות בהכרעת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כי לא ניתן היה לגזור את דינו בטרם התקבל תסקיר בעניינו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סעיף </w:t>
      </w:r>
      <w:r>
        <w:rPr>
          <w:rFonts w:cs="Times New Roman" w:ascii="Times New Roman" w:hAnsi="Times New Roman"/>
          <w:spacing w:val="0"/>
          <w:sz w:val="24"/>
          <w:szCs w:val="26"/>
        </w:rPr>
        <w:t>38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משניתן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 בהיעדר תסקיר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שזה בטל מעיקרו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להטיל עונש מאסר בפועל על מי שטרם מלאו לו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בעת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לאחר קבלת תסקיר משירות 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למצבו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שיכול לכלול המלצה לעונש שעשוי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להחזיר את הנאשם למוטב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הרציונל לחובת עריכת תסקיר ביחס למי שטרם מלאו לו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כשביצע את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נעוץ בשיקולי שיקום של נאשמים צעירים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כשהתסקיר נועד לאפשר 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לבחון כיצד עונש מאסר בפועל ישפיע על סיכויי השיקום של הנידון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גילו הצעיר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דומה כי מחוקק המשנה הניח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כי מי שביצע עבירה בטרם מלאו לו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יועמד לדין בסמיכות זמנים יחסית למועד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שייחשב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נאשם 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גזירת 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חובת עריכת התסקיר על כל מי שטרם מלאו לו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בעת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בדיעבד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מתברר כי הערכאה הדיונית לא עמדה בחובה 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אז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בהן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סיכוי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תסקיר כאמור יוכל לתרום לנאשם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ובנסיבות אלו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שאין באי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קבלת תסקיר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טרם הטלת עונש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לגרוע מתוקפו של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לנוכח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215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שקובע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 המשפט רשאי לדחות ערעור אף אם קיבל טענה שנטענה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היה סבור כי לא נגרם עיוות 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אמנם ביצע חלק מהעבירות המיוחסות לו בכתב האישום בטרם מלאו לו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כתב האישום נגדו הוגש כשהיה כבן </w:t>
      </w:r>
      <w:r>
        <w:rPr>
          <w:rFonts w:cs="Times New Roman" w:ascii="Times New Roman" w:hAnsi="Times New Roman"/>
          <w:spacing w:val="0"/>
          <w:sz w:val="24"/>
          <w:szCs w:val="26"/>
        </w:rPr>
        <w:t>48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הורשע כשמלאו לו למעלה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50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לכן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חל הרציונל שבבסיס החובה לקבל תסקיר וניתן לקבוע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סיכוי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שקבלת תסקיר מאסר הייתה משפיעה על גזר דינו של 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המסקנה שלפיה לא היה בקיומו של תסקיר כדי להשפיע על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נתמכת בעובדה שהמערער מכחיש עד היום את ביצוע המעשים שבגינם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הביע עליהם חרטה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שמקשה לקבוע כי היה בשיקולי שיקום כדי להוביל לשינוי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קבלת תסקיר במקרה דנן אינה גורמת עיוות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כאמור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בסעיף </w:t>
      </w:r>
      <w:r>
        <w:rPr>
          <w:rFonts w:cs="Times New Roman" w:ascii="Times New Roman" w:hAnsi="Times New Roman"/>
          <w:spacing w:val="0"/>
          <w:sz w:val="24"/>
          <w:szCs w:val="26"/>
        </w:rPr>
        <w:t>215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ומשכך אין בה כדי לגרוע מתוקפו של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דומה כי על מחוקק המשנה לתקן את ההוראות הרלוונטיות כך שחובת קבלת תסקיר בנסיבות הנדונות תיגזר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רק מגיל הנידון בעת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אף מגילו בעת גזירת 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המאסר שהושת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אינו 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ורג לחומרא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קיצוני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ממדיניות הענישה הנוהגת בנסיבות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המחוזי התחשב בגזר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במסגרת השיקולים לקולא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בחלוף הזמן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אך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 זה אינו העיקר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להפריז במשקלו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 בתוך המשפחה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מאופיינות פעמים רבות בחלוף פרק זמן משמעותי בין מועד ביצוע המעשים לבין מועד הגשת התלונה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הקושי העצום של הנפגע לחשוף את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ההכרה בכך הובילה את המחוקק לקבוע כי בעבירות מסוג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תקופת ההתיישנות על העבירות תחל מעת שמלאו לנפגע העבירה </w:t>
      </w:r>
      <w:r>
        <w:rPr>
          <w:rFonts w:cs="Times New Roman" w:ascii="Times New Roman" w:hAnsi="Times New Roman"/>
          <w:spacing w:val="0"/>
          <w:sz w:val="24"/>
          <w:szCs w:val="26"/>
        </w:rPr>
        <w:t>28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BeginProtocol"/>
            <w:bookmarkStart w:id="16" w:name="secretary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תמיר</w:t>
      </w:r>
      <w:r>
        <w:rPr>
          <w:rFonts w:cs="Century" w:ascii="Century" w:hAnsi="Century"/>
          <w:rtl w:val="true"/>
        </w:rPr>
        <w:t xml:space="preserve">)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14067-06-18</w:t>
        </w:r>
      </w:hyperlink>
      <w:r>
        <w:rPr>
          <w:rtl w:val="true"/>
        </w:rPr>
        <w:t xml:space="preserve"> (</w:t>
      </w:r>
      <w:r>
        <w:rPr>
          <w:rtl w:val="true"/>
        </w:rPr>
        <w:t>הכרעת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30.1.2022</w:t>
      </w:r>
      <w:r>
        <w:rPr>
          <w:rtl w:val="true"/>
        </w:rPr>
        <w:t xml:space="preserve"> </w:t>
      </w:r>
      <w:r>
        <w:rPr>
          <w:rtl w:val="true"/>
        </w:rPr>
        <w:t>וגזר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3.7.2022</w:t>
      </w:r>
      <w:r>
        <w:rPr>
          <w:rtl w:val="true"/>
        </w:rPr>
        <w:t xml:space="preserve">), </w:t>
      </w:r>
      <w:r>
        <w:rPr>
          <w:rFonts w:ascii="Century" w:hAnsi="Century" w:cs="Century"/>
          <w:rtl w:val="true"/>
        </w:rPr>
        <w:t>בגדרו הורשע המערער בעבירות של תקיפה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מעשה מגונה בבת משפחה ומעשה מגונה בפני קטינה בת משפחה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ונגזרו עליו מאסר בפועל למשך שמונה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מאסר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ותשלום פיצוי לנפגעת העבירה בסכום של </w:t>
      </w:r>
      <w:r>
        <w:rPr>
          <w:rFonts w:cs="Century" w:ascii="Century" w:hAnsi="Century"/>
        </w:rPr>
        <w:t>150,000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הערעור שלפנינו נסוב הן על הכרעת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על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7.6.2018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הוגש כתב אישום נגד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המייחס לו ריבוי עבירות של תקיפה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מעשה מגונה בבת משפחה ומעשה מגונה בפני קטינה בת 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בגין מעשים שביצע באחותו מצד אביו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בתקופה שבין חודש מאי </w:t>
      </w:r>
      <w:r>
        <w:rPr>
          <w:rFonts w:cs="Century" w:ascii="Century" w:hAnsi="Century"/>
        </w:rPr>
        <w:t>1988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ועד לשנת </w:t>
      </w:r>
      <w:r>
        <w:rPr>
          <w:rFonts w:cs="Century" w:ascii="Century" w:hAnsi="Century"/>
        </w:rPr>
        <w:t>1993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עת היה המערער בן </w:t>
      </w:r>
      <w:r>
        <w:rPr>
          <w:rFonts w:cs="Century" w:ascii="Century" w:hAnsi="Century"/>
        </w:rPr>
        <w:t>23-18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והמתלוננת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בת </w:t>
      </w:r>
      <w:r>
        <w:rPr>
          <w:rFonts w:cs="Century" w:ascii="Century" w:hAnsi="Century"/>
        </w:rPr>
        <w:t>12-7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שיפורט להלן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התקופה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ביצע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בהזדמנויות רבות ובתדירות גבוהה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עבירות מין במתלוננת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בבית שבו התגוררה עם בני משפחתה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כשבתקופה זו התגורר גם המערער בבית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מרבית העבירות בוצעו בחדרו של המערער שהיה במרתף הבית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בעליית הגג של הבית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בזמן שאמה של המתלוננת לא שהתה בבית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שהמערער גרם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באמתלות 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לשני אחיה של המתלוננת להיכנס לחדרם או לצאת מהבית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בהזדמנויות רבות הפשיל המערער את חצאיתה של המתלוננת ואת תחתוניה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את מכנסיו ותחתוניו שלו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הורה למתלוננת לשכב על בטנה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נשכב על גבה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וחיכך את איבר מינו בישבנה עד שהגיע לסיפוק מיני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(-)</w:t>
        <w:tab/>
      </w:r>
      <w:r>
        <w:rPr>
          <w:rFonts w:ascii="Century" w:hAnsi="Century" w:cs="Century"/>
          <w:rtl w:val="true"/>
        </w:rPr>
        <w:t>בהזדמנויות רבות הפשיל המערער את חצאיתה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הסיט את תחתוניה ומישש באצבעותיו את איבר מינה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שהגיע לסיפוק מיני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בהזדמנויות רבות לקח המערער בידו את ידה של המתלוננת ושפשף באמצעותה את איבר מינו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שהגיע לסיפוק מיני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(-)</w:t>
        <w:tab/>
      </w:r>
      <w:r>
        <w:rPr>
          <w:rFonts w:ascii="Century" w:hAnsi="Century" w:cs="Century"/>
          <w:rtl w:val="true"/>
        </w:rPr>
        <w:t>בעת ביצוע המעשים המתוארים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הקרין המערער סרטים פורנוגרפיים בפני המתלוננת וצפה בהם יחד עמה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הראה לה חוברות בעלות תוכן פורנוגרפי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במועד מסוים בשנת </w:t>
      </w:r>
      <w:r>
        <w:rPr>
          <w:rFonts w:cs="Century" w:ascii="Century" w:hAnsi="Century"/>
        </w:rPr>
        <w:t>1990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בשנת </w:t>
      </w:r>
      <w:r>
        <w:rPr>
          <w:rFonts w:cs="Century" w:ascii="Century" w:hAnsi="Century"/>
        </w:rPr>
        <w:t>1991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בסמוך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הושיב המערער את המתלוננת בסלון הבית מול הטלוויזיה והקרין בפניה סרט פורנוגרפי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בזמן הצפייה בסרט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התיישב המערער צמוד למתלוננת ונגע באיבר מינה באמצעות ידיו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מתחת לתחתוניה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הרים את חצאיתה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הפשיט את תחתוניה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פשט את מכנסיו ואת תחתוניו והושיב אותה על ברכיו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בצמוד לאיבר מינו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שהמשיך למשש את איבר מינה בידיו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עד שהגיע לסיפוק מיני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בהזדמנויות 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במהלך התקופה שמיום </w:t>
      </w:r>
      <w:r>
        <w:rPr>
          <w:rFonts w:cs="Century" w:ascii="Century" w:hAnsi="Century"/>
        </w:rPr>
        <w:t>10.8.1990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ועד לשנת </w:t>
      </w:r>
      <w:r>
        <w:rPr>
          <w:rFonts w:cs="Century" w:ascii="Century" w:hAnsi="Century"/>
        </w:rPr>
        <w:t>1993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בסמוך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התפשט המערער ואונן בפני המתלוננת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כשהיו לבדם בבית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עד שהגיע לסיפוק מיני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שהקרין בפניה סרט פורנוגרפי או הראה לה חוברת שיש בה תוכן פורנוגרפי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ביצוע המעשים שתוארו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הורה המערער למתלוננת שלא תספר לאימה על המעשים שביצע בה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החל ממועד מסוים במהלך התקופה הרלוונטית לכתב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החלה המתלוננת להתנגד למעשי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זה לא שמע לקולה והמשיך במעשיו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באומרו שאין פסול במעשים וש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זה כיף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ככל שהתבגרה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הפכה התנגדותה לתקיפה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במועד מסוים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כשהייתה המתלוננת בכיתה ו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נכנס המערער לחדרה בבית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הרים אותה והחל לנשקה וללקק את צווארה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המתלוננת אמרה לו בתקיפות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די כבר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מספיק</w:t>
      </w:r>
      <w:r>
        <w:rPr>
          <w:rFonts w:cs="Century" w:ascii="Century" w:hAnsi="Century"/>
          <w:rtl w:val="true"/>
        </w:rPr>
        <w:t xml:space="preserve">!", </w:t>
      </w:r>
      <w:r>
        <w:rPr>
          <w:rFonts w:ascii="Century" w:hAnsi="Century" w:cs="Century"/>
          <w:rtl w:val="true"/>
        </w:rPr>
        <w:t>והוא חדל ממעשיו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לאחר מקרה זה ועד לשנת 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בסמוך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ניסה המערער בהזדמנויות שונות לשוב ולבצע מעשים מגונים במתלוננת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בפניה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היא התנגדה נחרצות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והמערער חדל ממעשיו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התקופה הרלוונטית לכתב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1997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פנה למתלוננת ברחוב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אמר לה שראה מישהי יפה ושהוא מגורה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והציע למתלוננת כסף על מנת שתיגע באיבר מינו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נמלטה מהמקום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אציין כבר עתה כי תלונת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שבעקבותיה הוגש כתב האישום דנן נגד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הוגשה למשטרה ביום </w:t>
      </w:r>
      <w:r>
        <w:rPr>
          <w:rFonts w:cs="Century" w:ascii="Century" w:hAnsi="Century"/>
        </w:rPr>
        <w:t>31.12.2013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עת מלאו לה למעלה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תלונתה התייחסה הן לפגיעות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לפגיעות מיניות שעברה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אביהם של המתלוננת והמערער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האב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אשר לאב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ציינה בתלונתה כי אירוע אחד שזכור לה התרחש בטרם מלאו לה חמש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שלגבי אירוע נוסף איננה בטוחה אם אירע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שמא היה חלום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הוחלט לסגור את התיק נגד האב בשל קושי ראייתי להגיש נגדו כתב אישום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כמו כן יצוין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להשלמת התמונה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עובר להגשת כתב האישום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הוגש נגד המערער כתב אישום שנמחק ביום </w:t>
      </w:r>
      <w:r>
        <w:rPr>
          <w:rFonts w:cs="Century" w:ascii="Century" w:hAnsi="Century"/>
        </w:rPr>
        <w:t>8.1.2017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מחמת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קיום שימוע טרם הגשתו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25.1.2017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נערך למערער שימוע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שלאחריו בוצעו השלמות 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הוגש כתב האישום דנן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הרשיע את המערער בכל העבירות המיוחסות לו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בפסק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דין </w:t>
      </w:r>
      <w:r>
        <w:rPr>
          <w:rFonts w:ascii="Century" w:hAnsi="Century" w:cs="Century"/>
          <w:rtl w:val="true"/>
        </w:rPr>
        <w:t>מנומק</w:t>
      </w:r>
      <w:r>
        <w:rPr>
          <w:rFonts w:ascii="Century" w:hAnsi="Century" w:cs="Century"/>
          <w:rtl w:val="true"/>
        </w:rPr>
        <w:t xml:space="preserve"> ומפורט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ההרשעה התבססה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בעיקרו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עדותה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שבית המשפט מצא אותה מהימנה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סדורה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עקיבה ומרובת פרטים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עדותה לוותה בתיאורים ברורים של תחושות סנסוריות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שהוסיפו לה אמינות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ונקבע כי דברים שהעידה בהקשר זה היו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אותנטיים ואמינים מאד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כי המתלוננת הקפידה שלא להפריז בדבריה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וכשלא הייתה בטוחה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צמצמה בהם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וכי המתלוננת תיארה מגוון רגשות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שגרתיים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שמעידים אף הם על אמיתות עדותה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עדות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שטען כי לא היו דברים מעולם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הותירה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רושם קשה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היעדר מהימנות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סתירות רבות בעדותו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הגזמות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ונטייה להכפיש את שמה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במענה לשאלות שכלל לא עסקו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קבע כי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דיבר אמת בעדותו בבית המשפט ועשה כל שביכולתו להכפיש אחרים חלף הצעת גרסה סדורה ואמיתית משלו</w:t>
      </w:r>
      <w:r>
        <w:rPr>
          <w:rFonts w:cs="Century" w:ascii="Century" w:hAnsi="Century"/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ציין כי מאחר שתלונת המתלוננת הוגשה לאחר שמלאו לה למעלה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שלפי </w:t>
      </w:r>
      <w:hyperlink r:id="rId1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ניתן להרשיע את המערער אלא אם יימצא דבר לחיזוק עדותה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קיימות עדויות וראיות אשר מצביעות על פגיעת המערער במתלוננת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שהן בגדר חיזוקים משמעותיים לעדותה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צוינה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עדות שמסר בעלה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שהיה האדם הראשון שהמתלוננת סיפרה לו על המעשים שביצע בה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 שאלות ששאל אותה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ששם לב לתגובה פיזית חריגה מצדה בעת שהחלו ביניהם מגעים בגוון מיני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חיזוק נוסף נמצא בעדות שמסרה מדריכת הכלות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שהיא מטפלת מינית מוסמכת ובעלת תואר שני בעבודה סוציאלית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שימשה גם כמטפלת של המתלוננת לאחר נישואיה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סיפרה לה המתלוננת על המעשים שביצע בה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נמצא חיזוק בעדות אמה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שתיארה את הדברים שסיפרה לה המתלוננת שנים רבות לאחר ביצוע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נמצא חיזוק ביומן שכתבה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החל משנת 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שאמנם נכתב שנים לאחר ביצוע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גם שנים לפני מועד הגשת התלונה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שהוגשה כאמור ביום </w:t>
      </w:r>
      <w:r>
        <w:rPr>
          <w:rFonts w:cs="Century" w:ascii="Century" w:hAnsi="Century"/>
        </w:rPr>
        <w:t>31.12.2013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יתר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כי קיימות ראיות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היקפיות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המחזקות פרטים מסוימים בעדות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קיומו של מכשיר וידאו בבית בתקופה הרלוונטית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וראיות למנהגו של המערער לצפות בסרטים פורנוגרפיים באמצעות מכשיר זה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דחה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אחת לאחת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טענות המערער לחפותו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אשר 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אין לתת אמון במתלוננת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שתלונתה נכבשה שנים רבות וגרסתה מלאה סתירות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הסברי המתלוננת בהקשר זה מספקים מענה ברור לטענה הנדונה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העובדה שהמתלוננת נמנעה מלהגיש תלונה במשך שנים 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מתיישבת עם התנהגות המאפיינת נפגעי תקיפה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במיוחד בתוך המשפחה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אין בהגשת התלונה במועד שבו הוגשה כדי לגרוע ממהימנות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נקבע כי אף אם נפלו סתירות זניחות בעדות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הן בטלות בשישים לעומת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המסה הגדולה של 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שהייתה סדורה ועקיבה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דחה מכל וכל את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המניע להגשת התלונה הוא סכסוך ירושה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כך שלפי עדות האב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נחתם בינו לבין המערער הסכם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בטרם הוגשה התלונה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שלפיו האב העביר למערער מחצית מהזכויות בבית שבו בוצעו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הדגיש כי האב העיד שלמתלוננת נודע על ההסכם האמור רק לאחר הגשת התלונה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ציין כי ספק אם ההסכם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נחתם לפני הגשת התלונה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כעדות האב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ההסכם נשא את התאריך העברי ט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 באב 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שחל ביום </w:t>
      </w:r>
      <w:r>
        <w:rPr>
          <w:rFonts w:cs="Century" w:ascii="Century" w:hAnsi="Century"/>
        </w:rPr>
        <w:t>12.8.2014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מועד הגשת התלונה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 כי המסקנה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אין קשר בין התלונה לבין סכסוך ירושה כלשהו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נתמכת גם בעדויות נוספות שנשמעו בהליך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נדחתה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הוא לא התגורר בבית בתקופה הרלוונטית לכתב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מחומר הראיות ומהעדויות שנשמעו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עולה כי בתקופה הרלוונטית התגורר המערער הן בבית והן בבית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והעביר חלק ניכר מזמנו בבית שבו בוצעו העבירות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נדחתה אף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יכולתו להגן על עצמו במשפט נפגעה כתוצאה ממחדלי חקירה של המשטרה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צריך היה להיות תיעוד חזותי של העימות במשטרה בין המתלוננת לנאשם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נקבע כי מחדל זה לא פגע בהגנת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שקיים תמליל של העימות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אף בהנחה שחסרים חלקים מסוימים בתמליל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שאין בחלקים שהמערער טוען לחסרונם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להועיל להגנתו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הדגיש כי אף יתר טענות המערער בהקשר זה אינן משכנעות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מחדל של המשטרה מצדיק זיכוי של נאשם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נדחתה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המתלוננת איננה בתו הביולוגית של אביהם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שהמערער והמתלוננת אינם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בני משפחה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כמשמעות המושג בעבירות המיוחסות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נקבע כי אין לטענה זו בסיס ראייתי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 לב לכך שעדות האב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המתלוננת איננה 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איננה קוהרנטית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מכילה סתירות פנימיות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ואיננה מתיישבת עם אופן התנהלות האב בעימות בינו לבין המערערת במשטרה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נוסף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עמד על כך שסנגורו של המערער העלה 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ייתכן כי המתלוננת התבלבלה בין פגיעה שפגע בה אביה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טענותיה על פגיעות מצד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הוסיף כי המערער לא העלה את האפשרות שהאב פגע במתלוננת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עצמו ציין בגרסתו כי קיים פוגע פוטנציאלי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אחיה הצעיר של המתלוננת שהורשע בעבירות מין בקטינים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דחה את הטענה בדבר בלבול בין מעשי המערער ומעשי האב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הבחינה היטב בין המעשים שביצע בה המערער לבין המעשים הנטענים ביחס לאב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גם כשסיפרה על הדברים לבן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זוגה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למדריכת הכלות ולאמה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הבחינה בין מעשי המערער לבין מעשי האב הנטענים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המשפט המחוזי עמד על כך שמעשי המערער פגעו בשורה של ערכים חברתיים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ובהם כבוד האדם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שלמות גופו ונפשו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האוטונומיה של המתלוננת ופרטיותה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יכולתה לחוש ביטחון אישי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הן 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בביתה ובמשפחתה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שאמורים להיות המקומות הבטוחים ביותר מבחינתה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והאמון הטבעי שאמור קטין לרחוש כלפי בני משפחתו הבגירים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הודגש כי מידת הפגיעה בערכים אלו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גבוהה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נקבע כי העבירות בוצעו בנסיבות חמורות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לנוכח העובדה שמדובר בריבוי מעשים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מאחר שהמערער יצר תנאים להמשך ביצוע המעשים באין מפריע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שוב ושוב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חדל ממעשיו גם כשהביעה המתלוננת את התנגדותה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נקיטת אמצעים שיבטיחו את שמירת המעשים בסוד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הדגיש כי מעדות המתלוננת ומתסקיר נפגעת העבירה שהוגש בעניינה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מצטיירת תמונה של נזקים נפשיים חמורים שנגרמו לה כתוצאה ממעשי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נרפאו עד עצם היום הזה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שהותיר בה טראומה משמעותית המשפיעה על התחומים המשמעותיים ביותר בחייה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סקר את מדיניות הענישה הנוהגת והדגיש כי יש להחמיר בעבירות מין המבוצעות בקטינים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שכן בתוך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וביתר שאת כאשר העבירות בוצעו בצורה שיטתית וממושכת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לנוכח האמור 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יש להעמיד את מתחם העונש ההולם בין </w:t>
      </w:r>
      <w:r>
        <w:rPr>
          <w:rFonts w:cs="Century" w:ascii="Century" w:hAnsi="Century"/>
        </w:rPr>
        <w:t>5.5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9.5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לקביעת עונשו של המערער בתוך המתחם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עמד על כך שלזכות המערער ניצבת אמנם עובדת היותו נעדר עבר 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צוין כי מדובר במאפיין של עברייני מין במשפחה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שיקול זה מקבל משקל מופחת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שהמעשים בוצעו במשך חמש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מאז היה המערער כבן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צוין בהקשר זה חלוף הזמן מאז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צוין כי אף נתון זה אופייני לעבירות מין במשפחה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נלקחה בחשבון העובדה כי המערער מטפל באביו החולה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צוין כי 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הוא היחיד שמטפל באב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גובתה בראיות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קבע כי אין להתחשב בהקשר זה בטענת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שלפיו הוא עצמו נפגע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משלא הובא בדל ראייה לתמיכה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לשיקולים לחומרה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עודנו מכחיש את ביצוע העבירות ורואה בעצמו את קורבן הפרשה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יש משקל חשוב להרתעת הרבים בעבירות כבענייננו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שיש למקם את עונשו של המערער ברף הבינוני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גבוה של מתחם העונש שנקבע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ולהעמידו כאמור על שמונה שנות מאסר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הוטל על המערער לשלם למתלוננת פיצוי בסך </w:t>
      </w:r>
      <w:r>
        <w:rPr>
          <w:rFonts w:cs="Century" w:ascii="Century" w:hAnsi="Century"/>
        </w:rPr>
        <w:t>150,000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והושת עליו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שיופעל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טוען שלא ביצע את המעשים המיוחסים לו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ובעיקרו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 בהקשר זה על טענותיו לפני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אשר לערעור על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לקבוע כי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 בטל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שבית המשפט המחוזי לא קיבל לידיו תסקיר מאסר בעניין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טרם מתן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על פי שהייתה חובה לקבל תסקיר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הוראת </w:t>
      </w:r>
      <w:hyperlink r:id="rId1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העונש שהושת על המערער חורג לחומרא ממדיניות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חלוף הזמן מעת ביצוע העבירות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המשיבה סבורה שדין הערעור להידחות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ומדגישה כי הכרעת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 מבוססת על קביעות שבעובדה ועל ממצאי מהימנות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בניגוד לעדות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ייחס מהימנות גבוהה לעדות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 גם שעדותה נתמכה בראיות ובעדויות נוספות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העונש שהוטל על המערער אינו סוטה ממדיניות הענישה הנוהגת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לטענה בדבר הצורך בקבלת תסקיר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המערער ויתר על זכות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כשלא עתר במועד להגשת תסקיר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הראה שכתוצאה מהיעדר התסקיר נגרם לו עיוות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בהיעדר תסקיר כאמור כדי לגרוע מתוקפו של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אקדים ואציין כי אני סבורה שדין הערעור להידחות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באשר להכרעת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באשר לגזר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וכך אמליץ לחבריי להורות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זה מדרכה של ערכאת הערעור להתערב בממצאי עובדה ומהימנות שקבעה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יתרונה ביחס לערכאת הערעור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כמי ש</w:t>
      </w:r>
      <w:r>
        <w:rPr>
          <w:rtl w:val="true"/>
        </w:rPr>
        <w:t>מתרשמת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מאופן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tl w:val="true"/>
        </w:rPr>
        <w:t xml:space="preserve">, </w:t>
      </w:r>
      <w:r>
        <w:rPr>
          <w:rtl w:val="true"/>
        </w:rPr>
        <w:t>שפת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והתנהגותם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ועל כן בכוחה לתור אחר </w:t>
      </w:r>
      <w:r>
        <w:rPr>
          <w:rFonts w:cs="Times New Roman" w:ascii="Times New Roman" w:hAnsi="Times New Roman"/>
          <w:rtl w:val="true"/>
        </w:rPr>
        <w:t>'</w:t>
      </w:r>
      <w:r>
        <w:rPr>
          <w:rFonts w:ascii="Times New Roman" w:hAnsi="Times New Roman" w:cs="Times New Roman"/>
          <w:rtl w:val="true"/>
        </w:rPr>
        <w:t>אותות האמת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בעדותם</w:t>
      </w:r>
      <w:r>
        <w:rPr>
          <w:rFonts w:cs="Times New Roman" w:ascii="Times New Roman" w:hAnsi="Times New Roman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8146/09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</w:rPr>
        <w:t>.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</w:rPr>
        <w:t>.2011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לכלל זה משקל רב במיוחד בכל הנוגע לעבירות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וביתר שאת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לעבירות מין במשפחה</w:t>
      </w:r>
      <w:r>
        <w:rPr>
          <w:rFonts w:cs="Century" w:ascii="Century" w:hAnsi="Century"/>
          <w:rtl w:val="true"/>
        </w:rPr>
        <w:t>, "</w:t>
      </w:r>
      <w:r>
        <w:rPr>
          <w:rtl w:val="true"/>
        </w:rPr>
        <w:t>הנעשות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ושליטה</w:t>
      </w:r>
      <w:r>
        <w:rPr>
          <w:rtl w:val="true"/>
        </w:rPr>
        <w:t xml:space="preserve">,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והכחשה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20.10.2010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43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</w:t>
      </w:r>
      <w:r>
        <w:rPr/>
        <w:t>8</w:t>
      </w:r>
      <w:r>
        <w:rPr/>
        <w:t>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31.12.2020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6375/02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</w:t>
      </w:r>
      <w:r>
        <w:rPr/>
        <w:t>1</w:t>
      </w:r>
      <w:r>
        <w:rPr/>
        <w:t>.2004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בפסיקתו של בית משפט זה צוין כי היקף פריסתו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ההתערבות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בהקשר של 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המגמה של הקלה בדרישה הראייתית לצורך הרשעה בעבירות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עלולים להגביר את הסיכון להרשעות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שעל ערכאת הערעור לבחון בכל מקרה ומקרה אם קיימת הצדקה להחיל את כלל 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ההתערבות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בהיקף תחולתו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ביחס לעבירות מין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: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3250/10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12.1.2012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נכונותה של ערכאת הערעור לבחון ממצאי עובדה ומהימנות תגבר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במקרים שבהם מצטמצם יתרונה של הערכאה הדיונית בהקשר הנדון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 כאשר ממצאיה מבוססים על ההיגיון והשכל הישר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כאשר מדובר במסקנות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מעובדות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כאשר ממצאי העובדה מבוססים על ראיות חפציות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וכאשר נפלה טעות בולטת בהערכת המהימנות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6038/21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49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5.1.2023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וההפניות שם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אקדים ואומר כי לא ראיתי מקום לחרוג מהכלל הנדון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שלפיו ערכאת הערעור לא תתערב בממצאי עובדה ומהימנות שקבעה הערכאה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כמובהר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הרשעתו של המערער מבוססת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בראש ובראשונה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מסקנתו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בדבר מהימנותה הרבה של 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לעומת מסקנתו בדבר הקשיים הניכרים בעדות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שניתן להיווכח מהכרעת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המפורטת והמנומקת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מסקנות אלו מבוססות על התרשמותו הישירה של בית המשפט המחוזי מהמתלוננת ומהמערער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שיתרונות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שבכוחה לעמוד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אותות האמת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שבעדויות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באים בענייננו לידי ביטוי מובהק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התרשמותו הישירה של בית המשפט המחוזי מעדותה של המתלוננת שזורה לאורך הכרעת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 כולה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נפרסת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פני למעלה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למקרא הכרעת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ברי כי התרשמות בית המשפט מהתנהלותה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מנימת דבריה ומהערכת אישיותה ניצבת בבסיס קביעות המהימנות בעניינה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היבטים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נוספים לתוכן העדות 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הם רלוונטיים במיוחד להערכת מהימנות עדות של נפגעי עבירות מין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: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7596/20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וההפניות שם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16.3.2022</w:t>
      </w:r>
      <w:r>
        <w:rPr>
          <w:rFonts w:cs="Century" w:ascii="Century" w:hAnsi="Century"/>
          <w:rtl w:val="true"/>
        </w:rPr>
        <w:t xml:space="preserve">); 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6038/21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וההפניות שם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5.1.2023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המחוזי הדגיש כי 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ואינטליגנטית</w:t>
      </w:r>
      <w:r>
        <w:rPr>
          <w:rtl w:val="true"/>
        </w:rPr>
        <w:t xml:space="preserve">.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סדורה</w:t>
      </w:r>
      <w:r>
        <w:rPr>
          <w:rtl w:val="true"/>
        </w:rPr>
        <w:t xml:space="preserve">, </w:t>
      </w:r>
      <w:r>
        <w:rPr>
          <w:rtl w:val="true"/>
        </w:rPr>
        <w:t>עקיבה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ובעומקה</w:t>
      </w:r>
      <w:r>
        <w:rPr>
          <w:rtl w:val="true"/>
        </w:rPr>
        <w:t>" (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ascii="Century" w:hAnsi="Century" w:cs="Century"/>
          <w:rtl w:val="true"/>
        </w:rPr>
        <w:t>עדותה לוותה בתיאורים ברורים של תחושות סנסוריות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 ביחס לבגדים שלבשה בעת פגיעות המערער 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ביחס לתחושותיה בלילות שבהן היא קמה וחושבת שהמערער נמצא בסלון ביתה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ביחס לתוכן מפורט של סרטים פורנוגרפיים שהראה לה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תקועים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למתלוננת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בנשמה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וביחס לתחושותיה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 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כשהייתה בהיריון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ולפחד שחשה מפני הבאת ילדים לעולם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הדגיש כי המתלוננת לא הפליגה בתיאוריה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ולמשל העידה כי בניגוד לאב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ביצע בה מעשי אינוס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אף על פי שלהבנתה המערער הגיע לסיפוק מיני במעשיו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אינה זוכרת שראתה זרע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כשנודע לה שאחיה נפגע מינית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חשדה באביה ולא במערער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הוסיף כי המתלוננת תיארה רגשות רבים שאינם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שגרתיים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כמו רגשות אשם על האירועים הנדונים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רגשותיה האמביוולנטיים כלפי אחיה הנוסף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שאינו 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שהורשע בעבירות מין אף הוא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ותחושות כעס על 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שחלתה במחלה קשה לאחר שהמתלוננת חשפה לפניה את פגיעות המערער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הרגשתה שכעת שוב עליה לדאוג לאמה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במקום שהאם תדאג 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קביעות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בדבר מהימנות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נטועות עמוק בהתרשמותו הבלתי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אמצעית ממנה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כל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מקום להתערב בקביעותיו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חוזר לפנינו על 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בתקופה הרלוונטית הוא כלל לא גר בבית שבו בוצעו המעשים המיוחסים לו בכתב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שטענה זו נדונה לעומק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בצורה מפורטת ביותר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בית המשפט המחוזי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על פני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עמודים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90-83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115-98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במסגרת זו בחן בית המשפט לעומק עדויות שמסרו עדים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עדי הגנה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שלגבי רבים מהם נקבע כי העידו את שהמערער ביקש מהם לומר ולמעשה הדהדו את 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כשעדויותיהם היו רצופות סתירות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בסיס מכלול העדויות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קבע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כממצא עובדתי מובהק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שבתקופה הרלוונטית לכתב האישום גר המערער הן בבית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בבית נוסף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כמקובל לא אחת אצל ילדים להורים גרושים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המערער לא הצביע על טעם ממשי להתערב בקביעה זו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ואין בטענתו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שלפיה אין זה סביר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מספר כה גדול של אזרחים נורמטיביים יתכננו ביניהם קונספירציה וישקרו במצח נחושה לבית משפט מחוזי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כדי לסייע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אדגיש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חרף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היה מקום להסתמך בהקשר הנדון על עדותו של 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שנמצאה אמינה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שבית המשפט המחוזי קבע כי עדות זו מבולבלת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 הנוגע למועד שבו החל המערער לגור בבית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וכי חלק מעדותו בהקשר הנדון דווקא עולה בקנה אחד עם גרסת המתלוננת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159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לנוכח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רואה להתערב בקביעות בית המשפט המחוזי בהקשר הנדון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מוסיף וחוזר על 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תלונת המתלוננת נגדו הוגשה בשל סכסוך ירושה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שנודע למערערת כי האב העביר למערער זכויות שונות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שאף טענות המערער בהקשר זה נדונו לעומק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בית המשפט המחוזי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ונדחו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בסיס קביעות מפורטות בדבר מהימנות עדים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לא מצאצי בסיס לטענת המערער שקביעות אלו ניתנו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ללא הנמקה משכנעת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אדרבא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הצביע על טעמים מבוררים ומשכנעים לקביעותיו בהקשר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הצביע על כך שעדותו של האב בנושא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שביקשה לתמוך בגרסת המערער בהקשר הנדון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סתרה את עצמה באופן מהותי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הוסיף כי ההסכם הרלוונטי בין המערער לבין האב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נושא שני תאריכים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עברי ולועזי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וקבע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ספק גדול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אם ההסכם נחתם בתאריך הלועזי הנקוב בו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12.8.2013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צוין כי התאריך העברי הנקוב בהסכם חל ביום </w:t>
      </w:r>
      <w:r>
        <w:rPr>
          <w:rFonts w:cs="Century" w:ascii="Century" w:hAnsi="Century"/>
        </w:rPr>
        <w:t>12.8.2014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באופן שאף עולה בקנה אחד עם העובדה שהערת אזהרה לגבי ההסכם נרשמה בטאבו ביום </w:t>
      </w:r>
      <w:r>
        <w:rPr>
          <w:rFonts w:cs="Century" w:ascii="Century" w:hAnsi="Century"/>
        </w:rPr>
        <w:t>12.8.2014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בעוד שתלונת המתלוננת למשטרה הוגשה ביום </w:t>
      </w:r>
      <w:r>
        <w:rPr>
          <w:rFonts w:cs="Century" w:ascii="Century" w:hAnsi="Century"/>
        </w:rPr>
        <w:t>31.12.2013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בהקשר זה אין מקום להתערב בקביעת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אין בסיס לטענת המערער כי תלונת המתלוננת באה בעקבות סכסוך ירושה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אף 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אין קשר משפחתי בינו לבין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נדחתה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לנוכח ממצאי עובדה ומהימנות מובהקים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ובדין נדחתה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טענה זו של המערער מבוססת על עדות האב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המתלוננת אינה 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המשפט קבע כי עדות זו חסרת בסיס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האב כלל את המתלוננת בין ילדיו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נשאל בחקירתו הראשית עליהם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כי האב התייחס למתלוננת כבתו במסמך משנת </w:t>
      </w:r>
      <w:r>
        <w:rPr>
          <w:rFonts w:cs="Century" w:ascii="Century" w:hAnsi="Century"/>
        </w:rPr>
        <w:t>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שהתייחס לירושתו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אף בחקירתו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תלונת המתלוננת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נמנע האב מהעלאת טענה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עימות עם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אף הטיחה בו שהיא מתביישת שנולדה מזרעו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וזה העיקר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האב ציין כי הסיבה לטענתו שהמתלוננת אינה 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שלא קיים עם אמה יחסי מין בשנתיים שקדמו לגירושיהם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שבית המשפט המחוזי עמד על כך שבעת גירושיהם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מלאו למתלוננת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אף האב עצמו העיד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אמנם בטעות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המתלוננת הייתה בת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בעת הגירושין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אציין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טענתו של המערער איננה ברורה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שאף אם האב איננו אב משותף למתלוננת ולמערער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ממילא החוק מגדיר גם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אחים חורגים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כבני משפחה בהקשר של העבירות דנן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2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ה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Fonts w:ascii="Century" w:hAnsi="Century" w:cs="Century"/>
          <w:rtl w:val="true"/>
        </w:rPr>
        <w:t>המתלוננת מבלבלת בינו לבין האב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 הנוגע לזהות הפוגע בה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משזו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>-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המטפלת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הנטענות</w:t>
      </w:r>
      <w:r>
        <w:rPr>
          <w:rtl w:val="true"/>
        </w:rPr>
        <w:t xml:space="preserve">)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שנדחתה</w:t>
      </w:r>
      <w:r>
        <w:rPr>
          <w:rtl w:val="true"/>
        </w:rPr>
        <w:t xml:space="preserve">",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את טענת המערער אף בהקשר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למעלה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יוזכר כי אין די בהעלאת אפשרות תיאורטית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מרחיקה את הנאשם ממעשה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לעורר ספק סביר ביחס לאשמתו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נדרש שלאפשרות זו יהיו עוגן ואחיזה בחומר 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6295/05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וקנין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50-47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</w:rPr>
        <w:t>.2007</w:t>
      </w:r>
      <w:r>
        <w:rPr>
          <w:rFonts w:cs="Century" w:ascii="Century" w:hAnsi="Century"/>
          <w:rtl w:val="true"/>
        </w:rPr>
        <w:t>)).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די בעובדה כי האח הנוסף הורשע בעבירות מין בקטינים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לעגן בחומר הראיות את האפשרות שהמתלוננת מבלבלת בינו לבין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 הנוגע לזהות הפוגע בה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לטענת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די בחיזוקים לעדות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שעליהם הצביע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להביא להרשעתו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אלא שאין לטענה זו על מה לסמוך</w:t>
      </w:r>
      <w:r>
        <w:rPr>
          <w:rFonts w:cs="Century" w:ascii="Century" w:hAnsi="Century"/>
          <w:rtl w:val="true"/>
        </w:rPr>
        <w:t xml:space="preserve">. </w:t>
      </w:r>
      <w:hyperlink r:id="rId3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מורה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יורשע אדם על סמך עדות יחידה של נפגע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אם כן יש בחומר הראיות דבר לחיזוקה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אם כתב האישום הוגש לפי </w:t>
      </w:r>
      <w:hyperlink r:id="rId3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בעקבות תלונה שהוגשה למשטרה לאחר שמלאו לנפגע העבירה עשרים ושמונה שנים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לשון החוק המפורשת דורשת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דבר לחיזוק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מצא בחומר הראיות מספר דברים מסוג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חיזוק ראייתי הוא דבר המחזק את אמינות העדות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דרישה כי יסבך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הנאשם בביצוע העבירות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: 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9608/11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</w:rPr>
        <w:t>.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</w:rPr>
        <w:t>.2014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וככל שהעדות אמינה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נמוך הרף הנדרש לחיזוקה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לדוגמא</w:t>
      </w:r>
      <w:r>
        <w:rPr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hyperlink r:id="rId36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4523/09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26.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</w:rPr>
        <w:t>.2011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גבריאל הלוי </w:t>
      </w:r>
      <w:hyperlink r:id="rId37"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תורת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ד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627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מנה מספר דברים המעוגנים בחומר הראיות ומחזקים את 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וביניהם העדויות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שנמצאו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ידי בית המשפט המחוזי כאמינות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של בעלה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המטפלת שלה ושל 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המציירות תמונה של תהליך חשיפת מעשי המערער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המתלוננת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יומנים שכתבה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זמן רב לפני שהגישה את התלונה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ועוד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בטענות המערער כדי לסייע לו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טוען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תלונה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מוגשת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בגין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במשפחה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שבוצעו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בקטינה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כשלושה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שבוצעו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מוקשית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אינהרנטית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לזקוף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לחובתן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התלונה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כעבור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זמן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בוודאי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כשהעבירות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קטינות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5582/09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86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Century" w:ascii="Century" w:hAnsi="Century"/>
          <w:rtl w:val="true"/>
        </w:rPr>
        <w:t xml:space="preserve">; 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6643/05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13-12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3.7.2007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להרחבה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הקשיים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העומדים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במשפחה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בהגשת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תלונה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רננה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לוי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מזה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מיעוט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תלונות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למשטרה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נפגעות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גילוי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עריות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383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2022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הצביע על עילה המצדיקה את התערבותנו בהכרעת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ודין הערעור בהקשר זה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להידחות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טענתו העיקרית של המערער בערעורו על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 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ניתן היה לגזור את דינו בטרם התקבל תסקיר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4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משניתן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 בהיעדר 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שזה בטל מעיקרו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אקדים ואומר כי דין טענה זו להידחות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hyperlink r:id="rId4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37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קובע כי לאחר שהורשע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רשאי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בטרם יגזור את 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לדרוש תסקיר קצין מבחן בעניינו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 עברו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מצבו הכלכלי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המשפחתי והבריאותי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נסיבות פרטניות מיוחדות שהביאו אותו לביצוע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יש כאלה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לפי </w:t>
      </w:r>
      <w:hyperlink r:id="rId4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37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קצין המבחן רשאי לכלול בתסקיר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 המלצה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טיב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סיכוי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להחזיר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הנאשם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למוטב</w:t>
      </w:r>
      <w:r>
        <w:rPr>
          <w:rFonts w:cs="Century" w:ascii="Century" w:hAnsi="Century"/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וכך מורה </w:t>
      </w:r>
      <w:hyperlink r:id="rId4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big-number"/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Style w:val="big-number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5"/>
        <w:ind w:end="1282"/>
        <w:jc w:val="both"/>
        <w:rPr>
          <w:color w:val="000000"/>
          <w:sz w:val="28"/>
        </w:rPr>
      </w:pPr>
      <w:r>
        <w:rPr>
          <w:rStyle w:val="big-number"/>
          <w:rFonts w:cs="Century" w:ascii="Century" w:hAnsi="Century"/>
        </w:rPr>
        <w:t>38</w:t>
      </w:r>
      <w:r>
        <w:rPr>
          <w:rStyle w:val="big-number"/>
          <w:rFonts w:cs="Miriam" w:ascii="Miriam" w:hAnsi="Miriam"/>
          <w:color w:val="000000"/>
          <w:sz w:val="32"/>
          <w:szCs w:val="32"/>
          <w:rtl w:val="true"/>
        </w:rPr>
        <w:t xml:space="preserve">. 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לא יטיל בית המשפט עונש מאסר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שלא על תנאי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אלא לאחר קבלת תסקיר לפי סעיף </w:t>
      </w:r>
      <w:r>
        <w:rPr>
          <w:rStyle w:val="default"/>
          <w:rFonts w:cs="FrankRuehl" w:ascii="FrankRuehl" w:hAnsi="FrankRuehl"/>
          <w:color w:val="000000"/>
          <w:sz w:val="28"/>
        </w:rPr>
        <w:t>37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5"/>
        <w:ind w:end="1282"/>
        <w:jc w:val="both"/>
        <w:rPr>
          <w:color w:val="000000"/>
          <w:sz w:val="28"/>
        </w:rPr>
      </w:pPr>
      <w:r>
        <w:rPr>
          <w:rFonts w:eastAsia="FrankRuehl" w:cs="FrankRuehl" w:ascii="FrankRuehl" w:hAnsi="FrankRuehl"/>
          <w:color w:val="000000"/>
          <w:sz w:val="28"/>
          <w:rtl w:val="true"/>
        </w:rPr>
        <w:t xml:space="preserve">       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שר המשפטים רשאי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באכרזה שתפורסם ברשומות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לסייג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מדי פעם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 xml:space="preserve">תחולתו של סעיף קטן 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(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א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לפי סוגי בתי משפט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לפי עבירות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Style w:val="default"/>
          <w:rFonts w:ascii="FrankRuehl" w:hAnsi="FrankRuehl"/>
          <w:color w:val="000000"/>
          <w:sz w:val="28"/>
          <w:sz w:val="28"/>
          <w:rtl w:val="true"/>
        </w:rPr>
        <w:t>לפי גיל הנאשמים או לפי כל סיווג אחר</w:t>
      </w:r>
      <w:r>
        <w:rPr>
          <w:rStyle w:val="default"/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color w:val="000000"/>
          <w:sz w:val="28"/>
        </w:rPr>
      </w:pPr>
      <w:r>
        <w:rPr>
          <w:rFonts w:cs="Century" w:ascii="Century" w:hAnsi="Century"/>
          <w:color w:val="00000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אכרזת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דרכי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ענישה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תסקיר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קצין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מבחן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תשכ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1964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האכרזה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הוצאה מכוח </w:t>
      </w:r>
      <w:hyperlink r:id="rId4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19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ז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לתיקון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דיני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דרכי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ענישה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התשי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cs="Century" w:ascii="Century" w:hAnsi="Century"/>
            <w:color w:val="0000FF"/>
            <w:u w:val="single"/>
          </w:rPr>
          <w:t>1954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שלימים הוחלף </w:t>
      </w:r>
      <w:hyperlink r:id="rId50">
        <w:r>
          <w:rPr>
            <w:rStyle w:val="Hyperlink"/>
            <w:rFonts w:ascii="Century" w:hAnsi="Century" w:cs="Century"/>
            <w:rtl w:val="true"/>
          </w:rPr>
          <w:t>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באכרזה נקבע כי חובת הגשת התסקיר תחול רק על מי שטרם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מלאו לו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שנה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ביום ביצוע העבירה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בסעיף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להרחבה כללית על האכרזה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1019/13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</w:rPr>
        <w:t>.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</w:rPr>
        <w:t>.2015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 הוראות החקיקה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להטיל עונש מאסר בפועל על מי שטרם מלאו לו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בעת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לאחר קבלת תסקיר משירות 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 למצבו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שיכול לכלול המלצה לעונש שעשוי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להחזיר את הנאשם למוטב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בפסיקתו של בית משפט זה הודגש 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חובת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עריכת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תסקיר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לנאשמים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שביום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ביצוע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  <w:rtl w:val="true"/>
        </w:rPr>
        <w:t>...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נועדה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לאפשר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לבחון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היטב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סיכויי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צעירים</w:t>
      </w:r>
      <w:r>
        <w:rPr>
          <w:rFonts w:cs="Century" w:ascii="Century" w:hAnsi="Century"/>
          <w:rtl w:val="true"/>
        </w:rPr>
        <w:t>" (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7661/13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</w:rPr>
        <w:t>.2014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ההדגשה הוספה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בהתחשב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הדרושים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1026/82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לז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101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105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1983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; </w:t>
      </w:r>
      <w:r>
        <w:rPr>
          <w:rFonts w:ascii="Century" w:hAnsi="Century" w:cs="Century"/>
          <w:rtl w:val="true"/>
        </w:rPr>
        <w:t>ראו גם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דברי הסבר ל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אכרזת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דרכי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ענישה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תסקיר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קצין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מבחן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תיקון והוראת שעה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הרציונל לחובת עריכת תסקיר ביחס למי שטרם מלאו לו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</w:t>
      </w:r>
      <w:r>
        <w:rPr>
          <w:rFonts w:cs="Miriam"/>
          <w:b/>
          <w:b/>
          <w:spacing w:val="0"/>
          <w:szCs w:val="24"/>
          <w:rtl w:val="true"/>
        </w:rPr>
        <w:t>כשביצע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נעוץ בשיקולי השיקום של </w:t>
      </w:r>
      <w:r>
        <w:rPr>
          <w:rFonts w:cs="Miriam"/>
          <w:b/>
          <w:b/>
          <w:spacing w:val="0"/>
          <w:szCs w:val="24"/>
          <w:rtl w:val="true"/>
        </w:rPr>
        <w:t>נאשמים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צעירים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כשהתסקיר נועד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בעיקרו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לאפשר לבית המשפט לבחון כיצד עונש מאסר בפועל ישפיע על סיכויי השיקום של הנידון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לנוכח גילו הצעיר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מחוקק המשנה הניח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מי שביצע עבירה בטרם מלאו לו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יועמד לדין בסמיכות זמנים יחסית למועד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כך שייחשב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נאשם צעיר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בעת גזירת דינו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נוכח לשון האכרזה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חובת עריכת התסקיר כאמור חלה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כל מי שטרם מלאו לו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בעת ביצוע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למרות החובה הנובעת כאמור מהוראות החוק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בדיעבד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מתברר כי הערכאה הדיונית לא עמדה בחובה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כבר נפסק כי בנסיבות שבהן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 כל סיכוי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כי תסקיר כאמור יוכל לתרום לנאשם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ובנסיבות אלו בלבד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הרי שאין 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קבלת 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טרם הטלת עונש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כדי לגרוע מתוקפו של גז</w:t>
      </w:r>
      <w:r>
        <w:rPr>
          <w:rFonts w:ascii="Century" w:hAnsi="Century" w:cs="Century"/>
          <w:rtl w:val="true"/>
        </w:rPr>
        <w:t>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לנוכח </w:t>
      </w:r>
      <w:r>
        <w:rPr>
          <w:rFonts w:ascii="Century" w:hAnsi="Century" w:cs="Century"/>
          <w:rtl w:val="true"/>
        </w:rPr>
        <w:t>הוראת</w:t>
      </w:r>
      <w:r>
        <w:rPr>
          <w:rFonts w:ascii="Century" w:hAnsi="Century" w:cs="Century"/>
          <w:rtl w:val="true"/>
        </w:rPr>
        <w:t xml:space="preserve"> </w:t>
      </w:r>
      <w:hyperlink r:id="rId5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קובע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בית המשפט רשאי לדחות ערעור אף אם קיבל טענה שנטענה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היה סבור כי לא נגרם עיוות דין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5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455/74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כט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778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1975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6308/94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20.11.1994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; </w:t>
      </w:r>
      <w:hyperlink r:id="rId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3197/07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עיאט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26.11.2007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 אמנם ביצע חלק מהעבירות המיוחסות לו בכתב האישום בטרם מלאו לו 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העבירות בוצעו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ידו כאשר היה בן </w:t>
      </w:r>
      <w:r>
        <w:rPr>
          <w:rFonts w:cs="Century" w:ascii="Century" w:hAnsi="Century"/>
        </w:rPr>
        <w:t>23-18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אך כתב האישום נגדו הוגש כשהיה כבן </w:t>
      </w:r>
      <w:r>
        <w:rPr>
          <w:rFonts w:cs="Century" w:ascii="Century" w:hAnsi="Century"/>
        </w:rPr>
        <w:t>48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הורשע כשמלאו לו למעלה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בנסיבות המקרה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חל הרציונל שבבסיס החובה לקבל תסקיר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 הוראות החוק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וניתן לקבוע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אין כל סיכוי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שקבלת תסקיר מאסר הייתה משפיעה על גזר דינו של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אוסיף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המסקנה שלפיה לא היה בקיומו של תסקיר בענייננו כדי להשפיע על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נתמכת בעובדה שהמערער מכחיש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עצם היום הזה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ביצוע המעשים שבגינם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לא הביע עליהם חרטה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שמקשה לקבוע כי היה בשיקולי שיקום כדי להוביל לשינוי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 בעניינו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קבלת תסקיר במקרה דנן אינה גורמת עיוות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 ב</w:t>
      </w:r>
      <w:r>
        <w:rPr>
          <w:rFonts w:ascii="Century" w:hAnsi="Century" w:cs="Century"/>
          <w:rtl w:val="true"/>
        </w:rPr>
        <w:t>הוראת</w:t>
      </w:r>
      <w:r>
        <w:rPr>
          <w:rFonts w:ascii="Century" w:hAnsi="Century" w:cs="Century"/>
          <w:rtl w:val="true"/>
        </w:rPr>
        <w:t xml:space="preserve"> </w:t>
      </w:r>
      <w:hyperlink r:id="rId6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בה כדי לגרוע מתוקפו של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טענת המערער בהקשר זה נדחית אפוא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דומה כי על מחוקק המשנה ליתן דעתו לפער שקיים כאמור בין לשון האכרזה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שלא תוקנה מאז שנת </w:t>
      </w:r>
      <w:r>
        <w:rPr>
          <w:rFonts w:cs="Century" w:ascii="Century" w:hAnsi="Century"/>
        </w:rPr>
        <w:t>1967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לתכליתה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ולתקן את ההוראות הרלוונטיות כך שחובת קבלת תסקיר בנסיבות הנדונות תיגזר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רק מגיל הנידון בעת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אף מגילו בעת גזירת דינו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לטענות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שלפיהן היה מקום להקל בעונשו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 בשים לב לחלוף הזמן מעת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אקדים ואומר כי אף דינן להידחות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כלל הוא כי ערכאת הערעור לא תתערב בחומרת העונש שהטילה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במקרים שבהם העונש סוטה באופן קיצוני ממדיניות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כאשר נפלה טעות מהותית בגזר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הדין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1126/19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23.11.2021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tl w:val="true"/>
        </w:rPr>
        <w:t xml:space="preserve"> </w:t>
      </w:r>
      <w:hyperlink r:id="rId6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3159/17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</w:rPr>
        <w:t>.2018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2331/13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13.10.2015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המקרה שלפנינו אינו בא בגדר החריגים הנדונים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ויודגש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נקודת המוצא לבחינת טענות המערער בהקשר הנדון היא פסיקתו של בית משפט זה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וביתר שאת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בתוך המשפחה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עבירות המין </w:t>
      </w:r>
      <w:r>
        <w:rPr>
          <w:rtl w:val="true"/>
        </w:rPr>
        <w:t>"</w:t>
      </w:r>
      <w:r>
        <w:rPr>
          <w:rtl w:val="true"/>
        </w:rPr>
        <w:t>חודרות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tl w:val="true"/>
        </w:rPr>
        <w:t xml:space="preserve">, </w:t>
      </w:r>
      <w:r>
        <w:rPr>
          <w:rtl w:val="true"/>
        </w:rPr>
        <w:t>גורמות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ובאוטונומיה</w:t>
      </w:r>
      <w:r>
        <w:rPr>
          <w:rtl w:val="true"/>
        </w:rPr>
        <w:t xml:space="preserve">, </w:t>
      </w:r>
      <w:r>
        <w:rPr>
          <w:rtl w:val="true"/>
        </w:rPr>
        <w:t>הופכות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וגופניות</w:t>
      </w:r>
      <w:r>
        <w:rPr>
          <w:rtl w:val="true"/>
        </w:rPr>
        <w:t xml:space="preserve">, </w:t>
      </w:r>
      <w:r>
        <w:rPr>
          <w:rtl w:val="true"/>
        </w:rPr>
        <w:t>המצריכות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מורכבים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הגופנית</w:t>
      </w:r>
      <w:r>
        <w:rPr>
          <w:rtl w:val="true"/>
        </w:rPr>
        <w:t xml:space="preserve">,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והשכלית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ומאושר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8153/19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20.10.2020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השבר עמוק עוד יותר כשאת המעשים מבצע בן 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באופן שמרסק את תחושת הביטחון הבסיסית ביותר של הקטין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: </w:t>
      </w:r>
      <w:hyperlink r:id="rId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1859/22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8.6.2022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לנוכח חומרתן הרבה של עבירות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כמובהר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משפט זה שב וקבע כי יש להחמיר בענישת מבצעיהן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hyperlink r:id="rId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4018/20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לוגסי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30.12.2021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5839/22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27.10.2022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7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1831/21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</w:rPr>
        <w:t>.2022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ועל טענות המערער להיבחן בראי האמור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 כי עונש המאסר שהושת עליו חורג לחומרא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קיצוני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ממדיניות הענישה הנוהגת בנסיבות דומות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שלא מצאנו ממש בטענה זו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 והשוו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: </w:t>
      </w:r>
      <w:hyperlink r:id="rId7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2177/13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</w:rPr>
        <w:t>.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</w:rPr>
        <w:t>.2015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7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1605/13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</w:rPr>
        <w:t>.2014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המערער מוסיף וטוען כי היה מקום להתחשב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בגזירת עונשו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בחלוף הזמן מאז ביצוע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התחשב בגזר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 השיקולים לקולא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בחלוף הזמן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ששיקול זה אינו העיקר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להפריז במשקלו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המבוצעות בקטינים בתוך המשפחה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מאופיינות פעמים רבות בחלוף פרק זמן משמעותי בין מועד ביצוע המעשים לבין מועד הגשת התלונה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הקושי העצום של הנפגע לחשוף את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ההכרה בכך הובילה את המחוקק לקבוע כי בעבירות מסוג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תקופת ההתיישנות על העבירות תחל מעת שמלאו לנפגע העבירה </w:t>
      </w: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</w:t>
      </w:r>
      <w:r>
        <w:rPr>
          <w:rFonts w:cs="Century" w:ascii="Century" w:hAnsi="Century"/>
          <w:rtl w:val="true"/>
        </w:rPr>
        <w:t>(</w:t>
      </w:r>
      <w:hyperlink r:id="rId7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7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ויפים בהקשר זה דברי חברי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באחת הפרשות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מבט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ההארכה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שמנצלים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hyperlink r:id="rId75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ascii="FrankRuehl" w:hAnsi="FrankRuehl"/>
          <w:color w:val="000000"/>
          <w:sz w:val="28"/>
          <w:sz w:val="28"/>
          <w:rtl w:val="true"/>
        </w:rPr>
        <w:t xml:space="preserve"> והארכת תקופת ההתיישנות מבטאים אפוא את הקונצנזוס החברתי כי בעבירות כגון דא </w:t>
      </w:r>
      <w:r>
        <w:rPr>
          <w:rFonts w:cs="FrankRuehl" w:ascii="FrankRuehl" w:hAnsi="FrankRuehl"/>
          <w:color w:val="000000"/>
          <w:sz w:val="28"/>
          <w:rtl w:val="true"/>
        </w:rPr>
        <w:t>'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עבר זמנו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Miriam" w:hAnsi="Miriam" w:cs="Miriam"/>
          <w:color w:val="000000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בטל קרבנו</w:t>
      </w:r>
      <w:r>
        <w:rPr>
          <w:rFonts w:cs="FrankRuehl" w:ascii="FrankRuehl" w:hAnsi="FrankRuehl"/>
          <w:color w:val="000000"/>
          <w:sz w:val="28"/>
          <w:rtl w:val="true"/>
        </w:rPr>
        <w:t>'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בשל ההשלכות הקשות של העבירה על הקורבן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tl w:val="true"/>
        </w:rPr>
        <w:t>-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</w:t>
      </w:r>
      <w:r>
        <w:rPr/>
        <w:t>7</w:t>
      </w:r>
      <w:r>
        <w:rPr/>
        <w:t>.2012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לנוכח כל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להתערב בעונש שנגזר על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ואמליץ כאמור לחבריי כי גם ערעורו על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 יידחה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סיום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ראיתי להפנות דברים למתלוננת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בכוחן של מילים כדי לתאר את הזוועה שעברה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ועודנה עוברת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בכוחה של ענישתו כדי לרפא באופן מלא את הפצעים שפער המערער בנפשה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דומה כי פערים אלו נלמדים גם מעדותה של המתלוננת לפני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שראיתי להדהד אף במסגרת זו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מבחינתי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בהיותי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מבחינתי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".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מהחומר שהונח לפנינו עולה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למרות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למתלוננת תעצומות נפש אדירות שאפשרו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להקים 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לרכוש השכלה גבוהה ולפתח קריירה ועשייה בתחום האומנות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באופנים שמסייעים לה להתמודד עם הטראומה הנוראה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שעודנה נוכחת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למרבה הצער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אינטנסיבי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ברבדי חייה השונים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לי אלא להביע תקווה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גזירת דינו של המערער וסיום ההליך הפלילי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יעלו </w:t>
      </w:r>
      <w:r>
        <w:rPr>
          <w:rFonts w:ascii="Century" w:hAnsi="Century" w:cs="Century"/>
          <w:rtl w:val="true"/>
        </w:rPr>
        <w:t>אֲרֻכָה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ולו חלקית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פצעיה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ויהוו חוליה בשרשרת ההתמודדות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מעוררת ההשראה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 המתלוננת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דעתי היא כי יש לדחות את ערעורו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על הכרעת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 הן על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הדין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 xml:space="preserve">ש ו פ ט ת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>ש ו פ ט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וילנר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26.02.2023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26.1.2023</w:t>
      </w:r>
      <w:r>
        <w:rPr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22051670</w:t>
      </w:r>
      <w:r>
        <w:rPr>
          <w:sz w:val="16"/>
          <w:rtl w:val="true"/>
        </w:rPr>
        <w:t>_</w:t>
      </w:r>
      <w:r>
        <w:rPr>
          <w:sz w:val="16"/>
        </w:rPr>
        <w:t>R11.docx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מה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7">
        <w:r>
          <w:rPr>
            <w:rStyle w:val="Hyperlink"/>
            <w:sz w:val="16"/>
          </w:rPr>
          <w:t>https://supreme.court.gov.il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 w:val="22"/>
          <w:szCs w:val="22"/>
        </w:rPr>
        <w:t>54678313-5167/22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9"/>
      <w:footerReference w:type="default" r:id="rId8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5167/22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8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Arial TUR;Arial" w:hAnsi="Arial TUR;Arial" w:cs="Arial TUR;Arial"/>
    </w:rPr>
  </w:style>
  <w:style w:type="character" w:styleId="WW8Num14z0">
    <w:name w:val="WW8Num14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7.a" TargetMode="External"/><Relationship Id="rId4" Type="http://schemas.openxmlformats.org/officeDocument/2006/relationships/hyperlink" Target="http://www.nevo.co.il/law/70301/37.b" TargetMode="External"/><Relationship Id="rId5" Type="http://schemas.openxmlformats.org/officeDocument/2006/relationships/hyperlink" Target="http://www.nevo.co.il/law/70301/38" TargetMode="External"/><Relationship Id="rId6" Type="http://schemas.openxmlformats.org/officeDocument/2006/relationships/hyperlink" Target="http://www.nevo.co.il/law/70301/351.e.2" TargetMode="External"/><Relationship Id="rId7" Type="http://schemas.openxmlformats.org/officeDocument/2006/relationships/hyperlink" Target="http://www.nevo.co.il/law/70301/354.a" TargetMode="External"/><Relationship Id="rId8" Type="http://schemas.openxmlformats.org/officeDocument/2006/relationships/hyperlink" Target="http://www.nevo.co.il/law/70301/354.a.1" TargetMode="External"/><Relationship Id="rId9" Type="http://schemas.openxmlformats.org/officeDocument/2006/relationships/hyperlink" Target="http://www.nevo.co.il/law/70301/354.a1" TargetMode="External"/><Relationship Id="rId10" Type="http://schemas.openxmlformats.org/officeDocument/2006/relationships/hyperlink" Target="http://www.nevo.co.il/law/71557" TargetMode="External"/><Relationship Id="rId11" Type="http://schemas.openxmlformats.org/officeDocument/2006/relationships/hyperlink" Target="http://www.nevo.co.il/law/131318" TargetMode="External"/><Relationship Id="rId12" Type="http://schemas.openxmlformats.org/officeDocument/2006/relationships/hyperlink" Target="http://www.nevo.co.il/law/131318/19.g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4903/215" TargetMode="External"/><Relationship Id="rId15" Type="http://schemas.openxmlformats.org/officeDocument/2006/relationships/hyperlink" Target="http://www.nevo.co.il/case/24281975" TargetMode="External"/><Relationship Id="rId16" Type="http://schemas.openxmlformats.org/officeDocument/2006/relationships/hyperlink" Target="http://www.nevo.co.il/law/70301/354.a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8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756128" TargetMode="External"/><Relationship Id="rId21" Type="http://schemas.openxmlformats.org/officeDocument/2006/relationships/hyperlink" Target="http://www.nevo.co.il/case/6246452" TargetMode="External"/><Relationship Id="rId22" Type="http://schemas.openxmlformats.org/officeDocument/2006/relationships/hyperlink" Target="http://www.nevo.co.il/case/27446607" TargetMode="External"/><Relationship Id="rId23" Type="http://schemas.openxmlformats.org/officeDocument/2006/relationships/hyperlink" Target="http://www.nevo.co.il/case/25481049" TargetMode="External"/><Relationship Id="rId24" Type="http://schemas.openxmlformats.org/officeDocument/2006/relationships/hyperlink" Target="http://www.nevo.co.il/case/5758600" TargetMode="External"/><Relationship Id="rId25" Type="http://schemas.openxmlformats.org/officeDocument/2006/relationships/hyperlink" Target="http://www.nevo.co.il/case/5951406" TargetMode="External"/><Relationship Id="rId26" Type="http://schemas.openxmlformats.org/officeDocument/2006/relationships/hyperlink" Target="http://www.nevo.co.il/case/27915723" TargetMode="External"/><Relationship Id="rId27" Type="http://schemas.openxmlformats.org/officeDocument/2006/relationships/hyperlink" Target="http://www.nevo.co.il/case/27132106" TargetMode="External"/><Relationship Id="rId28" Type="http://schemas.openxmlformats.org/officeDocument/2006/relationships/hyperlink" Target="http://www.nevo.co.il/case/27915723" TargetMode="External"/><Relationship Id="rId29" Type="http://schemas.openxmlformats.org/officeDocument/2006/relationships/hyperlink" Target="http://www.nevo.co.il/law/70301/351.e.2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6058753" TargetMode="External"/><Relationship Id="rId32" Type="http://schemas.openxmlformats.org/officeDocument/2006/relationships/hyperlink" Target="http://www.nevo.co.il/law/70301/354.a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54.a" TargetMode="External"/><Relationship Id="rId35" Type="http://schemas.openxmlformats.org/officeDocument/2006/relationships/hyperlink" Target="http://www.nevo.co.il/case/6249237" TargetMode="External"/><Relationship Id="rId36" Type="http://schemas.openxmlformats.org/officeDocument/2006/relationships/hyperlink" Target="http://www.nevo.co.il/case/5697060%20" TargetMode="External"/><Relationship Id="rId37" Type="http://schemas.openxmlformats.org/officeDocument/2006/relationships/hyperlink" Target="http://www.nevo.co.il/safrut/bookgroup/2373" TargetMode="External"/><Relationship Id="rId38" Type="http://schemas.openxmlformats.org/officeDocument/2006/relationships/hyperlink" Target="http://www.nevo.co.il/case/6246452" TargetMode="External"/><Relationship Id="rId39" Type="http://schemas.openxmlformats.org/officeDocument/2006/relationships/hyperlink" Target="http://www.nevo.co.il/case/6129410" TargetMode="External"/><Relationship Id="rId40" Type="http://schemas.openxmlformats.org/officeDocument/2006/relationships/hyperlink" Target="http://www.nevo.co.il/law/70301/38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7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37.b" TargetMode="External"/><Relationship Id="rId45" Type="http://schemas.openxmlformats.org/officeDocument/2006/relationships/hyperlink" Target="http://www.nevo.co.il/law/70301/38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1557" TargetMode="External"/><Relationship Id="rId48" Type="http://schemas.openxmlformats.org/officeDocument/2006/relationships/hyperlink" Target="http://www.nevo.co.il/law/131318/19.g" TargetMode="External"/><Relationship Id="rId49" Type="http://schemas.openxmlformats.org/officeDocument/2006/relationships/hyperlink" Target="http://www.nevo.co.il/law/131318" TargetMode="External"/><Relationship Id="rId50" Type="http://schemas.openxmlformats.org/officeDocument/2006/relationships/hyperlink" Target="http://www.nevo.co.il/law/70301/38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5841752" TargetMode="External"/><Relationship Id="rId53" Type="http://schemas.openxmlformats.org/officeDocument/2006/relationships/hyperlink" Target="http://www.nevo.co.il/case/10459124" TargetMode="External"/><Relationship Id="rId54" Type="http://schemas.openxmlformats.org/officeDocument/2006/relationships/hyperlink" Target="http://www.nevo.co.il/case/17910294" TargetMode="External"/><Relationship Id="rId55" Type="http://schemas.openxmlformats.org/officeDocument/2006/relationships/hyperlink" Target="http://www.nevo.co.il/law/71557" TargetMode="External"/><Relationship Id="rId56" Type="http://schemas.openxmlformats.org/officeDocument/2006/relationships/hyperlink" Target="http://www.nevo.co.il/law/74903/215" TargetMode="External"/><Relationship Id="rId57" Type="http://schemas.openxmlformats.org/officeDocument/2006/relationships/hyperlink" Target="http://www.nevo.co.il/law/74903" TargetMode="External"/><Relationship Id="rId58" Type="http://schemas.openxmlformats.org/officeDocument/2006/relationships/hyperlink" Target="http://www.nevo.co.il/case/17923649" TargetMode="External"/><Relationship Id="rId59" Type="http://schemas.openxmlformats.org/officeDocument/2006/relationships/hyperlink" Target="http://www.nevo.co.il/case/17929180" TargetMode="External"/><Relationship Id="rId60" Type="http://schemas.openxmlformats.org/officeDocument/2006/relationships/hyperlink" Target="http://www.nevo.co.il/case/5863818" TargetMode="External"/><Relationship Id="rId61" Type="http://schemas.openxmlformats.org/officeDocument/2006/relationships/hyperlink" Target="http://www.nevo.co.il/law/74903/215" TargetMode="External"/><Relationship Id="rId62" Type="http://schemas.openxmlformats.org/officeDocument/2006/relationships/hyperlink" Target="http://www.nevo.co.il/law/74903" TargetMode="External"/><Relationship Id="rId63" Type="http://schemas.openxmlformats.org/officeDocument/2006/relationships/hyperlink" Target="http://www.nevo.co.il/case/25441705" TargetMode="External"/><Relationship Id="rId64" Type="http://schemas.openxmlformats.org/officeDocument/2006/relationships/hyperlink" Target="http://www.nevo.co.il/case/23824879" TargetMode="External"/><Relationship Id="rId65" Type="http://schemas.openxmlformats.org/officeDocument/2006/relationships/hyperlink" Target="http://www.nevo.co.il/case/20028603" TargetMode="External"/><Relationship Id="rId66" Type="http://schemas.openxmlformats.org/officeDocument/2006/relationships/hyperlink" Target="http://www.nevo.co.il/case/26256014" TargetMode="External"/><Relationship Id="rId67" Type="http://schemas.openxmlformats.org/officeDocument/2006/relationships/hyperlink" Target="http://www.nevo.co.il/case/28403510" TargetMode="External"/><Relationship Id="rId68" Type="http://schemas.openxmlformats.org/officeDocument/2006/relationships/hyperlink" Target="http://www.nevo.co.il/case/26773045" TargetMode="External"/><Relationship Id="rId69" Type="http://schemas.openxmlformats.org/officeDocument/2006/relationships/hyperlink" Target="http://www.nevo.co.il/case/28916093" TargetMode="External"/><Relationship Id="rId70" Type="http://schemas.openxmlformats.org/officeDocument/2006/relationships/hyperlink" Target="http://www.nevo.co.il/case/27476753" TargetMode="External"/><Relationship Id="rId71" Type="http://schemas.openxmlformats.org/officeDocument/2006/relationships/hyperlink" Target="http://www.nevo.co.il/case/20429890" TargetMode="External"/><Relationship Id="rId72" Type="http://schemas.openxmlformats.org/officeDocument/2006/relationships/hyperlink" Target="http://www.nevo.co.il/case/6708658" TargetMode="External"/><Relationship Id="rId73" Type="http://schemas.openxmlformats.org/officeDocument/2006/relationships/hyperlink" Target="http://www.nevo.co.il/law/70301/354.a.1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case/6246845" TargetMode="External"/><Relationship Id="rId77" Type="http://schemas.openxmlformats.org/officeDocument/2006/relationships/hyperlink" Target="https://supreme.court.gov.il/" TargetMode="External"/><Relationship Id="rId78" Type="http://schemas.openxmlformats.org/officeDocument/2006/relationships/hyperlink" Target="http://www.nevo.co.il/advertisements/nevo-100.doc" TargetMode="External"/><Relationship Id="rId79" Type="http://schemas.openxmlformats.org/officeDocument/2006/relationships/header" Target="header1.xml"/><Relationship Id="rId80" Type="http://schemas.openxmlformats.org/officeDocument/2006/relationships/footer" Target="foot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<Relationship Id="rId8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2023-01-27T05:36:00Z</dcterms:created>
  <dc:creator>h4</dc:creator>
  <dc:description/>
  <cp:keywords/>
  <dc:language>en-IL</dc:language>
  <cp:lastModifiedBy>orly</cp:lastModifiedBy>
  <cp:lastPrinted>2023-01-26T10:16:00Z</cp:lastPrinted>
  <dcterms:modified xsi:type="dcterms:W3CDTF">2023-01-27T05:36:00Z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CASESLISTTMP1">
    <vt:lpwstr>24281975;5756128;6246452:2;27446607;25481049;5758600;5951406;27915723:2;27132106;6058753;6249237;5697060;6129410;5841752;10459124;17910294;17923649;17929180;5863818;25441705;23824879;20028603;26256014;28403510;26773045;28916093;27476753;20429890;6708658</vt:lpwstr>
  </property>
  <property fmtid="{D5CDD505-2E9C-101B-9397-08002B2CF9AE}" pid="5" name="CASESLISTTMP2">
    <vt:lpwstr>6246845</vt:lpwstr>
  </property>
  <property fmtid="{D5CDD505-2E9C-101B-9397-08002B2CF9AE}" pid="6" name="DATE">
    <vt:lpwstr>20230126</vt:lpwstr>
  </property>
  <property fmtid="{D5CDD505-2E9C-101B-9397-08002B2CF9AE}" pid="7" name="ISABSTRACT">
    <vt:lpwstr>Y</vt:lpwstr>
  </property>
  <property fmtid="{D5CDD505-2E9C-101B-9397-08002B2CF9AE}" pid="8" name="JUDGE">
    <vt:lpwstr>י' עמית;ד' מינץ;י' וילנר</vt:lpwstr>
  </property>
  <property fmtid="{D5CDD505-2E9C-101B-9397-08002B2CF9AE}" pid="9" name="LAWLISTTMP1">
    <vt:lpwstr>70301/354.a1:2;038:4;351.e.2;354.a;037.a;037.b;354.a.1</vt:lpwstr>
  </property>
  <property fmtid="{D5CDD505-2E9C-101B-9397-08002B2CF9AE}" pid="10" name="LAWLISTTMP2">
    <vt:lpwstr>71557:2</vt:lpwstr>
  </property>
  <property fmtid="{D5CDD505-2E9C-101B-9397-08002B2CF9AE}" pid="11" name="LAWLISTTMP3">
    <vt:lpwstr>131318/019.g</vt:lpwstr>
  </property>
  <property fmtid="{D5CDD505-2E9C-101B-9397-08002B2CF9AE}" pid="12" name="LAWLISTTMP4">
    <vt:lpwstr>74903/215:2</vt:lpwstr>
  </property>
  <property fmtid="{D5CDD505-2E9C-101B-9397-08002B2CF9AE}" pid="13" name="LAWYER">
    <vt:lpwstr>הדר פרנקל;איתי בר עוז</vt:lpwstr>
  </property>
  <property fmtid="{D5CDD505-2E9C-101B-9397-08002B2CF9AE}" pid="14" name="METAKZER">
    <vt:lpwstr>פאני</vt:lpwstr>
  </property>
  <property fmtid="{D5CDD505-2E9C-101B-9397-08002B2CF9AE}" pid="15" name="NOBOOKNEVO">
    <vt:lpwstr>2373</vt:lpwstr>
  </property>
  <property fmtid="{D5CDD505-2E9C-101B-9397-08002B2CF9AE}" pid="16" name="NOSE11">
    <vt:lpwstr>עונשין</vt:lpwstr>
  </property>
  <property fmtid="{D5CDD505-2E9C-101B-9397-08002B2CF9AE}" pid="17" name="NOSE110">
    <vt:lpwstr/>
  </property>
  <property fmtid="{D5CDD505-2E9C-101B-9397-08002B2CF9AE}" pid="18" name="NOSE12">
    <vt:lpwstr>עונשין</vt:lpwstr>
  </property>
  <property fmtid="{D5CDD505-2E9C-101B-9397-08002B2CF9AE}" pid="19" name="NOSE13">
    <vt:lpwstr>עונשין</vt:lpwstr>
  </property>
  <property fmtid="{D5CDD505-2E9C-101B-9397-08002B2CF9AE}" pid="20" name="NOSE14">
    <vt:lpwstr>עונשין</vt:lpwstr>
  </property>
  <property fmtid="{D5CDD505-2E9C-101B-9397-08002B2CF9AE}" pid="21" name="NOSE15">
    <vt:lpwstr>דיון פלילי</vt:lpwstr>
  </property>
  <property fmtid="{D5CDD505-2E9C-101B-9397-08002B2CF9AE}" pid="22" name="NOSE16">
    <vt:lpwstr/>
  </property>
  <property fmtid="{D5CDD505-2E9C-101B-9397-08002B2CF9AE}" pid="23" name="NOSE17">
    <vt:lpwstr/>
  </property>
  <property fmtid="{D5CDD505-2E9C-101B-9397-08002B2CF9AE}" pid="24" name="NOSE18">
    <vt:lpwstr/>
  </property>
  <property fmtid="{D5CDD505-2E9C-101B-9397-08002B2CF9AE}" pid="25" name="NOSE19">
    <vt:lpwstr/>
  </property>
  <property fmtid="{D5CDD505-2E9C-101B-9397-08002B2CF9AE}" pid="26" name="NOSE1ID">
    <vt:lpwstr>77;77;77;77;18</vt:lpwstr>
  </property>
  <property fmtid="{D5CDD505-2E9C-101B-9397-08002B2CF9AE}" pid="27" name="NOSE21">
    <vt:lpwstr>ענישה</vt:lpwstr>
  </property>
  <property fmtid="{D5CDD505-2E9C-101B-9397-08002B2CF9AE}" pid="28" name="NOSE210">
    <vt:lpwstr/>
  </property>
  <property fmtid="{D5CDD505-2E9C-101B-9397-08002B2CF9AE}" pid="29" name="NOSE22">
    <vt:lpwstr>ענישה</vt:lpwstr>
  </property>
  <property fmtid="{D5CDD505-2E9C-101B-9397-08002B2CF9AE}" pid="30" name="NOSE23">
    <vt:lpwstr>ענישה</vt:lpwstr>
  </property>
  <property fmtid="{D5CDD505-2E9C-101B-9397-08002B2CF9AE}" pid="31" name="NOSE24">
    <vt:lpwstr>ענישה</vt:lpwstr>
  </property>
  <property fmtid="{D5CDD505-2E9C-101B-9397-08002B2CF9AE}" pid="32" name="NOSE25">
    <vt:lpwstr>ערעור</vt:lpwstr>
  </property>
  <property fmtid="{D5CDD505-2E9C-101B-9397-08002B2CF9AE}" pid="33" name="NOSE26">
    <vt:lpwstr/>
  </property>
  <property fmtid="{D5CDD505-2E9C-101B-9397-08002B2CF9AE}" pid="34" name="NOSE27">
    <vt:lpwstr/>
  </property>
  <property fmtid="{D5CDD505-2E9C-101B-9397-08002B2CF9AE}" pid="35" name="NOSE28">
    <vt:lpwstr/>
  </property>
  <property fmtid="{D5CDD505-2E9C-101B-9397-08002B2CF9AE}" pid="36" name="NOSE29">
    <vt:lpwstr/>
  </property>
  <property fmtid="{D5CDD505-2E9C-101B-9397-08002B2CF9AE}" pid="37" name="NOSE2ID">
    <vt:lpwstr>1446;1446;1446;1446;504</vt:lpwstr>
  </property>
  <property fmtid="{D5CDD505-2E9C-101B-9397-08002B2CF9AE}" pid="38" name="NOSE31">
    <vt:lpwstr>תסקיר שירות מבחן</vt:lpwstr>
  </property>
  <property fmtid="{D5CDD505-2E9C-101B-9397-08002B2CF9AE}" pid="39" name="NOSE310">
    <vt:lpwstr/>
  </property>
  <property fmtid="{D5CDD505-2E9C-101B-9397-08002B2CF9AE}" pid="40" name="NOSE32">
    <vt:lpwstr>מדיניות ענישה: עבירות מין במשפחה</vt:lpwstr>
  </property>
  <property fmtid="{D5CDD505-2E9C-101B-9397-08002B2CF9AE}" pid="41" name="NOSE33">
    <vt:lpwstr>מדיניות ענישה: שיקולים</vt:lpwstr>
  </property>
  <property fmtid="{D5CDD505-2E9C-101B-9397-08002B2CF9AE}" pid="42" name="NOSE34">
    <vt:lpwstr>מדיניות ענישה: אי התערבות בממצאים עובדתיים</vt:lpwstr>
  </property>
  <property fmtid="{D5CDD505-2E9C-101B-9397-08002B2CF9AE}" pid="43" name="NOSE35">
    <vt:lpwstr>אי-התערבות במידת העונש</vt:lpwstr>
  </property>
  <property fmtid="{D5CDD505-2E9C-101B-9397-08002B2CF9AE}" pid="44" name="NOSE36">
    <vt:lpwstr/>
  </property>
  <property fmtid="{D5CDD505-2E9C-101B-9397-08002B2CF9AE}" pid="45" name="NOSE37">
    <vt:lpwstr/>
  </property>
  <property fmtid="{D5CDD505-2E9C-101B-9397-08002B2CF9AE}" pid="46" name="NOSE38">
    <vt:lpwstr/>
  </property>
  <property fmtid="{D5CDD505-2E9C-101B-9397-08002B2CF9AE}" pid="47" name="NOSE39">
    <vt:lpwstr/>
  </property>
  <property fmtid="{D5CDD505-2E9C-101B-9397-08002B2CF9AE}" pid="48" name="NOSE3ID">
    <vt:lpwstr>13182;16241;8994;;17039</vt:lpwstr>
  </property>
  <property fmtid="{D5CDD505-2E9C-101B-9397-08002B2CF9AE}" pid="49" name="PADIDATE">
    <vt:lpwstr>20230129</vt:lpwstr>
  </property>
  <property fmtid="{D5CDD505-2E9C-101B-9397-08002B2CF9AE}" pid="50" name="PADIMAIL">
    <vt:lpwstr>YES</vt:lpwstr>
  </property>
  <property fmtid="{D5CDD505-2E9C-101B-9397-08002B2CF9AE}" pid="51" name="PROCESS">
    <vt:lpwstr>עפ</vt:lpwstr>
  </property>
  <property fmtid="{D5CDD505-2E9C-101B-9397-08002B2CF9AE}" pid="52" name="PROCNUM">
    <vt:lpwstr>5167</vt:lpwstr>
  </property>
  <property fmtid="{D5CDD505-2E9C-101B-9397-08002B2CF9AE}" pid="53" name="PROCYEAR">
    <vt:lpwstr>22</vt:lpwstr>
  </property>
  <property fmtid="{D5CDD505-2E9C-101B-9397-08002B2CF9AE}" pid="54" name="PSAKDIN">
    <vt:lpwstr>פסק-דין</vt:lpwstr>
  </property>
  <property fmtid="{D5CDD505-2E9C-101B-9397-08002B2CF9AE}" pid="55" name="TYPE">
    <vt:lpwstr>1</vt:lpwstr>
  </property>
  <property fmtid="{D5CDD505-2E9C-101B-9397-08002B2CF9AE}" pid="56" name="TYPE_ABS_DATE">
    <vt:lpwstr>410120230126</vt:lpwstr>
  </property>
  <property fmtid="{D5CDD505-2E9C-101B-9397-08002B2CF9AE}" pid="57" name="TYPE_N_DATE">
    <vt:lpwstr>41020230126</vt:lpwstr>
  </property>
  <property fmtid="{D5CDD505-2E9C-101B-9397-08002B2CF9AE}" pid="58" name="WORDNUMPAGES">
    <vt:lpwstr>21</vt:lpwstr>
  </property>
</Properties>
</file>