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34"/>
        <w:gridCol w:w="4529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5170/23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5202/23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5219/23</w:t>
            </w:r>
          </w:p>
        </w:tc>
      </w:tr>
      <w:tr>
        <w:trPr>
          <w:trHeight w:val="287" w:hRule="atLeast"/>
        </w:trPr>
        <w:tc>
          <w:tcPr>
            <w:tcW w:w="383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45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8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5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8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45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6"/>
        <w:gridCol w:w="4538"/>
      </w:tblGrid>
      <w:tr>
        <w:trPr>
          <w:trHeight w:val="287" w:hRule="atLeast"/>
        </w:trPr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5170/23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והמשיב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5202/23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5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קובס</w:t>
            </w:r>
          </w:p>
        </w:tc>
      </w:tr>
      <w:tr>
        <w:trPr>
          <w:trHeight w:val="287" w:hRule="atLeast"/>
        </w:trPr>
        <w:tc>
          <w:tcPr>
            <w:tcW w:w="38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5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5219/23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והמשיבים </w:t>
            </w:r>
            <w:r>
              <w:rPr>
                <w:rFonts w:cs="David" w:ascii="David" w:hAnsi="David"/>
              </w:rPr>
              <w:t>3-2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5202/23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5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עתאבא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בוסקילה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6"/>
        <w:gridCol w:w="4537"/>
      </w:tblGrid>
      <w:tr>
        <w:trPr/>
        <w:tc>
          <w:tcPr>
            <w:tcW w:w="38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53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6"/>
        <w:gridCol w:w="4538"/>
      </w:tblGrid>
      <w:tr>
        <w:trPr>
          <w:trHeight w:val="287" w:hRule="atLeast"/>
        </w:trPr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5170/23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5219/23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5202/23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5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4537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37"/>
      </w:tblGrid>
      <w:tr>
        <w:trPr/>
        <w:tc>
          <w:tcPr>
            <w:tcW w:w="4537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14976-07-22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24.05.2023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6"/>
        <w:gridCol w:w="2268"/>
        <w:gridCol w:w="2269"/>
      </w:tblGrid>
      <w:tr>
        <w:trPr/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26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269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21.09.2023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6"/>
        <w:gridCol w:w="4537"/>
      </w:tblGrid>
      <w:tr>
        <w:trPr/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5170/23</w:t>
            </w:r>
            <w:r>
              <w:rPr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5202/23</w:t>
            </w:r>
            <w:r>
              <w:rPr>
                <w:rtl w:val="true"/>
              </w:rPr>
              <w:t>:</w:t>
            </w:r>
          </w:p>
        </w:tc>
        <w:tc>
          <w:tcPr>
            <w:tcW w:w="4537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שורר</w:t>
            </w:r>
            <w:r>
              <w:rPr>
                <w:rtl w:val="true"/>
              </w:rPr>
              <w:t xml:space="preserve">, 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אלעברה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יקוטי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5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5219/23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5202/23</w:t>
            </w:r>
            <w:r>
              <w:rPr>
                <w:rtl w:val="true"/>
              </w:rPr>
              <w:t>:</w:t>
            </w:r>
          </w:p>
        </w:tc>
        <w:tc>
          <w:tcPr>
            <w:tcW w:w="45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5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5219/23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5202/23</w:t>
            </w:r>
            <w:r>
              <w:rPr>
                <w:rtl w:val="true"/>
              </w:rPr>
              <w:t>:</w:t>
            </w:r>
          </w:p>
        </w:tc>
        <w:tc>
          <w:tcPr>
            <w:tcW w:w="45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שורר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5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5170/23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5219/23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5202/23</w:t>
            </w:r>
            <w:r>
              <w:rPr>
                <w:rtl w:val="true"/>
              </w:rPr>
              <w:t>:</w:t>
            </w:r>
          </w:p>
        </w:tc>
        <w:tc>
          <w:tcPr>
            <w:tcW w:w="453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inks_Start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יסודות בדיני עונשין 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449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החמיר בעונשים שהוטלו על 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בגין 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>ם בביצוע עבירות שעניינן קשירת קשר לביצוע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מסוג הדומה ל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פשיעה מאורגנת</w:t>
      </w:r>
      <w:r>
        <w:rPr>
          <w:rFonts w:cs="Times New Roman" w:ascii="Times New Roman" w:hAnsi="Times New Roman"/>
          <w:spacing w:val="0"/>
          <w:szCs w:val="26"/>
          <w:rtl w:val="true"/>
        </w:rPr>
        <w:t>',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בדרך של הוספת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לעונשו של כל אחד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>אחר שהעונשים שהושתו 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סוטים סטייה ממשית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בכפוף להלכה לפיה ערכאת הערעור לא ממצה את הדין עם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לפערים בענישה ביחס לגזר דינם של הנאשמים האחרים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קשירת קשר לרצח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עקרון ההלימה‏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קשירת קשר לביצוע פשע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שלושה ערעורים על גזר דין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בו </w:t>
      </w:r>
      <w:r>
        <w:rPr>
          <w:rFonts w:ascii="Times New Roman" w:hAnsi="Times New Roman" w:cs="Times New Roman"/>
          <w:spacing w:val="0"/>
          <w:szCs w:val="26"/>
          <w:rtl w:val="true"/>
        </w:rPr>
        <w:t>הוטלו על המערערים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5170/23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5202/23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המשיבים לערעור המדינה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5219/23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קובס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עתאבא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בוסקילה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מאסר מותנה וקנס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קובס הוטל עונש מאסר בפועל של </w:t>
      </w:r>
      <w:r>
        <w:rPr>
          <w:rFonts w:cs="Times New Roman" w:ascii="Times New Roman" w:hAnsi="Times New Roman"/>
          <w:spacing w:val="0"/>
          <w:szCs w:val="26"/>
        </w:rPr>
        <w:t>32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עתאבא הוטל עונש מאסר בפועל של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ועל בוסקילה הוטל עונש מאסר בפועל של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העונשים הושתו בגין הרשעת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בביצוע עבירות שעניינן קשירת קשר לביצוע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עבירות נשק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עמית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5202/23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5170/23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5219/23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נקודת מוצא היא כי התערבות ערכאת הערעור בגזר הדין של הערכאה הדיונית שמורה למקרים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 סטייה ממשית ממדיניות הענישה הראויה או שנפלה בגזר הדין טענות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נקודת מוצא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מצוות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המחוקק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</w:t>
      </w:r>
      <w:r>
        <w:rPr>
          <w:rFonts w:ascii="Times New Roman" w:hAnsi="Times New Roman" w:cs="Times New Roman"/>
          <w:spacing w:val="0"/>
          <w:szCs w:val="26"/>
          <w:rtl w:val="true"/>
        </w:rPr>
        <w:t>י העיקרון המנחה בעת גזירת העונש הוא עיקרון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שמשמעותו קיומו של יחס הולם בין חומרת מעשה העבירה בנסיבותיו ומידת אשמו של הנאשם ובין סוג ומידת העונש המוטל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ביסוד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קשירת 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בסעיף </w:t>
      </w:r>
      <w:r>
        <w:rPr>
          <w:rFonts w:cs="Times New Roman" w:ascii="Times New Roman" w:hAnsi="Times New Roman"/>
          <w:spacing w:val="0"/>
          <w:szCs w:val="26"/>
        </w:rPr>
        <w:t>449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עומדת התחברות בין שני אנשים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שנועדה להביא לביצוע פשע או עוון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יסודות העבירה כוללים יסוד עובדתי שמתבטא בהסכמה בין שני אנשים או יותר לעשות מעשה 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ויסוד נפשי של הסכמה לפעול עם הצד האחר לקשר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לשם המטרה הפסולה וכוונה שהמטרה הפסולה של הקשר תוגשם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בעבירה שהיא ׳קורלאטיבית׳ אך גם עצמאית ובעלת קיום נפרד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מדובר בעבירה הנגזרת מהעבירה המושלמת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להעמיד לדין את העושה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בגין עבירת הקשר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בגין העבירה המושלמת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בנוסף להשפעה שיש לעבירה מושא הקשר על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עבירת קשירת הקשר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את טיב הקשר בנוגע לפעולות שבוצעו במטרה להגשימו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ככל שהקשר שנרקם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ascii="Times New Roman" w:hAnsi="Times New Roman" w:cs="Times New Roman"/>
          <w:spacing w:val="0"/>
          <w:szCs w:val="26"/>
          <w:rtl w:val="true"/>
        </w:rPr>
        <w:t>לל מעשי הכנה מגוונים ומשמעותיים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בעלי אופי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להוציא את העבירה מושא הקשר אל הפועל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יהא לדבר השפעה על העונש שייגזר על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הקשר שקשרו המערערים נועד לביצוע שני מעשי רצח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קשרו קשר לביצוע עבירה מן החמורות ביותר שיש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לשני גורמים שונים בהם חשד קובס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יש כדי להשפיע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המשקל שיש לייחס לעבירת קשירת הקשר לביצוע פשע בה הורשעו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מדובר בעבירה שבצידה קבוע עונש מאסר של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טיב הקשר שנקשר הוא מסוג הדומה ל׳פשיעה מאורגנת׳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כדי להביא לידי פעולת נקם בשל ׳ניסיון החיסול׳ של קובס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נטילת החוק לידיים כחלק מ׳סגירת חשבונות׳ בעולם הפשע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האמור נכון היה לתת משקל וביטוי ממשי בעת גזירת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תוך איזון מול 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אלה האישיים שעומדים לזכות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נכון היה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לגזור את עונשם של המערערים בגין עבירת קשירת הקשר בחלק העליון של העונש שקבע המחוקק בצד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בכפוף למגבלות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החלות על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להתערב בעונש 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ולהעמיד הלכה על מכונה בכל הנוגע לענישה בעבירת הקשר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מבט צופה פני עתיד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ואילך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צורך להכביר במילים ביחס לחומרה היתרה הנודעת 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>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מערכת 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 לתת חלקה במלחמת החָרְמָה נגד מבצעי עבירות הנשק השונות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 מעבירות סחר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דרך החזקת נשק וכלה בנשיאה והובלה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  <w:lang w:val="en-IL"/>
        </w:rPr>
        <w:t>ניכרת בפסיקה מגמה עקבית של החמרה בענישה כלפי מבצעי עבירות בנשק</w:t>
      </w:r>
      <w:r>
        <w:rPr>
          <w:rFonts w:cs="Times New Roman" w:ascii="Times New Roman" w:hAnsi="Times New Roman"/>
          <w:spacing w:val="0"/>
          <w:szCs w:val="26"/>
          <w:rtl w:val="true"/>
          <w:lang w:val="en-IL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  <w:lang w:val="en-IL"/>
        </w:rPr>
        <w:t>בענייננו החומרה היתרה במעשי המערערים לא מצאה ביטוי מספק בגזר הדין</w:t>
      </w:r>
      <w:r>
        <w:rPr>
          <w:rFonts w:cs="Times New Roman" w:ascii="Times New Roman" w:hAnsi="Times New Roman"/>
          <w:spacing w:val="0"/>
          <w:szCs w:val="26"/>
          <w:rtl w:val="true"/>
          <w:lang w:val="en-IL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  <w:lang w:val="en-IL"/>
        </w:rPr>
        <w:t>הן ביחס לפסיקה</w:t>
      </w:r>
      <w:r>
        <w:rPr>
          <w:rFonts w:cs="Times New Roman" w:ascii="Times New Roman" w:hAnsi="Times New Roman"/>
          <w:spacing w:val="0"/>
          <w:szCs w:val="26"/>
          <w:rtl w:val="true"/>
          <w:lang w:val="en-IL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  <w:lang w:val="en-IL"/>
        </w:rPr>
        <w:t xml:space="preserve">הן ביחס למצוות המחוקק במסגרת תיקון </w:t>
      </w:r>
      <w:r>
        <w:rPr>
          <w:rFonts w:cs="Times New Roman" w:ascii="Times New Roman" w:hAnsi="Times New Roman"/>
          <w:spacing w:val="0"/>
          <w:szCs w:val="26"/>
          <w:lang w:val="en-IL"/>
        </w:rPr>
        <w:t>140</w:t>
      </w:r>
      <w:r>
        <w:rPr>
          <w:rFonts w:cs="Times New Roman" w:ascii="Times New Roman" w:hAnsi="Times New Roman"/>
          <w:spacing w:val="0"/>
          <w:szCs w:val="26"/>
          <w:rtl w:val="true"/>
          <w:lang w:val="en-IL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  <w:lang w:val="en-IL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  <w:lang w:val="en-IL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עסקינן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במה שנדמה כ׳סגירת חשבונות׳ בעולם התחתון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לתת את ה</w:t>
      </w:r>
      <w:r>
        <w:rPr>
          <w:rFonts w:ascii="Times New Roman" w:hAnsi="Times New Roman" w:cs="Times New Roman"/>
          <w:spacing w:val="0"/>
          <w:szCs w:val="26"/>
          <w:rtl w:val="true"/>
        </w:rPr>
        <w:t>דעת לשיקולי ההרתעה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כדי לבטל את השיקולים לקולה שבי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שקל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בכך כדי להקל ראש בצורך באחידות הענישה בין המערערים ויתר הנאשמים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עונשם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הוחמר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בדרך של הוספת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לעונשו של כל אחד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  <w:bookmarkStart w:id="18" w:name="Writer_Name"/>
      <w:bookmarkStart w:id="19" w:name="Writer_Name"/>
      <w:bookmarkEnd w:id="19"/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3"/>
        <w:numPr>
          <w:ilvl w:val="0"/>
          <w:numId w:val="6"/>
        </w:numPr>
        <w:spacing w:before="240" w:after="240"/>
        <w:ind w:hanging="0" w:start="0" w:end="0"/>
        <w:jc w:val="both"/>
        <w:textAlignment w:val="auto"/>
        <w:rPr/>
      </w:pPr>
      <w:bookmarkStart w:id="20" w:name="Start_Write"/>
      <w:bookmarkEnd w:id="20"/>
      <w:r>
        <w:rPr>
          <w:rtl w:val="true"/>
        </w:rPr>
        <w:t xml:space="preserve">לפנינו שלושה </w:t>
      </w:r>
      <w:r>
        <w:rPr>
          <w:rtl w:val="true"/>
        </w:rPr>
        <w:t>ערעורים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מזה ומזה</w:t>
      </w:r>
      <w:r>
        <w:rPr>
          <w:rtl w:val="true"/>
        </w:rPr>
        <w:t xml:space="preserve">, </w:t>
      </w:r>
      <w:r>
        <w:rPr>
          <w:rtl w:val="true"/>
        </w:rPr>
        <w:t xml:space="preserve">על גזר הדין של בית המשפט המחוזי </w:t>
      </w:r>
      <w:r>
        <w:rPr>
          <w:rtl w:val="true"/>
        </w:rPr>
        <w:t xml:space="preserve">בחיפה </w:t>
      </w:r>
      <w:r>
        <w:rPr>
          <w:rtl w:val="true"/>
        </w:rPr>
        <w:t>(</w:t>
      </w:r>
      <w:r>
        <w:rPr>
          <w:rtl w:val="true"/>
        </w:rPr>
        <w:t xml:space="preserve">כבוד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24</w:t>
      </w:r>
      <w:r>
        <w:rPr/>
        <w:t>.</w:t>
      </w:r>
      <w:r>
        <w:rPr/>
        <w:t>05</w:t>
      </w:r>
      <w:r>
        <w:rPr/>
        <w:t>.</w:t>
      </w:r>
      <w:r>
        <w:rPr/>
        <w:t>2023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14976-07-22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בגזר הדין </w:t>
      </w:r>
      <w:r>
        <w:rPr>
          <w:rtl w:val="true"/>
        </w:rPr>
        <w:t>הוטלו על המערערים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5170/23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5202/23</w:t>
      </w:r>
      <w:r>
        <w:rPr>
          <w:rtl w:val="true"/>
        </w:rPr>
        <w:t xml:space="preserve">, </w:t>
      </w:r>
      <w:r>
        <w:rPr>
          <w:rtl w:val="true"/>
        </w:rPr>
        <w:t>הם המשיבים לערעור המדינה בגדרי 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5219/23</w:t>
      </w:r>
      <w:r>
        <w:rPr>
          <w:rtl w:val="true"/>
        </w:rPr>
        <w:t xml:space="preserve"> (</w:t>
      </w:r>
      <w:r>
        <w:rPr>
          <w:rtl w:val="true"/>
        </w:rPr>
        <w:t>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קובס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עתאבא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בוסקילה</w:t>
      </w:r>
      <w:r>
        <w:rPr>
          <w:rtl w:val="true"/>
        </w:rPr>
        <w:t xml:space="preserve">;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), </w:t>
      </w:r>
      <w:r>
        <w:rPr>
          <w:rtl w:val="true"/>
        </w:rPr>
        <w:t>עונשי מאסר בפועל שיימנו מיום מעצרם</w:t>
      </w:r>
      <w:r>
        <w:rPr>
          <w:rtl w:val="true"/>
        </w:rPr>
        <w:t xml:space="preserve">, </w:t>
      </w:r>
      <w:r>
        <w:rPr/>
        <w:t>01.06.2022</w:t>
      </w:r>
      <w:r>
        <w:rPr>
          <w:rtl w:val="true"/>
        </w:rPr>
        <w:t xml:space="preserve">, </w:t>
      </w:r>
      <w:r>
        <w:rPr>
          <w:rtl w:val="true"/>
        </w:rPr>
        <w:t>לצד מאסר מותנה וקנס</w:t>
      </w:r>
      <w:r>
        <w:rPr>
          <w:rtl w:val="true"/>
        </w:rPr>
        <w:t xml:space="preserve">. </w:t>
      </w:r>
      <w:r>
        <w:rPr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קובס</w:t>
      </w:r>
      <w:r>
        <w:rPr>
          <w:rtl w:val="true"/>
        </w:rPr>
        <w:t xml:space="preserve"> הוטל עונש מאסר בפועל של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עתאבא</w:t>
      </w:r>
      <w:r>
        <w:rPr>
          <w:rtl w:val="true"/>
        </w:rPr>
        <w:t xml:space="preserve"> הוטל עונש מאסר בפועל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 xml:space="preserve">ועל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בוסקילה</w:t>
      </w:r>
      <w:r>
        <w:rPr>
          <w:rtl w:val="true"/>
        </w:rPr>
        <w:t xml:space="preserve"> הוטל עונש מאסר בפועל של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המערערים </w:t>
      </w:r>
      <w:r>
        <w:rPr>
          <w:rtl w:val="true"/>
        </w:rPr>
        <w:t>הורשע</w:t>
      </w:r>
      <w:r>
        <w:rPr>
          <w:rtl w:val="true"/>
        </w:rPr>
        <w:t xml:space="preserve">ו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טרם שמיעת ראיות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בעובדות כתב אישום מתוקן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במסגרת הסדר טיעון </w:t>
      </w:r>
      <w:r>
        <w:rPr>
          <w:rtl w:val="true"/>
        </w:rPr>
        <w:t>שלא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בביצוע </w:t>
      </w:r>
      <w:r>
        <w:rPr>
          <w:rFonts w:ascii="Arial" w:hAnsi="Arial" w:cs="Arial"/>
          <w:rtl w:val="true"/>
        </w:rPr>
        <w:t>עבירות שעניינן קש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ר</w:t>
      </w:r>
      <w:r>
        <w:rPr>
          <w:rFonts w:ascii="Arial" w:hAnsi="Arial" w:cs="Arial"/>
          <w:rtl w:val="true"/>
        </w:rPr>
        <w:t>ת קשר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לביצוע </w:t>
      </w:r>
      <w:r>
        <w:rPr>
          <w:rFonts w:ascii="Arial" w:hAnsi="Arial" w:cs="Arial"/>
          <w:rtl w:val="true"/>
        </w:rPr>
        <w:t>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449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בעבירות נשק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קובס ועתאבא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ב</w:t>
      </w:r>
      <w:r>
        <w:rPr>
          <w:rFonts w:ascii="Arial" w:hAnsi="Arial" w:cs="Arial"/>
          <w:rtl w:val="true"/>
        </w:rPr>
        <w:t>החזקת נשק</w:t>
      </w:r>
      <w:r>
        <w:rPr>
          <w:rFonts w:ascii="Arial" w:hAnsi="Arial" w:cs="Arial"/>
          <w:rtl w:val="true"/>
        </w:rPr>
        <w:t xml:space="preserve">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בצירוף </w:t>
      </w:r>
      <w:hyperlink r:id="rId1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;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ובוסקילה ב</w:t>
      </w:r>
      <w:r>
        <w:rPr>
          <w:rFonts w:ascii="Arial" w:hAnsi="Arial" w:cs="Arial"/>
          <w:rtl w:val="true"/>
        </w:rPr>
        <w:t>נשיאה והובלת נשק</w:t>
      </w:r>
      <w:r>
        <w:rPr>
          <w:rFonts w:ascii="Arial" w:hAnsi="Arial" w:cs="Arial"/>
          <w:rtl w:val="true"/>
        </w:rPr>
        <w:t xml:space="preserve"> לפי </w:t>
      </w:r>
      <w:hyperlink r:id="rId1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בצירוף </w:t>
      </w:r>
      <w:hyperlink r:id="rId1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בשלב זה של ההליך</w:t>
      </w:r>
      <w:r>
        <w:rPr>
          <w:rtl w:val="true"/>
        </w:rPr>
        <w:t xml:space="preserve">, </w:t>
      </w:r>
      <w:r>
        <w:rPr>
          <w:rtl w:val="true"/>
        </w:rPr>
        <w:t>אין עוד חולק</w:t>
      </w:r>
      <w:r>
        <w:rPr>
          <w:rtl w:val="true"/>
        </w:rPr>
        <w:t xml:space="preserve">, </w:t>
      </w:r>
      <w:r>
        <w:rPr>
          <w:rtl w:val="true"/>
        </w:rPr>
        <w:t>לאחר שהתפוצץ מטען חבלה שהוצמד לרכבו של קובס</w:t>
      </w:r>
      <w:r>
        <w:rPr>
          <w:rtl w:val="true"/>
        </w:rPr>
        <w:t xml:space="preserve">, </w:t>
      </w:r>
      <w:r>
        <w:rPr>
          <w:rtl w:val="true"/>
        </w:rPr>
        <w:t>קשר עם קבוצה של שבעה אחרים</w:t>
      </w:r>
      <w:r>
        <w:rPr>
          <w:rtl w:val="true"/>
        </w:rPr>
        <w:t xml:space="preserve">, </w:t>
      </w:r>
      <w:r>
        <w:rPr>
          <w:rtl w:val="true"/>
        </w:rPr>
        <w:t>בכללם עתאבא ובוסקילה</w:t>
      </w:r>
      <w:r>
        <w:rPr>
          <w:rtl w:val="true"/>
        </w:rPr>
        <w:t xml:space="preserve">, </w:t>
      </w:r>
      <w:r>
        <w:rPr>
          <w:rtl w:val="true"/>
        </w:rPr>
        <w:t xml:space="preserve">במטרה לגרום למותם של שניים מחבריה של </w:t>
      </w:r>
      <w:r>
        <w:rPr>
          <w:rtl w:val="true"/>
        </w:rPr>
        <w:t>'</w:t>
      </w:r>
      <w:r>
        <w:rPr>
          <w:rtl w:val="true"/>
        </w:rPr>
        <w:t>חבורה</w:t>
      </w:r>
      <w:r>
        <w:rPr>
          <w:rtl w:val="true"/>
        </w:rPr>
        <w:t xml:space="preserve">', </w:t>
      </w:r>
      <w:r>
        <w:rPr>
          <w:rtl w:val="true"/>
        </w:rPr>
        <w:t xml:space="preserve">בהם חשד כמעורבים בהנחת המטען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tl w:val="true"/>
        </w:rPr>
        <w:t xml:space="preserve">). </w:t>
      </w:r>
      <w:r>
        <w:rPr>
          <w:rtl w:val="true"/>
        </w:rPr>
        <w:t>כדי להוציא את הנקמה מן הכוח אל הפועל</w:t>
      </w:r>
      <w:r>
        <w:rPr>
          <w:rtl w:val="true"/>
        </w:rPr>
        <w:t xml:space="preserve">, </w:t>
      </w:r>
      <w:r>
        <w:rPr>
          <w:rtl w:val="true"/>
        </w:rPr>
        <w:t>המערערים ביצעו פעולות הכנה שונות לרבות</w:t>
      </w:r>
      <w:r>
        <w:rPr>
          <w:rtl w:val="true"/>
        </w:rPr>
        <w:t xml:space="preserve">: </w:t>
      </w:r>
      <w:r>
        <w:rPr>
          <w:rtl w:val="true"/>
        </w:rPr>
        <w:t>ביצוע מעקבים</w:t>
      </w:r>
      <w:r>
        <w:rPr>
          <w:rtl w:val="true"/>
        </w:rPr>
        <w:t xml:space="preserve">, </w:t>
      </w:r>
      <w:r>
        <w:rPr>
          <w:rtl w:val="true"/>
        </w:rPr>
        <w:t>בין היתר באמצעות רכב שכור</w:t>
      </w:r>
      <w:r>
        <w:rPr>
          <w:rtl w:val="true"/>
        </w:rPr>
        <w:t xml:space="preserve">; </w:t>
      </w:r>
      <w:r>
        <w:rPr>
          <w:rtl w:val="true"/>
        </w:rPr>
        <w:t>תכנון נתיבי הגעה ומילוט</w:t>
      </w:r>
      <w:r>
        <w:rPr>
          <w:rtl w:val="true"/>
        </w:rPr>
        <w:t xml:space="preserve">; </w:t>
      </w:r>
      <w:r>
        <w:rPr>
          <w:rtl w:val="true"/>
        </w:rPr>
        <w:t xml:space="preserve">רכישת טלפונים </w:t>
      </w:r>
      <w:r>
        <w:rPr>
          <w:rtl w:val="true"/>
        </w:rPr>
        <w:t>'</w:t>
      </w:r>
      <w:r>
        <w:rPr>
          <w:rtl w:val="true"/>
        </w:rPr>
        <w:t>מבצעיים</w:t>
      </w:r>
      <w:r>
        <w:rPr>
          <w:rtl w:val="true"/>
        </w:rPr>
        <w:t xml:space="preserve">'; </w:t>
      </w:r>
      <w:r>
        <w:rPr>
          <w:rtl w:val="true"/>
        </w:rPr>
        <w:t>שכירת דירת מסתור</w:t>
      </w:r>
      <w:r>
        <w:rPr>
          <w:rtl w:val="true"/>
        </w:rPr>
        <w:t xml:space="preserve">; </w:t>
      </w:r>
      <w:r>
        <w:rPr>
          <w:rtl w:val="true"/>
        </w:rPr>
        <w:t>והצטיידות בקטנוע ובנשקים חמים</w:t>
      </w:r>
      <w:r>
        <w:rPr>
          <w:rtl w:val="true"/>
        </w:rPr>
        <w:t xml:space="preserve">. </w:t>
      </w:r>
      <w:r>
        <w:rPr>
          <w:rtl w:val="true"/>
        </w:rPr>
        <w:t>לאחר שאיתרו המערערים את אחד מחבריה של החבורה</w:t>
      </w:r>
      <w:r>
        <w:rPr>
          <w:rtl w:val="true"/>
        </w:rPr>
        <w:t xml:space="preserve">, </w:t>
      </w:r>
      <w:r>
        <w:rPr>
          <w:rtl w:val="true"/>
        </w:rPr>
        <w:t>תכננו קובס ועתאבא לרצוח אותו בתוך זמן קצר אולם</w:t>
      </w:r>
      <w:r>
        <w:rPr>
          <w:rtl w:val="true"/>
        </w:rPr>
        <w:t xml:space="preserve">, </w:t>
      </w:r>
      <w:r>
        <w:rPr>
          <w:rtl w:val="true"/>
        </w:rPr>
        <w:t xml:space="preserve">רצונם של קובס ועתאבא לא הבשיל לכדי מעשה בשל קשיים </w:t>
      </w:r>
      <w:r>
        <w:rPr>
          <w:rtl w:val="true"/>
        </w:rPr>
        <w:t>'</w:t>
      </w:r>
      <w:r>
        <w:rPr>
          <w:rtl w:val="true"/>
        </w:rPr>
        <w:t>לוגיסטיים</w:t>
      </w:r>
      <w:r>
        <w:rPr>
          <w:rtl w:val="true"/>
        </w:rPr>
        <w:t xml:space="preserve">'.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שלושת המערערים תכננו לרצוח אדם אחר מתוך החבורה </w:t>
      </w:r>
      <w:r>
        <w:rPr>
          <w:rtl w:val="true"/>
        </w:rPr>
        <w:t>–</w:t>
      </w:r>
      <w:r>
        <w:rPr>
          <w:rtl w:val="true"/>
        </w:rPr>
        <w:t xml:space="preserve"> באמצעות שימוש בנשק חם</w:t>
      </w:r>
      <w:r>
        <w:rPr>
          <w:rtl w:val="true"/>
        </w:rPr>
        <w:t xml:space="preserve">. </w:t>
      </w:r>
      <w:r>
        <w:rPr>
          <w:rtl w:val="true"/>
        </w:rPr>
        <w:t>כדי לאפשר את ביצוע זממם מבלי להיתפס בוסקילה שכר דירה למספר ימים כדי שתשמש להם כמסתור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 xml:space="preserve">בוסקילה </w:t>
      </w:r>
      <w:r>
        <w:rPr>
          <w:rtl w:val="true"/>
        </w:rPr>
        <w:t xml:space="preserve">הביא שני אקדחים </w:t>
      </w:r>
      <w:r>
        <w:rPr>
          <w:rtl w:val="true"/>
        </w:rPr>
        <w:t>ושתי מחסניות</w:t>
      </w:r>
      <w:r>
        <w:rPr>
          <w:rtl w:val="true"/>
        </w:rPr>
        <w:t xml:space="preserve"> תואמ</w:t>
      </w:r>
      <w:r>
        <w:rPr>
          <w:rtl w:val="true"/>
        </w:rPr>
        <w:t>ו</w:t>
      </w:r>
      <w:r>
        <w:rPr>
          <w:rtl w:val="true"/>
        </w:rPr>
        <w:t xml:space="preserve">ת ומסרם </w:t>
      </w:r>
      <w:r>
        <w:rPr>
          <w:rtl w:val="true"/>
        </w:rPr>
        <w:t>לקובס ועתאבא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החזיקו בהם מוחבאים</w:t>
      </w:r>
      <w:r>
        <w:rPr>
          <w:rtl w:val="true"/>
        </w:rPr>
        <w:t xml:space="preserve"> בחצר בסמוך</w:t>
      </w:r>
      <w:r>
        <w:rPr>
          <w:rtl w:val="true"/>
        </w:rPr>
        <w:t xml:space="preserve"> לדירת המסתור</w:t>
      </w:r>
      <w:r>
        <w:rPr>
          <w:rtl w:val="true"/>
        </w:rPr>
        <w:t xml:space="preserve">. </w:t>
      </w:r>
      <w:r>
        <w:rPr>
          <w:rtl w:val="true"/>
        </w:rPr>
        <w:t xml:space="preserve">נאשם אחר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 xml:space="preserve">דאג </w:t>
      </w:r>
      <w:r>
        <w:rPr>
          <w:rtl w:val="true"/>
        </w:rPr>
        <w:t xml:space="preserve">כי יובא </w:t>
      </w:r>
      <w:r>
        <w:rPr>
          <w:rtl w:val="true"/>
        </w:rPr>
        <w:t>לדירת</w:t>
      </w:r>
      <w:r>
        <w:rPr>
          <w:rtl w:val="true"/>
        </w:rPr>
        <w:t xml:space="preserve"> המסתור</w:t>
      </w:r>
      <w:r>
        <w:rPr>
          <w:rtl w:val="true"/>
        </w:rPr>
        <w:t xml:space="preserve"> גם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קטנוע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מספר שעות לאחר מכן</w:t>
      </w:r>
      <w:r>
        <w:rPr>
          <w:rtl w:val="true"/>
        </w:rPr>
        <w:t xml:space="preserve">, </w:t>
      </w:r>
      <w:r>
        <w:rPr>
          <w:rtl w:val="true"/>
        </w:rPr>
        <w:t>ובטרם ביצעו את זממם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נעצרו הנאשמים האחרים בדירת המסתור ובמקום נתפסו האקדחים</w:t>
      </w:r>
      <w:r>
        <w:rPr>
          <w:rtl w:val="true"/>
        </w:rPr>
        <w:t xml:space="preserve">, </w:t>
      </w:r>
      <w:r>
        <w:rPr>
          <w:rtl w:val="true"/>
        </w:rPr>
        <w:t>הטלפונים הייעודיים</w:t>
      </w:r>
      <w:r>
        <w:rPr>
          <w:rtl w:val="true"/>
        </w:rPr>
        <w:t xml:space="preserve">, </w:t>
      </w:r>
      <w:r>
        <w:rPr>
          <w:rtl w:val="true"/>
        </w:rPr>
        <w:t xml:space="preserve">שני </w:t>
      </w:r>
      <w:r>
        <w:rPr>
          <w:rtl w:val="true"/>
        </w:rPr>
        <w:t>אפודי מגן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הקטנוע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לשם שלמות התמונה יצוין כי ביום </w:t>
      </w:r>
      <w:r>
        <w:rPr/>
        <w:t>21.05.2023</w:t>
      </w:r>
      <w:r>
        <w:rPr>
          <w:rtl w:val="true"/>
        </w:rPr>
        <w:t xml:space="preserve"> </w:t>
      </w:r>
      <w:r>
        <w:rPr>
          <w:rtl w:val="true"/>
        </w:rPr>
        <w:t xml:space="preserve">גזר בית המשפט המחוזי את </w:t>
      </w:r>
      <w:r>
        <w:rPr>
          <w:rtl w:val="true"/>
        </w:rPr>
        <w:t>דינם של חמשת הנאשמים האחרים בפרשה</w:t>
      </w:r>
      <w:r>
        <w:rPr>
          <w:rtl w:val="true"/>
        </w:rPr>
        <w:t xml:space="preserve">, </w:t>
      </w:r>
      <w:r>
        <w:rPr>
          <w:rtl w:val="true"/>
        </w:rPr>
        <w:t>בגין עבירות דומות</w:t>
      </w:r>
      <w:r>
        <w:rPr>
          <w:rtl w:val="true"/>
        </w:rPr>
        <w:t xml:space="preserve">; </w:t>
      </w:r>
      <w:r>
        <w:rPr>
          <w:rtl w:val="true"/>
        </w:rPr>
        <w:t xml:space="preserve">וכי ביום </w:t>
      </w:r>
      <w:r>
        <w:rPr/>
        <w:t>24.05.2023</w:t>
      </w:r>
      <w:r>
        <w:rPr>
          <w:rtl w:val="true"/>
        </w:rPr>
        <w:t xml:space="preserve"> </w:t>
      </w:r>
      <w:r>
        <w:rPr>
          <w:rtl w:val="true"/>
        </w:rPr>
        <w:t xml:space="preserve">גזר בית המשפט המחוזי את </w:t>
      </w:r>
      <w:r>
        <w:rPr>
          <w:rtl w:val="true"/>
        </w:rPr>
        <w:t>דינם של המערערים שלפנינו</w:t>
      </w:r>
      <w:r>
        <w:rPr>
          <w:rtl w:val="true"/>
        </w:rPr>
        <w:t xml:space="preserve">. </w:t>
      </w:r>
      <w:r>
        <w:rPr>
          <w:rtl w:val="true"/>
        </w:rPr>
        <w:t>בשלב הטיעונים לעונש העיד מטעמו של קובס פסיכיאטר</w:t>
      </w:r>
      <w:r>
        <w:rPr>
          <w:rtl w:val="true"/>
        </w:rPr>
        <w:t xml:space="preserve">, </w:t>
      </w:r>
      <w:r>
        <w:rPr>
          <w:rtl w:val="true"/>
        </w:rPr>
        <w:t>שהסביר כי למיטב אבחנתו קובס סובל מהפרעת דחק פוסט טראומתית עם מרכיב פסיכוטי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כדי לתמוך בטענתו המשפטית של קובס שלפיה הוא פעל בקרבה לסייג לאחריות פלילית</w:t>
      </w:r>
      <w:r>
        <w:rPr>
          <w:rtl w:val="true"/>
        </w:rPr>
        <w:t xml:space="preserve">, </w:t>
      </w:r>
      <w:r>
        <w:rPr>
          <w:rtl w:val="true"/>
        </w:rPr>
        <w:t xml:space="preserve">וכן בטענתו של קובס כי כלל לא בטוח אם הוא היה יכול לממש את </w:t>
      </w:r>
      <w:r>
        <w:rPr>
          <w:rtl w:val="true"/>
        </w:rPr>
        <w:t>מַאֲוַיּוֹ</w:t>
      </w:r>
      <w:r>
        <w:rPr>
          <w:rtl w:val="true"/>
        </w:rPr>
        <w:t xml:space="preserve">. </w:t>
      </w:r>
      <w:r>
        <w:rPr>
          <w:rtl w:val="true"/>
        </w:rPr>
        <w:t>המדינה התנגדה לכך</w:t>
      </w:r>
      <w:r>
        <w:rPr>
          <w:rtl w:val="true"/>
        </w:rPr>
        <w:t xml:space="preserve">, </w:t>
      </w:r>
      <w:r>
        <w:rPr>
          <w:rtl w:val="true"/>
        </w:rPr>
        <w:t>וטענה כי מימוש מעשה הנקמה נמנע ברגע האחרון</w:t>
      </w:r>
      <w:r>
        <w:rPr>
          <w:rtl w:val="true"/>
        </w:rPr>
        <w:t xml:space="preserve">, </w:t>
      </w:r>
      <w:r>
        <w:rPr>
          <w:rtl w:val="true"/>
        </w:rPr>
        <w:t>וכי מעשי המערערים עולים עד כדי פשיעה מאורגנת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Arial" w:hAnsi="Arial" w:cs="Arial"/>
        </w:rPr>
      </w:pPr>
      <w:r>
        <w:rPr>
          <w:rtl w:val="true"/>
        </w:rPr>
        <w:tab/>
      </w:r>
      <w:r>
        <w:rPr>
          <w:rtl w:val="true"/>
        </w:rPr>
        <w:t>בעת גזירת הדין</w:t>
      </w:r>
      <w:r>
        <w:rPr>
          <w:rtl w:val="true"/>
        </w:rPr>
        <w:t xml:space="preserve">, </w:t>
      </w:r>
      <w:r>
        <w:rPr>
          <w:rtl w:val="true"/>
        </w:rPr>
        <w:t>נדרש בית המשפט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 xml:space="preserve">לערך </w:t>
      </w:r>
      <w:r>
        <w:rPr>
          <w:rFonts w:ascii="Arial" w:hAnsi="Arial" w:cs="Arial"/>
          <w:rtl w:val="true"/>
        </w:rPr>
        <w:t xml:space="preserve">החברתי </w:t>
      </w:r>
      <w:r>
        <w:rPr>
          <w:rFonts w:ascii="Arial" w:hAnsi="Arial" w:cs="Arial"/>
          <w:rtl w:val="true"/>
        </w:rPr>
        <w:t xml:space="preserve">המוגן שביסוד </w:t>
      </w:r>
      <w:r>
        <w:rPr>
          <w:rFonts w:ascii="Arial" w:hAnsi="Arial" w:cs="Arial"/>
          <w:rtl w:val="true"/>
        </w:rPr>
        <w:t>עבירת</w:t>
      </w:r>
      <w:r>
        <w:rPr>
          <w:rFonts w:ascii="Arial" w:hAnsi="Arial" w:cs="Arial"/>
          <w:rtl w:val="true"/>
        </w:rPr>
        <w:t xml:space="preserve"> קשירת הקשר לביצוע רצח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הזכות לחיים ולביטחון אישי</w:t>
      </w:r>
      <w:r>
        <w:rPr>
          <w:rFonts w:ascii="Arial" w:hAnsi="Arial" w:cs="Arial"/>
          <w:rtl w:val="true"/>
        </w:rPr>
        <w:t xml:space="preserve"> ולמידת הפגיעה בערך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בקבעו כי הוא ניצב ברף בינוני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 טענת קובס כי פעל במצב דברים הקרוב לסייג של אי שפיות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משפעל באופן מאורגן וקוהרנטי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הודגש כי גם אם הקשר הראשון היה מעורפל במעט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הקשר השני נקשר בצורה יעילה וממוקדת למימוש התוכנית העבריינית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לאחר </w:t>
      </w:r>
      <w:r>
        <w:rPr>
          <w:rtl w:val="true"/>
        </w:rPr>
        <w:t>שהביא במניין שיקוליו את שתואר בתמצית עד כה</w:t>
      </w:r>
      <w:r>
        <w:rPr>
          <w:rtl w:val="true"/>
        </w:rPr>
        <w:t xml:space="preserve">, </w:t>
      </w:r>
      <w:r>
        <w:rPr>
          <w:rtl w:val="true"/>
        </w:rPr>
        <w:t>לרבות בעניין עבירות הנשק</w:t>
      </w:r>
      <w:r>
        <w:rPr>
          <w:rtl w:val="true"/>
        </w:rPr>
        <w:t xml:space="preserve">, </w:t>
      </w:r>
      <w:r>
        <w:rPr>
          <w:rtl w:val="true"/>
        </w:rPr>
        <w:t>העמיד בית המשפט המחוזי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מאסר על תנאי וקנס ביחס לקובס ועתאבא</w:t>
      </w:r>
      <w:r>
        <w:rPr>
          <w:rtl w:val="true"/>
        </w:rPr>
        <w:t xml:space="preserve">; </w:t>
      </w:r>
      <w:r>
        <w:rPr>
          <w:rtl w:val="true"/>
        </w:rPr>
        <w:t xml:space="preserve">ועל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לצד מאסר על תנאי וקנס ביחס לבוסקילה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>כי אין הצדקה לסטות ממתחמי העונש שנקבעו</w:t>
      </w:r>
      <w:r>
        <w:rPr>
          <w:rtl w:val="true"/>
        </w:rPr>
        <w:t xml:space="preserve">, </w:t>
      </w:r>
      <w:r>
        <w:rPr>
          <w:rtl w:val="true"/>
        </w:rPr>
        <w:t>לא לקולה ולא לחומרה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Fonts w:cs="Arial" w:ascii="Arial" w:hAnsi="Arial"/>
          <w:rtl w:val="true"/>
        </w:rPr>
        <w:tab/>
      </w:r>
      <w:r>
        <w:rPr>
          <w:rtl w:val="true"/>
        </w:rPr>
        <w:t>בעת קביעת עונשם של המערערים</w:t>
      </w:r>
      <w:r>
        <w:rPr>
          <w:rtl w:val="true"/>
        </w:rPr>
        <w:t xml:space="preserve">, </w:t>
      </w:r>
      <w:r>
        <w:rPr>
          <w:rtl w:val="true"/>
        </w:rPr>
        <w:t>בגדרי מתחמי הענישה</w:t>
      </w:r>
      <w:r>
        <w:rPr>
          <w:rtl w:val="true"/>
        </w:rPr>
        <w:t xml:space="preserve">, </w:t>
      </w:r>
      <w:r>
        <w:rPr>
          <w:rtl w:val="true"/>
        </w:rPr>
        <w:t>בית המשפט נדרש לעברם הפלילי של קובס ובוסקילה</w:t>
      </w:r>
      <w:r>
        <w:rPr>
          <w:rtl w:val="true"/>
        </w:rPr>
        <w:t xml:space="preserve">, </w:t>
      </w:r>
      <w:r>
        <w:rPr>
          <w:rtl w:val="true"/>
        </w:rPr>
        <w:t>לחלקו של כל אחד מהמערערים בפרשה ולמידת הדומיננטיות של כל אחד מהם</w:t>
      </w:r>
      <w:r>
        <w:rPr>
          <w:rtl w:val="true"/>
        </w:rPr>
        <w:t xml:space="preserve">, </w:t>
      </w:r>
      <w:r>
        <w:rPr>
          <w:rtl w:val="true"/>
        </w:rPr>
        <w:t>להודאתם והבעת החרטה מצדם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נדרש בית המשפט לנתונים אישיים</w:t>
      </w:r>
      <w:r>
        <w:rPr>
          <w:rtl w:val="true"/>
        </w:rPr>
        <w:t>-</w:t>
      </w:r>
      <w:r>
        <w:rPr>
          <w:rtl w:val="true"/>
        </w:rPr>
        <w:t>רפואיים של המערערים ושל בני משפחתם</w:t>
      </w:r>
      <w:r>
        <w:rPr>
          <w:rtl w:val="true"/>
        </w:rPr>
        <w:t xml:space="preserve">, </w:t>
      </w:r>
      <w:r>
        <w:rPr>
          <w:rtl w:val="true"/>
        </w:rPr>
        <w:t>דוגמת מצבו הקשה של אביו של בוסקילה שאף העיד בפני בית המשפט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 xml:space="preserve">הוטל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קובס</w:t>
      </w:r>
      <w:r>
        <w:rPr>
          <w:rtl w:val="true"/>
        </w:rPr>
        <w:t xml:space="preserve"> עונש מאסר בפועל של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שיימנה מיום מעצרו בתאריך </w:t>
      </w:r>
      <w:r>
        <w:rPr/>
        <w:t>01.06.2022</w:t>
      </w:r>
      <w:r>
        <w:rPr>
          <w:rtl w:val="true"/>
        </w:rPr>
        <w:t xml:space="preserve">,  </w:t>
      </w:r>
      <w:r>
        <w:rPr>
          <w:rtl w:val="true"/>
        </w:rPr>
        <w:t xml:space="preserve">מאסר מותנה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וקנס בגובה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עתאבא</w:t>
      </w:r>
      <w:r>
        <w:rPr>
          <w:rtl w:val="true"/>
        </w:rPr>
        <w:t xml:space="preserve"> הוטל עונש מאסר בפועל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שיימנה מיום מעצרו בתאריך </w:t>
      </w:r>
      <w:r>
        <w:rPr/>
        <w:t>01.06.2022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וקנס בגובה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 xml:space="preserve">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בוסקילה</w:t>
      </w:r>
      <w:r>
        <w:rPr>
          <w:rtl w:val="true"/>
        </w:rPr>
        <w:t xml:space="preserve"> הוטל עונש מאסר בפועל של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שיימנה מיום מעצרו בתאריך </w:t>
      </w:r>
      <w:r>
        <w:rPr/>
        <w:t>01.06.2022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וקנס בגובה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מכאן הערעורים שלפנינו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טוענים המערערים כי בית המשפט המחוזי החמיר עמם יתר על המידה</w:t>
      </w:r>
      <w:r>
        <w:rPr>
          <w:rtl w:val="true"/>
        </w:rPr>
        <w:t xml:space="preserve">, </w:t>
      </w:r>
      <w:r>
        <w:rPr>
          <w:rtl w:val="true"/>
        </w:rPr>
        <w:t>הן ביחס למתחם שנקבע</w:t>
      </w:r>
      <w:r>
        <w:rPr>
          <w:rtl w:val="true"/>
        </w:rPr>
        <w:t xml:space="preserve">, </w:t>
      </w:r>
      <w:r>
        <w:rPr>
          <w:rtl w:val="true"/>
        </w:rPr>
        <w:t>הן ביחס למיקומם בגדרו</w:t>
      </w:r>
      <w:r>
        <w:rPr>
          <w:rtl w:val="true"/>
        </w:rPr>
        <w:t xml:space="preserve">, </w:t>
      </w:r>
      <w:r>
        <w:rPr>
          <w:rtl w:val="true"/>
        </w:rPr>
        <w:t xml:space="preserve">לרבות בשאלת החריגה ממנו לקולה </w:t>
      </w:r>
      <w:r>
        <w:rPr>
          <w:rtl w:val="true"/>
        </w:rPr>
        <w:t>–</w:t>
      </w:r>
      <w:r>
        <w:rPr>
          <w:rtl w:val="true"/>
        </w:rPr>
        <w:t xml:space="preserve"> משלא התחשב די הצורך הן בנתוניהם האישיים והמשפחתיים שהוצגו בפניו</w:t>
      </w:r>
      <w:r>
        <w:rPr>
          <w:rtl w:val="true"/>
        </w:rPr>
        <w:t xml:space="preserve">; </w:t>
      </w:r>
      <w:r>
        <w:rPr>
          <w:rtl w:val="true"/>
        </w:rPr>
        <w:t>הן במו</w:t>
      </w:r>
      <w:r>
        <w:rPr>
          <w:rtl w:val="true"/>
        </w:rPr>
        <w:t>"</w:t>
      </w:r>
      <w:r>
        <w:rPr>
          <w:rtl w:val="true"/>
        </w:rPr>
        <w:t>מ הממושך שהוביל לתיקון כתב האישום ונפקותו של התיקון על אודות חומרת המעשים</w:t>
      </w:r>
      <w:r>
        <w:rPr>
          <w:rtl w:val="true"/>
        </w:rPr>
        <w:t xml:space="preserve">; </w:t>
      </w:r>
      <w:r>
        <w:rPr>
          <w:rtl w:val="true"/>
        </w:rPr>
        <w:t>ומשנמנע מליתן משקל משמעותי על הודיית המערערים והחיסכון בזמן שיפוטי יקר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קשירת הקשר הייתה רחוקה מלצאת אל הפועל</w:t>
      </w:r>
      <w:r>
        <w:rPr>
          <w:rtl w:val="true"/>
        </w:rPr>
        <w:t xml:space="preserve">, </w:t>
      </w:r>
      <w:r>
        <w:rPr>
          <w:rtl w:val="true"/>
        </w:rPr>
        <w:t>והתבטאה ב</w:t>
      </w:r>
      <w:r>
        <w:rPr>
          <w:rtl w:val="true"/>
        </w:rPr>
        <w:t>'</w:t>
      </w:r>
      <w:r>
        <w:rPr>
          <w:rtl w:val="true"/>
        </w:rPr>
        <w:t>דיבורים</w:t>
      </w:r>
      <w:r>
        <w:rPr>
          <w:rtl w:val="true"/>
        </w:rPr>
        <w:t xml:space="preserve">' </w:t>
      </w:r>
      <w:r>
        <w:rPr>
          <w:rtl w:val="true"/>
        </w:rPr>
        <w:t>ועדות לכך ניתן למצוא בעובדה שהמשטרה התמהמה מלעצור את קשירת הקשר על אתר</w:t>
      </w:r>
      <w:r>
        <w:rPr>
          <w:rtl w:val="true"/>
        </w:rPr>
        <w:t xml:space="preserve">, </w:t>
      </w:r>
      <w:r>
        <w:rPr>
          <w:rtl w:val="true"/>
        </w:rPr>
        <w:t>עת נודע לה דבר התוכנית</w:t>
      </w:r>
      <w:r>
        <w:rPr>
          <w:rtl w:val="true"/>
        </w:rPr>
        <w:t xml:space="preserve">. </w:t>
      </w:r>
      <w:r>
        <w:rPr>
          <w:rtl w:val="true"/>
        </w:rPr>
        <w:t>זאת ועוד נטען</w:t>
      </w:r>
      <w:r>
        <w:rPr>
          <w:rtl w:val="true"/>
        </w:rPr>
        <w:t xml:space="preserve">, </w:t>
      </w:r>
      <w:r>
        <w:rPr>
          <w:rtl w:val="true"/>
        </w:rPr>
        <w:t>כי בית משפט קמא התעלם מהפסיקה הרבה שהגישו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באופן שסותר את מצוות המחוקק בתיקון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לא למותר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המערערים ייחדו גם חלק נכבד לשאלת </w:t>
      </w:r>
      <w:r>
        <w:rPr>
          <w:rtl w:val="true"/>
        </w:rPr>
        <w:t>(</w:t>
      </w:r>
      <w:r>
        <w:rPr>
          <w:rtl w:val="true"/>
        </w:rPr>
        <w:t>אי</w:t>
      </w:r>
      <w:r>
        <w:rPr>
          <w:rtl w:val="true"/>
        </w:rPr>
        <w:t xml:space="preserve">) </w:t>
      </w:r>
      <w:r>
        <w:rPr>
          <w:rtl w:val="true"/>
        </w:rPr>
        <w:t>אחידות הענישה</w:t>
      </w:r>
      <w:r>
        <w:rPr>
          <w:rtl w:val="true"/>
        </w:rPr>
        <w:t xml:space="preserve">, </w:t>
      </w:r>
      <w:r>
        <w:rPr>
          <w:rtl w:val="true"/>
        </w:rPr>
        <w:t>ולהבחנה שנעשתה</w:t>
      </w:r>
      <w:r>
        <w:rPr>
          <w:rtl w:val="true"/>
        </w:rPr>
        <w:t xml:space="preserve">, </w:t>
      </w:r>
      <w:r>
        <w:rPr>
          <w:rtl w:val="true"/>
        </w:rPr>
        <w:t>בפרט ביחס לעבירות הנשק</w:t>
      </w:r>
      <w:r>
        <w:rPr>
          <w:rtl w:val="true"/>
        </w:rPr>
        <w:t xml:space="preserve">, </w:t>
      </w:r>
      <w:r>
        <w:rPr>
          <w:rtl w:val="true"/>
        </w:rPr>
        <w:t>בין הנאשמים השונים בפרשה</w:t>
      </w:r>
      <w:r>
        <w:rPr>
          <w:rtl w:val="true"/>
        </w:rPr>
        <w:t xml:space="preserve">, </w:t>
      </w:r>
      <w:r>
        <w:rPr>
          <w:rtl w:val="true"/>
        </w:rPr>
        <w:t>בגזרי דינם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בצד טיעונים חופפים אלה</w:t>
      </w:r>
      <w:r>
        <w:rPr>
          <w:rtl w:val="true"/>
        </w:rPr>
        <w:t xml:space="preserve">, </w:t>
      </w:r>
      <w:r>
        <w:rPr>
          <w:rtl w:val="true"/>
        </w:rPr>
        <w:t>קובס ייחד חלק משמעותי מערעורו לסוגיית מצבו הנפשי</w:t>
      </w:r>
      <w:r>
        <w:rPr>
          <w:rtl w:val="true"/>
        </w:rPr>
        <w:t xml:space="preserve">, </w:t>
      </w:r>
      <w:r>
        <w:rPr>
          <w:rtl w:val="true"/>
        </w:rPr>
        <w:t>והשפעתו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כשהוא תולה יהבו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פסיכיאטרי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חיסול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ניצל</w:t>
      </w:r>
      <w:r>
        <w:rPr>
          <w:rtl w:val="true"/>
        </w:rPr>
        <w:t xml:space="preserve">"; </w:t>
      </w:r>
      <w:r>
        <w:rPr>
          <w:rtl w:val="true"/>
        </w:rPr>
        <w:t>ובמה שנחזה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כסתירות בין קביעות בית המשפט בגזר דינו ובין קביעותיו בגזר הדין שניתן כמה ימים קודם לכן</w:t>
      </w:r>
      <w:r>
        <w:rPr>
          <w:rtl w:val="true"/>
        </w:rPr>
        <w:t xml:space="preserve">, </w:t>
      </w:r>
      <w:r>
        <w:rPr>
          <w:rtl w:val="true"/>
        </w:rPr>
        <w:t xml:space="preserve">ביחס לנאשמים </w:t>
      </w:r>
      <w:r>
        <w:rPr/>
        <w:t>8-4</w:t>
      </w:r>
      <w:r>
        <w:rPr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מאידך גיסא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דרשה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בערעורה</w:t>
      </w:r>
      <w:r>
        <w:rPr>
          <w:rtl w:val="true"/>
        </w:rPr>
        <w:t>-</w:t>
      </w:r>
      <w:r>
        <w:rPr>
          <w:rtl w:val="true"/>
        </w:rPr>
        <w:t>שלה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להחמיר </w:t>
      </w:r>
      <w:r>
        <w:rPr>
          <w:rtl w:val="true"/>
        </w:rPr>
        <w:t>את מתחמי הענישה</w:t>
      </w:r>
      <w:r>
        <w:rPr>
          <w:rtl w:val="true"/>
        </w:rPr>
        <w:t xml:space="preserve"> </w:t>
      </w:r>
      <w:r>
        <w:rPr>
          <w:rtl w:val="true"/>
        </w:rPr>
        <w:t>שנקבעו בצורה משמעותית ולהתערב במיקום העונשים בגדרי המתחמים</w:t>
      </w:r>
      <w:r>
        <w:rPr>
          <w:rtl w:val="true"/>
        </w:rPr>
        <w:t xml:space="preserve">. </w:t>
      </w:r>
      <w:r>
        <w:rPr>
          <w:rtl w:val="true"/>
        </w:rPr>
        <w:t>זאת משום שהעונשים שהוטלו בפועל מקלים עם המערערים יתר על המידה ואינם הולמים את חומרת המעשים</w:t>
      </w:r>
      <w:r>
        <w:rPr>
          <w:rtl w:val="true"/>
        </w:rPr>
        <w:t xml:space="preserve">, </w:t>
      </w:r>
      <w:r>
        <w:rPr>
          <w:rtl w:val="true"/>
        </w:rPr>
        <w:t>ומשום שאין בהם כדי להלום את הצורך בענישה מרתיעה עבור מי ש</w:t>
      </w:r>
      <w:r>
        <w:rPr>
          <w:rtl w:val="true"/>
        </w:rPr>
        <w:t>'</w:t>
      </w:r>
      <w:r>
        <w:rPr>
          <w:rtl w:val="true"/>
        </w:rPr>
        <w:t>לוקחים את החוק לידיים</w:t>
      </w:r>
      <w:r>
        <w:rPr>
          <w:rtl w:val="true"/>
        </w:rPr>
        <w:t xml:space="preserve">'.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ביחס לעבירת קשירת הקשר</w:t>
      </w:r>
      <w:r>
        <w:rPr>
          <w:rtl w:val="true"/>
        </w:rPr>
        <w:t xml:space="preserve">,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 xml:space="preserve">כי מעשי המערערים ניצבים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tl w:val="true"/>
        </w:rPr>
        <w:t xml:space="preserve">", </w:t>
      </w:r>
      <w:r>
        <w:rPr>
          <w:rtl w:val="true"/>
        </w:rPr>
        <w:t>הן בהתחשב במיהות העבירה שלשמה נקשר הקשר</w:t>
      </w:r>
      <w:r>
        <w:rPr>
          <w:rtl w:val="true"/>
        </w:rPr>
        <w:t xml:space="preserve">, </w:t>
      </w:r>
      <w:r>
        <w:rPr>
          <w:rtl w:val="true"/>
        </w:rPr>
        <w:t>דהיינו ביצוע שתי עבירות רצח באנשים שונים</w:t>
      </w:r>
      <w:r>
        <w:rPr>
          <w:rtl w:val="true"/>
        </w:rPr>
        <w:t xml:space="preserve">; </w:t>
      </w:r>
      <w:r>
        <w:rPr>
          <w:rtl w:val="true"/>
        </w:rPr>
        <w:t xml:space="preserve">הן נוכח מעשי ההכנה והתכנון שנעשו בגדרי העבירה </w:t>
      </w:r>
      <w:r>
        <w:rPr>
          <w:rtl w:val="true"/>
        </w:rPr>
        <w:t>–</w:t>
      </w:r>
      <w:r>
        <w:rPr>
          <w:rtl w:val="true"/>
        </w:rPr>
        <w:t xml:space="preserve"> שכן המערערים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ומתוכנן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". </w:t>
      </w:r>
      <w:r>
        <w:rPr>
          <w:rtl w:val="true"/>
        </w:rPr>
        <w:t>בהקשר זה הוזכר כי לצד עבירת קשירת הקשר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נקבע בחוק 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המעיד על עמדתו הערכית של המחוקק ביחס לקשירת קשר שניצבת ברף העליון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אשר לעבירות הנשק הוטעם</w:t>
      </w:r>
      <w:r>
        <w:rPr>
          <w:rtl w:val="true"/>
        </w:rPr>
        <w:t xml:space="preserve">, </w:t>
      </w:r>
      <w:r>
        <w:rPr>
          <w:rtl w:val="true"/>
        </w:rPr>
        <w:t>כי יש להתערב במתחם שנקבע משעה שהמתחם</w:t>
      </w:r>
      <w:r>
        <w:rPr>
          <w:rtl w:val="true"/>
        </w:rPr>
        <w:t xml:space="preserve">, </w:t>
      </w:r>
      <w:r>
        <w:rPr>
          <w:rtl w:val="true"/>
        </w:rPr>
        <w:t>כמו גם העונשים שנקבעו בגדרו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ניכרת</w:t>
      </w:r>
      <w:r>
        <w:rPr>
          <w:rtl w:val="true"/>
        </w:rPr>
        <w:t xml:space="preserve">" </w:t>
      </w:r>
      <w:r>
        <w:rPr>
          <w:rtl w:val="true"/>
        </w:rPr>
        <w:t>ממדיניות הענישה המחמירה הנהוגה ביחס לעבירות נשק</w:t>
      </w:r>
      <w:r>
        <w:rPr>
          <w:rtl w:val="true"/>
        </w:rPr>
        <w:t xml:space="preserve">. </w:t>
      </w:r>
      <w:r>
        <w:rPr>
          <w:rtl w:val="true"/>
        </w:rPr>
        <w:t xml:space="preserve">המדינה הוסיפה לטעון כי גזר הדין נעדר התייחסות להוראת השעה שנקבעה בתיקון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בעניין עונש מזערי לעבירות הנשק בהיעדר טעמים מיוחדים להקלה לעונש</w:t>
      </w:r>
      <w:r>
        <w:rPr>
          <w:rtl w:val="true"/>
        </w:rPr>
        <w:t xml:space="preserve">. </w:t>
      </w:r>
      <w:r>
        <w:rPr>
          <w:rtl w:val="true"/>
        </w:rPr>
        <w:t>בהקשר זה הוטעם</w:t>
      </w:r>
      <w:r>
        <w:rPr>
          <w:rtl w:val="true"/>
        </w:rPr>
        <w:t xml:space="preserve">, </w:t>
      </w:r>
      <w:r>
        <w:rPr>
          <w:rtl w:val="true"/>
        </w:rPr>
        <w:t>כי נפקות התיקון בענייננו הוא כי רק בגין עבירות הנשק</w:t>
      </w:r>
      <w:r>
        <w:rPr>
          <w:rtl w:val="true"/>
        </w:rPr>
        <w:t xml:space="preserve">, </w:t>
      </w:r>
      <w:r>
        <w:rPr>
          <w:rtl w:val="true"/>
        </w:rPr>
        <w:t xml:space="preserve">יש להטיל לכל הפחות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 על קובס ועתאבא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על בוסקילה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אשר למיקומים בתוך מתמחי הענישה הוער</w:t>
      </w:r>
      <w:r>
        <w:rPr>
          <w:rtl w:val="true"/>
        </w:rPr>
        <w:t xml:space="preserve">, </w:t>
      </w:r>
      <w:r>
        <w:rPr>
          <w:rtl w:val="true"/>
        </w:rPr>
        <w:t>כי בית משפט קמא שגה בקביעת עונשו של קובס בחלקו התחתון של המתחם</w:t>
      </w:r>
      <w:r>
        <w:rPr>
          <w:rtl w:val="true"/>
        </w:rPr>
        <w:t xml:space="preserve">, </w:t>
      </w:r>
      <w:r>
        <w:rPr>
          <w:rtl w:val="true"/>
        </w:rPr>
        <w:t>ובקביעת עונשיהם של עתאבא ובוסקילה בתחתית מתחמי הענישה ממש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בכך לא ניתן ביטוי הולם לשיקולי הרתעת היחיד והרבים</w:t>
      </w:r>
      <w:r>
        <w:rPr>
          <w:rtl w:val="true"/>
        </w:rPr>
        <w:t xml:space="preserve">, </w:t>
      </w:r>
      <w:r>
        <w:rPr>
          <w:rtl w:val="true"/>
        </w:rPr>
        <w:t>או להגנה על שלום הציבור מפניהם</w:t>
      </w:r>
      <w:r>
        <w:rPr>
          <w:rtl w:val="true"/>
        </w:rPr>
        <w:t xml:space="preserve">. </w:t>
      </w:r>
      <w:r>
        <w:rPr>
          <w:rtl w:val="true"/>
        </w:rPr>
        <w:t>עוד נטען כי בית המשפט ייחס משקל יתר לנסיבות לקולה מאשר לנסיבות לחומרה</w:t>
      </w:r>
      <w:r>
        <w:rPr>
          <w:rtl w:val="true"/>
        </w:rPr>
        <w:t xml:space="preserve">, </w:t>
      </w:r>
      <w:r>
        <w:rPr>
          <w:rtl w:val="true"/>
        </w:rPr>
        <w:t>וכי גזר הדין לא נתן משקל מספק לעברם הפלילי של קובס ובוסקילה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 xml:space="preserve">לסיום ציינה המדינה </w:t>
      </w:r>
      <w:r>
        <w:rPr>
          <w:rtl w:val="true"/>
        </w:rPr>
        <w:t>,</w:t>
      </w:r>
      <w:r>
        <w:rPr>
          <w:rtl w:val="true"/>
        </w:rPr>
        <w:t>כי לדעתה גם על הנאשמים האחרים בפרשה הוטלו עונשים נמוכים מידי בגזר דינם הנפרד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בהתחשב בשוני העובדתי בחלקם בפרשה ביחס למערערים</w:t>
      </w:r>
      <w:r>
        <w:rPr>
          <w:rtl w:val="true"/>
        </w:rPr>
        <w:t xml:space="preserve">, </w:t>
      </w:r>
      <w:r>
        <w:rPr>
          <w:rtl w:val="true"/>
        </w:rPr>
        <w:t>ובשים לב לכך שהנאשמים האחרים סיימו</w:t>
      </w:r>
      <w:r>
        <w:rPr>
          <w:rtl w:val="true"/>
        </w:rPr>
        <w:t xml:space="preserve">, </w:t>
      </w:r>
      <w:r>
        <w:rPr>
          <w:rtl w:val="true"/>
        </w:rPr>
        <w:t>זה מכבר</w:t>
      </w:r>
      <w:r>
        <w:rPr>
          <w:rtl w:val="true"/>
        </w:rPr>
        <w:t xml:space="preserve">, </w:t>
      </w:r>
      <w:r>
        <w:rPr>
          <w:rtl w:val="true"/>
        </w:rPr>
        <w:t xml:space="preserve">לרצות את מאסרם ביום מתן גזר הדין נוכח משך מעצרם </w:t>
      </w:r>
      <w:r>
        <w:rPr>
          <w:rtl w:val="true"/>
        </w:rPr>
        <w:t>–</w:t>
      </w:r>
      <w:r>
        <w:rPr>
          <w:rtl w:val="true"/>
        </w:rPr>
        <w:t xml:space="preserve"> המדינה מיקדה את ערעורה במערערים בלבד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ביום </w:t>
      </w:r>
      <w:r>
        <w:rPr/>
        <w:t>21</w:t>
      </w:r>
      <w:r>
        <w:rPr/>
        <w:t>.</w:t>
      </w:r>
      <w:r>
        <w:rPr/>
        <w:t>09</w:t>
      </w:r>
      <w:r>
        <w:rPr/>
        <w:t>.2023</w:t>
      </w:r>
      <w:r>
        <w:rPr>
          <w:rtl w:val="true"/>
        </w:rPr>
        <w:t xml:space="preserve"> </w:t>
      </w:r>
      <w:r>
        <w:rPr>
          <w:rtl w:val="true"/>
        </w:rPr>
        <w:t>התקיים לפנינו דיון לצורך השלמת טיעון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במהלכו חזרו הצדדים על עיקרי טענותיהם</w:t>
      </w:r>
      <w:r>
        <w:rPr>
          <w:rtl w:val="true"/>
        </w:rPr>
        <w:t xml:space="preserve">, </w:t>
      </w:r>
      <w:r>
        <w:rPr>
          <w:rtl w:val="true"/>
        </w:rPr>
        <w:t>ואנו שאלנו את ששאלנו והערנו את שהערנו</w:t>
      </w:r>
      <w:r>
        <w:rPr>
          <w:rtl w:val="true"/>
        </w:rPr>
        <w:t xml:space="preserve">, </w:t>
      </w:r>
      <w:r>
        <w:rPr>
          <w:rtl w:val="true"/>
        </w:rPr>
        <w:t>בעיקר בכל הנוגע לטענות בדבר אי אחידות הענישה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מכאן </w:t>
      </w:r>
      <w:r>
        <w:rPr>
          <w:rtl w:val="true"/>
        </w:rPr>
        <w:t>–</w:t>
      </w:r>
      <w:r>
        <w:rPr>
          <w:rtl w:val="true"/>
        </w:rPr>
        <w:t xml:space="preserve"> הכרעתנו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לאחר </w:t>
      </w:r>
      <w:r>
        <w:rPr>
          <w:rtl w:val="true"/>
        </w:rPr>
        <w:t>עיון</w:t>
      </w:r>
      <w:r>
        <w:rPr>
          <w:rtl w:val="true"/>
        </w:rPr>
        <w:t xml:space="preserve"> בגזר</w:t>
      </w:r>
      <w:r>
        <w:rPr>
          <w:rtl w:val="true"/>
        </w:rPr>
        <w:t>י</w:t>
      </w:r>
      <w:r>
        <w:rPr>
          <w:rtl w:val="true"/>
        </w:rPr>
        <w:t xml:space="preserve"> הדין שנית</w:t>
      </w:r>
      <w:r>
        <w:rPr>
          <w:rtl w:val="true"/>
        </w:rPr>
        <w:t>נו</w:t>
      </w:r>
      <w:r>
        <w:rPr>
          <w:rtl w:val="true"/>
        </w:rPr>
        <w:t xml:space="preserve"> בבית המשפט 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נימוקי הערעורים </w:t>
      </w:r>
      <w:r>
        <w:rPr>
          <w:rtl w:val="true"/>
        </w:rPr>
        <w:t>ושקילת</w:t>
      </w:r>
      <w:r>
        <w:rPr>
          <w:rtl w:val="true"/>
        </w:rPr>
        <w:t xml:space="preserve"> טענות באי</w:t>
      </w:r>
      <w:r>
        <w:rPr>
          <w:rtl w:val="true"/>
        </w:rPr>
        <w:t>-</w:t>
      </w:r>
      <w:r>
        <w:rPr>
          <w:rtl w:val="true"/>
        </w:rPr>
        <w:t>כוח הצדדים בדיון</w:t>
      </w:r>
      <w:r>
        <w:rPr>
          <w:rtl w:val="true"/>
        </w:rPr>
        <w:t xml:space="preserve"> שקיימנו</w:t>
      </w:r>
      <w:r>
        <w:rPr>
          <w:rtl w:val="true"/>
        </w:rPr>
        <w:t xml:space="preserve">, </w:t>
      </w:r>
      <w:r>
        <w:rPr>
          <w:rtl w:val="true"/>
        </w:rPr>
        <w:t>ולאחר שנתתי דעתי על כלל 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מצאתי כי דין </w:t>
      </w:r>
      <w:r>
        <w:rPr>
          <w:rtl w:val="true"/>
        </w:rPr>
        <w:t>ערעור המדינה – להתקבל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 xml:space="preserve">כי דין </w:t>
      </w:r>
      <w:r>
        <w:rPr>
          <w:rtl w:val="true"/>
        </w:rPr>
        <w:t>ערעוריהם של קובס</w:t>
      </w:r>
      <w:r>
        <w:rPr>
          <w:rtl w:val="true"/>
        </w:rPr>
        <w:t xml:space="preserve">, </w:t>
      </w:r>
      <w:r>
        <w:rPr>
          <w:rtl w:val="true"/>
        </w:rPr>
        <w:t xml:space="preserve">עתאבא ובוסקילה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נקודת המוצא היא כי </w:t>
      </w:r>
      <w:r>
        <w:rPr>
          <w:rtl w:val="true"/>
        </w:rPr>
        <w:t>ה</w:t>
      </w:r>
      <w:r>
        <w:rPr>
          <w:rtl w:val="true"/>
        </w:rPr>
        <w:t>תערב</w:t>
      </w:r>
      <w:r>
        <w:rPr>
          <w:rtl w:val="true"/>
        </w:rPr>
        <w:t>ות</w:t>
      </w:r>
      <w:r>
        <w:rPr>
          <w:rtl w:val="true"/>
        </w:rPr>
        <w:t xml:space="preserve"> ערכאת הערעור בגזר הדין של הערכאה הדיונית שמורה למקרים </w:t>
      </w:r>
      <w:r>
        <w:rPr>
          <w:rtl w:val="true"/>
        </w:rPr>
        <w:t>חריגים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tl w:val="true"/>
        </w:rPr>
        <w:t>סטייה ממשית ממדיניות הענישה הראויה</w:t>
      </w:r>
      <w:r>
        <w:rPr>
          <w:rtl w:val="true"/>
        </w:rPr>
        <w:t xml:space="preserve"> או שנפלה בגזר הדין טענות מהותית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</w:t>
      </w:r>
      <w:r>
        <w:rPr/>
        <w:t>.</w:t>
      </w:r>
      <w:r>
        <w:rPr/>
        <w:t>02</w:t>
      </w:r>
      <w:r>
        <w:rPr/>
        <w:t>.</w:t>
      </w:r>
      <w:r>
        <w:rPr/>
        <w:t>2020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126/22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</w:t>
      </w:r>
      <w:r>
        <w:rPr/>
        <w:t>04</w:t>
      </w:r>
      <w:r>
        <w:rPr/>
        <w:t>.2022</w:t>
      </w:r>
      <w:r>
        <w:rPr>
          <w:rtl w:val="true"/>
        </w:rPr>
        <w:t>)).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tl w:val="true"/>
        </w:rPr>
        <w:t>בעניינ</w:t>
      </w:r>
      <w:r>
        <w:rPr>
          <w:rtl w:val="true"/>
        </w:rPr>
        <w:t>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</w:t>
      </w:r>
      <w:r>
        <w:rPr>
          <w:rtl w:val="true"/>
        </w:rPr>
        <w:t>יש</w:t>
      </w:r>
      <w:r>
        <w:rPr>
          <w:rtl w:val="true"/>
        </w:rPr>
        <w:t xml:space="preserve"> להחמיר בעונש</w:t>
      </w:r>
      <w:r>
        <w:rPr>
          <w:rtl w:val="true"/>
        </w:rPr>
        <w:t>ים שהוטלו על שלושת המערערים</w:t>
      </w:r>
      <w:r>
        <w:rPr>
          <w:rtl w:val="true"/>
        </w:rPr>
        <w:t xml:space="preserve">, </w:t>
      </w:r>
      <w:r>
        <w:rPr>
          <w:rtl w:val="true"/>
        </w:rPr>
        <w:t>משהם סוטים סטייה ממשית ממדיניות הענישה הראויה</w:t>
      </w:r>
      <w:r>
        <w:rPr>
          <w:rtl w:val="true"/>
        </w:rPr>
        <w:t xml:space="preserve">, </w:t>
      </w:r>
      <w:r>
        <w:rPr>
          <w:rtl w:val="true"/>
        </w:rPr>
        <w:t xml:space="preserve">אך זאת בכפוף להלכה לפיה ערכאת הערעור לא ממצה את הדין עם הנאשם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19.08.2018</w:t>
      </w:r>
      <w:r>
        <w:rPr>
          <w:rtl w:val="true"/>
        </w:rPr>
        <w:t xml:space="preserve">));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במידת מה</w:t>
      </w:r>
      <w:r>
        <w:rPr>
          <w:rtl w:val="true"/>
        </w:rPr>
        <w:t xml:space="preserve">, </w:t>
      </w:r>
      <w:r>
        <w:rPr>
          <w:rtl w:val="true"/>
        </w:rPr>
        <w:t>בשים לב לפערים בענישה</w:t>
      </w:r>
      <w:r>
        <w:rPr>
          <w:rtl w:val="true"/>
        </w:rPr>
        <w:t xml:space="preserve">, </w:t>
      </w:r>
      <w:r>
        <w:rPr>
          <w:rtl w:val="true"/>
        </w:rPr>
        <w:t>ביחס לגזר דינם של הנאשמים האחרים בפרשה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מבלי להתעלם מחלקם השונה</w:t>
      </w:r>
      <w:r>
        <w:rPr>
          <w:rtl w:val="true"/>
        </w:rPr>
        <w:t xml:space="preserve">, </w:t>
      </w:r>
      <w:r>
        <w:rPr>
          <w:rtl w:val="true"/>
        </w:rPr>
        <w:t>במכלול האירועים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נקודת המוצא לדיון בדבר ענישה היא </w:t>
      </w:r>
      <w:r>
        <w:rPr>
          <w:rtl w:val="true"/>
        </w:rPr>
        <w:t>מצוות המחוקק</w:t>
      </w:r>
      <w:r>
        <w:rPr>
          <w:rtl w:val="true"/>
        </w:rPr>
        <w:t xml:space="preserve">, </w:t>
      </w:r>
      <w:r>
        <w:rPr>
          <w:rtl w:val="true"/>
        </w:rPr>
        <w:t>שקבע כי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העיקרון המנחה 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עת גזירת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העונש הוא עיקרון ההלימה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שמשמעותו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על יסוד מושכלות יסוד אלו</w:t>
      </w:r>
      <w:r>
        <w:rPr>
          <w:rtl w:val="true"/>
        </w:rPr>
        <w:t xml:space="preserve">, </w:t>
      </w:r>
      <w:r>
        <w:rPr>
          <w:rtl w:val="true"/>
        </w:rPr>
        <w:t>אפנה אפוא לענייננו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שכותרתו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מגדיר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:</w:t>
      </w:r>
    </w:p>
    <w:p>
      <w:pPr>
        <w:pStyle w:val="Ruller5"/>
        <w:spacing w:before="240" w:after="240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הקושר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...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Fonts w:ascii="Times New Roman" w:hAnsi="Times New Roman" w:cs="Times New Roman"/>
          <w:rtl w:val="true"/>
        </w:rPr>
        <w:t>–</w:t>
      </w:r>
    </w:p>
    <w:p>
      <w:pPr>
        <w:pStyle w:val="Ruller5"/>
        <w:numPr>
          <w:ilvl w:val="0"/>
          <w:numId w:val="4"/>
        </w:numPr>
        <w:spacing w:before="240" w:after="240"/>
        <w:ind w:hanging="384" w:start="2026" w:end="1282"/>
        <w:jc w:val="both"/>
        <w:rPr/>
      </w:pP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Ruller5"/>
        <w:spacing w:before="240" w:after="240"/>
        <w:ind w:start="2026" w:end="1282"/>
        <w:jc w:val="both"/>
        <w:rPr/>
      </w:pPr>
      <w:r>
        <w:rPr>
          <w:rtl w:val="true"/>
        </w:rPr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</w:t>
      </w:r>
      <w:r>
        <w:rPr>
          <w:rtl w:val="true"/>
        </w:rPr>
        <w:t>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611/80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מטוסיאן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85</w:t>
      </w:r>
      <w:r>
        <w:rPr>
          <w:rtl w:val="true"/>
        </w:rPr>
        <w:t xml:space="preserve">, </w:t>
      </w:r>
      <w:r>
        <w:rPr/>
        <w:t>114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11068/08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12.7.2010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׳</w:t>
      </w:r>
      <w:r>
        <w:rPr>
          <w:rtl w:val="true"/>
        </w:rPr>
        <w:t>קורלאטיבית</w:t>
      </w:r>
      <w:r>
        <w:rPr>
          <w:rtl w:val="true"/>
        </w:rPr>
        <w:t>׳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413</w:t>
      </w:r>
      <w:r>
        <w:rPr>
          <w:rtl w:val="true"/>
        </w:rPr>
        <w:t xml:space="preserve">, </w:t>
      </w:r>
      <w:r>
        <w:rPr/>
        <w:t>429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: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tl w:val="true"/>
        </w:rPr>
        <w:t>-</w:t>
      </w:r>
      <w:r>
        <w:rPr>
          <w:rtl w:val="true"/>
        </w:rPr>
        <w:t>ניתנת</w:t>
      </w:r>
      <w:r>
        <w:rPr>
          <w:rtl w:val="true"/>
        </w:rPr>
        <w:t>-</w:t>
      </w:r>
      <w:r>
        <w:rPr>
          <w:rtl w:val="true"/>
        </w:rPr>
        <w:t>להפרדה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קורלאטיבית</w:t>
      </w:r>
      <w:r>
        <w:rPr>
          <w:rtl w:val="true"/>
        </w:rPr>
        <w:t xml:space="preserve">".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התהוותה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מעיקרה</w:t>
      </w:r>
      <w:r>
        <w:rPr>
          <w:rtl w:val="true"/>
        </w:rPr>
        <w:t xml:space="preserve">, </w:t>
      </w:r>
      <w:r>
        <w:rPr>
          <w:rtl w:val="true"/>
        </w:rPr>
        <w:t>בזיקתה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להגשמה</w:t>
      </w:r>
      <w:r>
        <w:rPr>
          <w:rtl w:val="true"/>
        </w:rPr>
        <w:t xml:space="preserve">. 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ביקרו</w:t>
      </w:r>
      <w:r>
        <w:rPr>
          <w:rtl w:val="true"/>
        </w:rPr>
        <w:t xml:space="preserve">. </w:t>
      </w:r>
      <w:r>
        <w:rPr>
          <w:rtl w:val="true"/>
        </w:rPr>
        <w:t>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׳</w:t>
      </w:r>
      <w:r>
        <w:rPr>
          <w:rtl w:val="true"/>
        </w:rPr>
        <w:t xml:space="preserve">, </w:t>
      </w:r>
      <w:r>
        <w:rPr>
          <w:rtl w:val="true"/>
        </w:rPr>
        <w:t>תשמ״ז</w:t>
      </w:r>
      <w:r>
        <w:rPr>
          <w:rtl w:val="true"/>
        </w:rPr>
        <w:t>-</w:t>
      </w:r>
      <w:r>
        <w:rPr/>
        <w:t>1987</w:t>
      </w:r>
      <w:r>
        <w:rPr>
          <w:rtl w:val="true"/>
        </w:rPr>
        <w:t xml:space="preserve">), </w:t>
      </w:r>
      <w:r>
        <w:rPr/>
        <w:t>353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׳</w:t>
      </w:r>
      <w:r>
        <w:rPr>
          <w:rtl w:val="true"/>
        </w:rPr>
        <w:t xml:space="preserve">, </w:t>
      </w:r>
      <w:r>
        <w:rPr>
          <w:rtl w:val="true"/>
        </w:rPr>
        <w:t>תשנ״ב</w:t>
      </w:r>
      <w:r>
        <w:rPr>
          <w:rtl w:val="true"/>
        </w:rPr>
        <w:t>-</w:t>
      </w:r>
      <w:r>
        <w:rPr/>
        <w:t>1992</w:t>
      </w:r>
      <w:r>
        <w:rPr>
          <w:rtl w:val="true"/>
        </w:rPr>
        <w:t xml:space="preserve">), </w:t>
      </w:r>
      <w:r>
        <w:rPr/>
        <w:t>89</w:t>
      </w:r>
      <w:r>
        <w:rPr>
          <w:rtl w:val="true"/>
        </w:rPr>
        <w:t>: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</w:r>
    </w:p>
    <w:p>
      <w:pPr>
        <w:pStyle w:val="Ruller5"/>
        <w:spacing w:before="240" w:after="240"/>
        <w:ind w:start="1985" w:end="1588"/>
        <w:jc w:val="both"/>
        <w:rPr/>
      </w:pP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הכובד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האנטי</w:t>
      </w:r>
      <w:r>
        <w:rPr>
          <w:rtl w:val="true"/>
        </w:rPr>
        <w:t>-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קורלטיבית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הקורלטיבית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ובחומרתה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הקורלטיבית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499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לקבוץ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פֶּשַע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".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 xml:space="preserve">מקובלת עליי טענת המדינה שלפיה בנוסף להשפעה שיש לעבירה מושא הקשר על </w:t>
      </w:r>
      <w:r>
        <w:rPr>
          <w:rtl w:val="true"/>
        </w:rPr>
        <w:t>'</w:t>
      </w:r>
      <w:r>
        <w:rPr>
          <w:rtl w:val="true"/>
        </w:rPr>
        <w:t>משקלה</w:t>
      </w:r>
      <w:r>
        <w:rPr>
          <w:rtl w:val="true"/>
        </w:rPr>
        <w:t xml:space="preserve">' </w:t>
      </w:r>
      <w:r>
        <w:rPr>
          <w:rtl w:val="true"/>
        </w:rPr>
        <w:t>של עבירת קשירת הקשר כאמור</w:t>
      </w:r>
      <w:r>
        <w:rPr>
          <w:rtl w:val="true"/>
        </w:rPr>
        <w:t xml:space="preserve">, </w:t>
      </w:r>
      <w:r>
        <w:rPr>
          <w:rtl w:val="true"/>
        </w:rPr>
        <w:t>יש להוסיף ולבחון</w:t>
      </w:r>
      <w:r>
        <w:rPr>
          <w:rtl w:val="true"/>
        </w:rPr>
        <w:t xml:space="preserve">,  </w:t>
      </w:r>
      <w:r>
        <w:rPr>
          <w:rtl w:val="true"/>
        </w:rPr>
        <w:t>גם את טיבו של הקשר בכל הנוגע לפעולות שבוצעו ב</w:t>
      </w:r>
      <w:r>
        <w:rPr>
          <w:rtl w:val="true"/>
        </w:rPr>
        <w:t>מטרה</w:t>
      </w:r>
      <w:r>
        <w:rPr>
          <w:rtl w:val="true"/>
        </w:rPr>
        <w:t xml:space="preserve"> </w:t>
      </w:r>
      <w:r>
        <w:rPr>
          <w:rtl w:val="true"/>
        </w:rPr>
        <w:t>להגשימו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ככל שהקשר שנרקם כלל מעשי הכנה מגוונים ומשמעותיים</w:t>
      </w:r>
      <w:r>
        <w:rPr>
          <w:rtl w:val="true"/>
        </w:rPr>
        <w:t xml:space="preserve">, </w:t>
      </w:r>
      <w:r>
        <w:rPr>
          <w:rtl w:val="true"/>
        </w:rPr>
        <w:t>בעלי אופי פלילי</w:t>
      </w:r>
      <w:r>
        <w:rPr>
          <w:rtl w:val="true"/>
        </w:rPr>
        <w:t xml:space="preserve">, </w:t>
      </w:r>
      <w:r>
        <w:rPr>
          <w:rtl w:val="true"/>
        </w:rPr>
        <w:t xml:space="preserve">על מנת להוציא את העבירה מושא הקשר אל הפועל </w:t>
      </w:r>
      <w:r>
        <w:rPr>
          <w:rtl w:val="true"/>
        </w:rPr>
        <w:t>–</w:t>
      </w:r>
      <w:r>
        <w:rPr>
          <w:rtl w:val="true"/>
        </w:rPr>
        <w:t xml:space="preserve"> יהא לדבר השפעה על העונש שייגזר על הנאשם</w:t>
      </w:r>
      <w:r>
        <w:rPr>
          <w:rtl w:val="true"/>
        </w:rPr>
        <w:t>.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ומן הכלל אל הפרט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הקשר שקשרו המערערים נועד לשם ביצוע שני מעשי רצח שונים</w:t>
      </w:r>
      <w:r>
        <w:rPr>
          <w:rtl w:val="true"/>
        </w:rPr>
        <w:t xml:space="preserve">. </w:t>
      </w:r>
      <w:r>
        <w:rPr>
          <w:rtl w:val="true"/>
        </w:rPr>
        <w:t>סבורני כי אין עוד צורך להכביר במילים על אודות חומרתה של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שכן נכתבו כבר </w:t>
      </w:r>
      <w:r>
        <w:rPr>
          <w:rtl w:val="true"/>
        </w:rPr>
        <w:t>תִּלֵּי</w:t>
      </w:r>
      <w:r>
        <w:rPr>
          <w:rtl w:val="true"/>
        </w:rPr>
        <w:t xml:space="preserve"> </w:t>
      </w:r>
      <w:r>
        <w:rPr>
          <w:rtl w:val="true"/>
        </w:rPr>
        <w:t>תִּלִּים</w:t>
      </w:r>
      <w:r>
        <w:rPr>
          <w:rtl w:val="true"/>
        </w:rPr>
        <w:t xml:space="preserve"> של פסקי דין בעניינה</w:t>
      </w:r>
      <w:r>
        <w:rPr>
          <w:rtl w:val="true"/>
        </w:rPr>
        <w:t xml:space="preserve">. </w:t>
      </w:r>
      <w:r>
        <w:rPr>
          <w:rtl w:val="true"/>
        </w:rPr>
        <w:t>די אפוא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בניסוחו התמציתי והקולע של 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בנדון</w:t>
      </w:r>
      <w:r>
        <w:rPr>
          <w:rtl w:val="true"/>
        </w:rPr>
        <w:t xml:space="preserve">: </w:t>
      </w:r>
      <w:r>
        <w:rPr>
          <w:rtl w:val="true"/>
        </w:rPr>
        <w:t>״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להשמיעו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ונותרה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והאינטרסים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hyperlink r:id="rId2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124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2015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972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</w:rPr>
        <w:t>170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״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11.08.2022</w:t>
      </w:r>
      <w:r>
        <w:rPr>
          <w:rtl w:val="true"/>
        </w:rPr>
        <w:t xml:space="preserve">)). </w:t>
      </w:r>
      <w:r>
        <w:rPr>
          <w:rtl w:val="true"/>
        </w:rPr>
        <w:t>הווה אומר</w:t>
      </w:r>
      <w:r>
        <w:rPr>
          <w:rtl w:val="true"/>
        </w:rPr>
        <w:t xml:space="preserve">, </w:t>
      </w:r>
      <w:r>
        <w:rPr>
          <w:rtl w:val="true"/>
        </w:rPr>
        <w:t>כי המערערים קשרו קשר לביצוע עבירה מן החמורות ביותר שיש</w:t>
      </w:r>
      <w:r>
        <w:rPr>
          <w:rtl w:val="true"/>
        </w:rPr>
        <w:t xml:space="preserve">, </w:t>
      </w:r>
      <w:r>
        <w:rPr>
          <w:rtl w:val="true"/>
        </w:rPr>
        <w:t>ביחס לשני גורמים שונים בהם חשד קובס</w:t>
      </w:r>
      <w:r>
        <w:rPr>
          <w:rtl w:val="true"/>
        </w:rPr>
        <w:t xml:space="preserve">. </w:t>
      </w:r>
      <w:r>
        <w:rPr>
          <w:rtl w:val="true"/>
        </w:rPr>
        <w:t>בכך יש כדי להשפיע</w:t>
      </w:r>
      <w:r>
        <w:rPr>
          <w:rtl w:val="true"/>
        </w:rPr>
        <w:t xml:space="preserve">, </w:t>
      </w:r>
      <w:r>
        <w:rPr>
          <w:rtl w:val="true"/>
        </w:rPr>
        <w:t>באופן ממשי</w:t>
      </w:r>
      <w:r>
        <w:rPr>
          <w:rtl w:val="true"/>
        </w:rPr>
        <w:t xml:space="preserve">, </w:t>
      </w:r>
      <w:r>
        <w:rPr>
          <w:rtl w:val="true"/>
        </w:rPr>
        <w:t>על המשקל שיש לייחס לעבירת קשירת הקשר לביצוע פשע בה הורשעו</w:t>
      </w:r>
      <w:r>
        <w:rPr>
          <w:rtl w:val="true"/>
        </w:rPr>
        <w:t xml:space="preserve">. </w:t>
      </w:r>
      <w:r>
        <w:rPr>
          <w:rtl w:val="true"/>
        </w:rPr>
        <w:t>לא למותר להזכיר</w:t>
      </w:r>
      <w:r>
        <w:rPr>
          <w:rtl w:val="true"/>
        </w:rPr>
        <w:t xml:space="preserve">, </w:t>
      </w:r>
      <w:r>
        <w:rPr>
          <w:rtl w:val="true"/>
        </w:rPr>
        <w:t>כבר עתה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בעבירה שבצידה קבוע עונש מאסר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אך בכך לא סגי</w:t>
      </w:r>
      <w:r>
        <w:rPr>
          <w:rtl w:val="true"/>
        </w:rPr>
        <w:t xml:space="preserve">. </w:t>
      </w:r>
      <w:r>
        <w:rPr>
          <w:rtl w:val="true"/>
        </w:rPr>
        <w:t>שכן בענייננו</w:t>
      </w:r>
      <w:r>
        <w:rPr>
          <w:rtl w:val="true"/>
        </w:rPr>
        <w:t xml:space="preserve">, </w:t>
      </w:r>
      <w:r>
        <w:rPr>
          <w:rtl w:val="true"/>
        </w:rPr>
        <w:t>טיב הקשר שנקשר הוא מסוג הדומה ל׳פשיעה מאורגנת׳ של ממש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כחלק מקבוצה בת שמונה חברים</w:t>
      </w:r>
      <w:r>
        <w:rPr>
          <w:rtl w:val="true"/>
        </w:rPr>
        <w:t xml:space="preserve">, </w:t>
      </w:r>
      <w:r>
        <w:rPr>
          <w:rtl w:val="true"/>
        </w:rPr>
        <w:t>ביצעו מעקבים</w:t>
      </w:r>
      <w:r>
        <w:rPr>
          <w:rtl w:val="true"/>
        </w:rPr>
        <w:t xml:space="preserve">, </w:t>
      </w:r>
      <w:r>
        <w:rPr>
          <w:rtl w:val="true"/>
        </w:rPr>
        <w:t>בין היתר באמצעות רכב שכור</w:t>
      </w:r>
      <w:r>
        <w:rPr>
          <w:rtl w:val="true"/>
        </w:rPr>
        <w:t xml:space="preserve">; </w:t>
      </w:r>
      <w:r>
        <w:rPr>
          <w:rtl w:val="true"/>
        </w:rPr>
        <w:t>תכננו נתיבי הגעה ומילוט</w:t>
      </w:r>
      <w:r>
        <w:rPr>
          <w:rtl w:val="true"/>
        </w:rPr>
        <w:t xml:space="preserve">; </w:t>
      </w:r>
      <w:r>
        <w:rPr>
          <w:rtl w:val="true"/>
        </w:rPr>
        <w:t xml:space="preserve">רכשו טלפונים </w:t>
      </w:r>
      <w:r>
        <w:rPr>
          <w:rtl w:val="true"/>
        </w:rPr>
        <w:t>'</w:t>
      </w:r>
      <w:r>
        <w:rPr>
          <w:rtl w:val="true"/>
        </w:rPr>
        <w:t>מבצעיים</w:t>
      </w:r>
      <w:r>
        <w:rPr>
          <w:rtl w:val="true"/>
        </w:rPr>
        <w:t xml:space="preserve">'; </w:t>
      </w:r>
      <w:r>
        <w:rPr>
          <w:rtl w:val="true"/>
        </w:rPr>
        <w:t>שכרו דירת מסתור</w:t>
      </w:r>
      <w:r>
        <w:rPr>
          <w:rtl w:val="true"/>
        </w:rPr>
        <w:t xml:space="preserve">; </w:t>
      </w:r>
      <w:r>
        <w:rPr>
          <w:rtl w:val="true"/>
        </w:rPr>
        <w:t>הצטיידו בקטנוע ובשני אקדחים</w:t>
      </w:r>
      <w:r>
        <w:rPr>
          <w:rtl w:val="true"/>
        </w:rPr>
        <w:t xml:space="preserve">, </w:t>
      </w:r>
      <w:r>
        <w:rPr>
          <w:rtl w:val="true"/>
        </w:rPr>
        <w:t>תחמושת ואפודי מגן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כדי להביא לידי פעולת נקם בשל ׳ניסיון החיסול׳ של קובס</w:t>
      </w:r>
      <w:r>
        <w:rPr>
          <w:rtl w:val="true"/>
        </w:rPr>
        <w:t xml:space="preserve">, </w:t>
      </w:r>
      <w:r>
        <w:rPr>
          <w:rtl w:val="true"/>
        </w:rPr>
        <w:t>תוך נטילת החוק לידיים כחלק מ׳סגירת חשבונות׳ בעולם הפשע</w:t>
      </w:r>
      <w:r>
        <w:rPr>
          <w:rtl w:val="true"/>
        </w:rPr>
        <w:t xml:space="preserve">. </w:t>
      </w:r>
      <w:r>
        <w:rPr>
          <w:rtl w:val="true"/>
        </w:rPr>
        <w:t>בעניין אחר ציינתי כי</w:t>
      </w:r>
      <w:r>
        <w:rPr>
          <w:rtl w:val="true"/>
        </w:rPr>
        <w:t xml:space="preserve">: </w:t>
      </w:r>
    </w:p>
    <w:p>
      <w:pPr>
        <w:pStyle w:val="ruller51"/>
        <w:bidi w:val="1"/>
        <w:spacing w:before="240" w:after="240"/>
        <w:ind w:start="1642" w:end="1282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״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בית משפט זה עמד לא אחת על החומרה הגלומה בתת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התרבות שהתפתחה במחוזותינו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שבמסגרתה מחליט מאן דהוא לקחת לידיו את החוק ולשים עצמו במקום רשויות האכיפה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חברה אשר חפצה בתחושת ביטחון בעריה וברחובותיה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אינה יכולה להשלים עם תופעה זו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 בתי המשפט לתרום לביעור הנגע הרע הזה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באמצעות השתת עונשים חמורים על מי שאינו מקבל על עצמו את מוראו של השלטון וסבור כי הוא רשאי לעשות דין לעצמו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Style w:val="apple-converted-space"/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ויפים לעניין זה דבריו של השופט</w:t>
      </w:r>
      <w:r>
        <w:rPr>
          <w:rStyle w:val="apple-converted-space"/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י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דנציגר</w:t>
      </w:r>
      <w:r>
        <w:rPr>
          <w:rStyle w:val="apple-converted-space"/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[...]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: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  <w:lang w:val="en-US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  <w:lang w:val="en-US"/>
        </w:rPr>
        <w:t>׳ק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יים אינטרס ציבורי מובהק וחד משמעי בהרתעת היחיד והרתעת הרבים</w:t>
      </w:r>
      <w:r>
        <w:rPr>
          <w:rStyle w:val="apple-converted-space"/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מפני נקיטה בדרך של כוח ואלימות ליישוב מחלוקות וסכסוכים תוך שימוש בנשק קר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המסר שצריך לצאת מבית משפט זה הוא שחברה מתוקנת אינה יכולה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להשלים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עם שימוש בסכין לשם פתרון מחלוקות וסכסוכים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יש להלחם באלימות שפשטה בחברה הישראלית על כל צורותיה וגווניה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׳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״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ע״פ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4246/23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מדינת ישראל נ׳ אבו שאח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13.07.2023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)).</w:t>
      </w:r>
    </w:p>
    <w:p>
      <w:pPr>
        <w:pStyle w:val="ruller51"/>
        <w:bidi w:val="1"/>
        <w:spacing w:before="240" w:after="240"/>
        <w:ind w:start="1642" w:end="1282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לכל האמור לעיל</w:t>
      </w:r>
      <w:r>
        <w:rPr>
          <w:rtl w:val="true"/>
        </w:rPr>
        <w:t xml:space="preserve">, </w:t>
      </w:r>
      <w:r>
        <w:rPr>
          <w:rtl w:val="true"/>
        </w:rPr>
        <w:t>נכון היה לתת משקל וביטוי ממשי בעת גזירת הדין</w:t>
      </w:r>
      <w:r>
        <w:rPr>
          <w:rtl w:val="true"/>
        </w:rPr>
        <w:t xml:space="preserve">. </w:t>
      </w:r>
      <w:r>
        <w:rPr>
          <w:rtl w:val="true"/>
        </w:rPr>
        <w:t>דבר אשר דומה כי לא נעשה</w:t>
      </w:r>
      <w:r>
        <w:rPr>
          <w:rtl w:val="true"/>
        </w:rPr>
        <w:t xml:space="preserve">, </w:t>
      </w:r>
      <w:r>
        <w:rPr>
          <w:rtl w:val="true"/>
        </w:rPr>
        <w:t>למצער די הצורך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בית משפט קמא בגזר דינו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בהינתן האמור לעיל ותוך איזון מול השיקולים</w:t>
      </w:r>
      <w:r>
        <w:rPr>
          <w:rtl w:val="true"/>
        </w:rPr>
        <w:t xml:space="preserve">, </w:t>
      </w:r>
      <w:r>
        <w:rPr>
          <w:rtl w:val="true"/>
        </w:rPr>
        <w:t>לרבות אלה האישיים</w:t>
      </w:r>
      <w:r>
        <w:rPr>
          <w:rtl w:val="true"/>
        </w:rPr>
        <w:t xml:space="preserve">, </w:t>
      </w:r>
      <w:r>
        <w:rPr>
          <w:rtl w:val="true"/>
        </w:rPr>
        <w:t xml:space="preserve">אשר עומדים לזכות המערערים </w:t>
      </w:r>
      <w:r>
        <w:rPr>
          <w:rtl w:val="true"/>
        </w:rPr>
        <w:t>–</w:t>
      </w:r>
      <w:r>
        <w:rPr>
          <w:rtl w:val="true"/>
        </w:rPr>
        <w:t xml:space="preserve"> עדיין</w:t>
      </w:r>
      <w:r>
        <w:rPr>
          <w:rtl w:val="true"/>
        </w:rPr>
        <w:t xml:space="preserve">, </w:t>
      </w:r>
      <w:r>
        <w:rPr>
          <w:rtl w:val="true"/>
        </w:rPr>
        <w:t>נכון היה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לגזור את עונשם של המערערים בגין עבירת קשירת הקשר בחלק העליון של העונש שקבע המחוקק בצד העבירה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סבורני כי שומה עלינו להתערב במקרה הספציפי</w:t>
      </w:r>
      <w:r>
        <w:rPr>
          <w:rtl w:val="true"/>
        </w:rPr>
        <w:t xml:space="preserve">, </w:t>
      </w:r>
      <w:r>
        <w:rPr>
          <w:rtl w:val="true"/>
        </w:rPr>
        <w:t>בכפוף למגבלות עלינו</w:t>
      </w:r>
      <w:r>
        <w:rPr>
          <w:rtl w:val="true"/>
        </w:rPr>
        <w:t xml:space="preserve">,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כערכאת ערעור</w:t>
      </w:r>
      <w:r>
        <w:rPr>
          <w:rtl w:val="true"/>
        </w:rPr>
        <w:t xml:space="preserve">; </w:t>
      </w:r>
      <w:r>
        <w:rPr>
          <w:rtl w:val="true"/>
        </w:rPr>
        <w:t xml:space="preserve">ולהעמיד הלכה על מכונה בכל הנוגע לענישה בעבירת הקשר </w:t>
      </w:r>
      <w:r>
        <w:rPr>
          <w:rtl w:val="true"/>
        </w:rPr>
        <w:t>–</w:t>
      </w:r>
      <w:r>
        <w:rPr>
          <w:rtl w:val="true"/>
        </w:rPr>
        <w:t xml:space="preserve"> בין היתר</w:t>
      </w:r>
      <w:r>
        <w:rPr>
          <w:rtl w:val="true"/>
        </w:rPr>
        <w:t xml:space="preserve">, </w:t>
      </w:r>
      <w:r>
        <w:rPr>
          <w:rtl w:val="true"/>
        </w:rPr>
        <w:t>מתוך מבט צופה פני עתיד</w:t>
      </w:r>
      <w:r>
        <w:rPr>
          <w:rtl w:val="true"/>
        </w:rPr>
        <w:t xml:space="preserve">, </w:t>
      </w:r>
      <w:r>
        <w:rPr>
          <w:rtl w:val="true"/>
        </w:rPr>
        <w:t>מכאן ואילך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>
          <w:lang w:val="en-IL"/>
        </w:rPr>
      </w:pP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אין צורך להכביר במילים ביחס לחומרה היתרה הנודעת לביצוע עבירות בנשק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ע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ל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סוגיהן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אשר הפכו זה מכבר למכת מדינה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שמחירה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בפרט בחיי אדם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כואב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מעיק ומצער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>.</w:t>
      </w:r>
      <w:r>
        <w:rPr>
          <w:rFonts w:cs="Times New Roman" w:ascii="Times New Roman" w:hAnsi="Times New Roman"/>
          <w:spacing w:val="0"/>
          <w:szCs w:val="24"/>
          <w:rtl w:val="true"/>
          <w:lang w:val="en-IL"/>
        </w:rPr>
        <w:t xml:space="preserve"> </w:t>
      </w:r>
      <w:r>
        <w:rPr>
          <w:rtl w:val="true"/>
        </w:rPr>
        <w:t>קולמוסין נשתברו ונהרות דיו נשפכו בנדון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בפסיק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תו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חזר בית משפט זה על הסכנה הממשית הגלומה בעבירות אלה לשלום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וביטחון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הציבור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כן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לסדר הציבורי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כולו 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ראו </w:t>
      </w:r>
      <w:r>
        <w:rPr>
          <w:rtl w:val="true"/>
        </w:rPr>
        <w:t>למשל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: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  <w:lang w:val="en-IL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  <w:lang w:val="en-IL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  <w:lang w:val="en-IL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lang w:val="en-IL"/>
          </w:rPr>
          <w:t>6277/20</w:t>
        </w:r>
      </w:hyperlink>
      <w:r>
        <w:rPr>
          <w:rFonts w:cs="Miriam" w:ascii="Miriam" w:hAnsi="Miriam"/>
          <w:color w:val="000000"/>
          <w:spacing w:val="0"/>
          <w:szCs w:val="24"/>
          <w:rtl w:val="true"/>
          <w:lang w:val="en-IL"/>
        </w:rPr>
        <w:t xml:space="preserve"> </w:t>
      </w:r>
      <w:r>
        <w:rPr>
          <w:rFonts w:ascii="Miriam" w:hAnsi="Miriam" w:cs="Miriam"/>
          <w:color w:val="000000"/>
          <w:spacing w:val="0"/>
          <w:szCs w:val="24"/>
          <w:rtl w:val="true"/>
          <w:lang w:val="en-IL"/>
        </w:rPr>
        <w:t>היילי</w:t>
      </w:r>
      <w:r>
        <w:rPr>
          <w:rFonts w:ascii="Miriam" w:hAnsi="Miriam" w:cs="Miriam"/>
          <w:color w:val="000000"/>
          <w:spacing w:val="0"/>
          <w:szCs w:val="24"/>
          <w:rtl w:val="true"/>
          <w:lang w:val="en-IL"/>
        </w:rPr>
        <w:t xml:space="preserve"> </w:t>
      </w:r>
      <w:r>
        <w:rPr>
          <w:rFonts w:ascii="Miriam" w:hAnsi="Miriam" w:cs="Miriam"/>
          <w:color w:val="000000"/>
          <w:spacing w:val="0"/>
          <w:szCs w:val="24"/>
          <w:rtl w:val="true"/>
          <w:lang w:val="en-IL"/>
        </w:rPr>
        <w:t>נ</w:t>
      </w:r>
      <w:r>
        <w:rPr>
          <w:rFonts w:cs="Miriam" w:ascii="Miriam" w:hAnsi="Miriam"/>
          <w:color w:val="000000"/>
          <w:spacing w:val="0"/>
          <w:szCs w:val="24"/>
          <w:rtl w:val="true"/>
          <w:lang w:val="en-IL"/>
        </w:rPr>
        <w:t xml:space="preserve">' </w:t>
      </w:r>
      <w:r>
        <w:rPr>
          <w:rFonts w:ascii="Miriam" w:hAnsi="Miriam" w:cs="Miriam"/>
          <w:color w:val="000000"/>
          <w:spacing w:val="0"/>
          <w:szCs w:val="24"/>
          <w:rtl w:val="true"/>
          <w:lang w:val="en-IL"/>
        </w:rPr>
        <w:t>מדינת</w:t>
      </w:r>
      <w:r>
        <w:rPr>
          <w:rFonts w:ascii="Miriam" w:hAnsi="Miriam" w:cs="Miriam"/>
          <w:color w:val="000000"/>
          <w:spacing w:val="0"/>
          <w:szCs w:val="24"/>
          <w:rtl w:val="true"/>
          <w:lang w:val="en-IL"/>
        </w:rPr>
        <w:t xml:space="preserve"> </w:t>
      </w:r>
      <w:r>
        <w:rPr>
          <w:rFonts w:ascii="Miriam" w:hAnsi="Miriam" w:cs="Miriam"/>
          <w:color w:val="000000"/>
          <w:spacing w:val="0"/>
          <w:szCs w:val="24"/>
          <w:rtl w:val="true"/>
          <w:lang w:val="en-IL"/>
        </w:rPr>
        <w:t>ישראל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פסקאות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</w:t>
      </w:r>
      <w:r>
        <w:rPr>
          <w:rFonts w:cs="FrankRuehl" w:ascii="FrankRuehl" w:hAnsi="FrankRuehl"/>
          <w:color w:val="000000"/>
          <w:sz w:val="28"/>
          <w:lang w:val="en-IL"/>
        </w:rPr>
        <w:t>37-36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val="en-IL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val="en-IL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val="en-IL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val="en-IL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>(</w:t>
      </w:r>
      <w:r>
        <w:rPr>
          <w:rFonts w:cs="FrankRuehl" w:ascii="FrankRuehl" w:hAnsi="FrankRuehl"/>
          <w:color w:val="000000"/>
          <w:sz w:val="28"/>
          <w:lang w:val="en-IL"/>
        </w:rPr>
        <w:t>24.</w:t>
      </w:r>
      <w:r>
        <w:rPr>
          <w:rFonts w:cs="FrankRuehl" w:ascii="FrankRuehl" w:hAnsi="FrankRuehl"/>
          <w:color w:val="000000"/>
          <w:sz w:val="28"/>
          <w:lang w:val="en-IL"/>
        </w:rPr>
        <w:t>0</w:t>
      </w:r>
      <w:r>
        <w:rPr>
          <w:rFonts w:cs="FrankRuehl" w:ascii="FrankRuehl" w:hAnsi="FrankRuehl"/>
          <w:color w:val="000000"/>
          <w:sz w:val="28"/>
          <w:lang w:val="en-IL"/>
        </w:rPr>
        <w:t>3.2021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>)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;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  <w:lang w:val="en-IL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  <w:lang w:val="en-IL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  <w:lang w:val="en-IL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lang w:val="en-IL"/>
          </w:rPr>
          <w:t>147/21</w:t>
        </w:r>
      </w:hyperlink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val="en-IL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ירין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ביטון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val="en-IL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val="en-IL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val="en-IL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val="en-IL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>(</w:t>
      </w:r>
      <w:r>
        <w:rPr>
          <w:rFonts w:cs="FrankRuehl" w:ascii="FrankRuehl" w:hAnsi="FrankRuehl"/>
          <w:color w:val="000000"/>
          <w:sz w:val="28"/>
          <w:lang w:val="en-IL"/>
        </w:rPr>
        <w:t>24.02.2021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)). 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>
          <w:lang w:val="en-IL"/>
        </w:rPr>
      </w:pP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מ</w:t>
      </w:r>
      <w:r>
        <w:rPr>
          <w:rtl w:val="true"/>
          <w:lang w:val="en-IL"/>
        </w:rPr>
        <w:t>ערכת</w:t>
      </w:r>
      <w:r>
        <w:rPr>
          <w:rtl w:val="true"/>
          <w:lang w:val="en-IL"/>
        </w:rPr>
        <w:t xml:space="preserve"> </w:t>
      </w:r>
      <w:r>
        <w:rPr>
          <w:rtl w:val="true"/>
          <w:lang w:val="en-IL"/>
        </w:rPr>
        <w:t>המשפט</w:t>
      </w:r>
      <w:r>
        <w:rPr>
          <w:rtl w:val="true"/>
          <w:lang w:val="en-IL"/>
        </w:rPr>
        <w:t xml:space="preserve">, </w:t>
      </w:r>
      <w:r>
        <w:rPr>
          <w:rtl w:val="true"/>
          <w:lang w:val="en-IL"/>
        </w:rPr>
        <w:t>גם</w:t>
      </w:r>
      <w:r>
        <w:rPr>
          <w:rtl w:val="true"/>
          <w:lang w:val="en-IL"/>
        </w:rPr>
        <w:t xml:space="preserve"> </w:t>
      </w:r>
      <w:r>
        <w:rPr>
          <w:rtl w:val="true"/>
          <w:lang w:val="en-IL"/>
        </w:rPr>
        <w:t>היא</w:t>
      </w:r>
      <w:r>
        <w:rPr>
          <w:rtl w:val="true"/>
          <w:lang w:val="en-IL"/>
        </w:rPr>
        <w:t xml:space="preserve">, </w:t>
      </w:r>
      <w:r>
        <w:rPr>
          <w:rtl w:val="true"/>
          <w:lang w:val="en-IL"/>
        </w:rPr>
        <w:t>נדרשת לתת</w:t>
      </w:r>
      <w:r>
        <w:rPr>
          <w:rtl w:val="true"/>
          <w:lang w:val="en-IL"/>
        </w:rPr>
        <w:t xml:space="preserve"> </w:t>
      </w:r>
      <w:r>
        <w:rPr>
          <w:rtl w:val="true"/>
          <w:lang w:val="en-IL"/>
        </w:rPr>
        <w:t>חלקה</w:t>
      </w:r>
      <w:r>
        <w:rPr>
          <w:rtl w:val="true"/>
          <w:lang w:val="en-IL"/>
        </w:rPr>
        <w:t xml:space="preserve"> </w:t>
      </w:r>
      <w:r>
        <w:rPr>
          <w:rtl w:val="true"/>
          <w:lang w:val="en-IL"/>
        </w:rPr>
        <w:t>במלחמת</w:t>
      </w:r>
      <w:r>
        <w:rPr>
          <w:rtl w:val="true"/>
          <w:lang w:val="en-IL"/>
        </w:rPr>
        <w:t xml:space="preserve"> </w:t>
      </w:r>
      <w:r>
        <w:rPr>
          <w:rtl w:val="true"/>
          <w:lang w:val="en-IL"/>
        </w:rPr>
        <w:t>ה</w:t>
      </w:r>
      <w:r>
        <w:rPr>
          <w:rtl w:val="true"/>
          <w:lang w:val="en-IL"/>
        </w:rPr>
        <w:t>חָרְמָה נגד</w:t>
      </w:r>
      <w:r>
        <w:rPr>
          <w:rtl w:val="true"/>
          <w:lang w:val="en-IL"/>
        </w:rPr>
        <w:t xml:space="preserve"> </w:t>
      </w:r>
      <w:r>
        <w:rPr>
          <w:rtl w:val="true"/>
          <w:lang w:val="en-IL"/>
        </w:rPr>
        <w:t>מבצעי</w:t>
      </w:r>
      <w:r>
        <w:rPr>
          <w:rtl w:val="true"/>
          <w:lang w:val="en-IL"/>
        </w:rPr>
        <w:t xml:space="preserve"> </w:t>
      </w:r>
      <w:r>
        <w:rPr>
          <w:rtl w:val="true"/>
          <w:lang w:val="en-IL"/>
        </w:rPr>
        <w:t>עבירות</w:t>
      </w:r>
      <w:r>
        <w:rPr>
          <w:rtl w:val="true"/>
          <w:lang w:val="en-IL"/>
        </w:rPr>
        <w:t xml:space="preserve"> הנשק השונות</w:t>
      </w:r>
      <w:r>
        <w:rPr>
          <w:rtl w:val="true"/>
          <w:lang w:val="en-IL"/>
        </w:rPr>
        <w:t xml:space="preserve">, </w:t>
      </w:r>
      <w:r>
        <w:rPr>
          <w:rtl w:val="true"/>
          <w:lang w:val="en-IL"/>
        </w:rPr>
        <w:t>החל מעבירות סחר בנשק</w:t>
      </w:r>
      <w:r>
        <w:rPr>
          <w:rtl w:val="true"/>
          <w:lang w:val="en-IL"/>
        </w:rPr>
        <w:t xml:space="preserve">, </w:t>
      </w:r>
      <w:r>
        <w:rPr>
          <w:rtl w:val="true"/>
          <w:lang w:val="en-IL"/>
        </w:rPr>
        <w:t>דרך החזקת נשק וכלה בנשיאה והובלה</w:t>
      </w:r>
      <w:r>
        <w:rPr>
          <w:rtl w:val="true"/>
          <w:lang w:val="en-IL"/>
        </w:rPr>
        <w:t xml:space="preserve">. </w:t>
      </w:r>
      <w:r>
        <w:rPr>
          <w:rtl w:val="true"/>
          <w:lang w:val="en-IL"/>
        </w:rPr>
        <w:t>בהתאם</w:t>
      </w:r>
      <w:r>
        <w:rPr>
          <w:rtl w:val="true"/>
          <w:lang w:val="en-IL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ניכרת בפסיקה </w:t>
      </w:r>
      <w:r>
        <w:rPr>
          <w:rtl w:val="true"/>
          <w:lang w:val="en-IL"/>
        </w:rPr>
        <w:t>מגמה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 xml:space="preserve"> עקבית של החמרה בענישה כלפי מבצעי עבירות בנשק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  <w:lang w:val="en-IL"/>
        </w:rPr>
        <w:t>בין היתר נפסק כך</w:t>
      </w:r>
      <w:r>
        <w:rPr>
          <w:rFonts w:cs="FrankRuehl" w:ascii="FrankRuehl" w:hAnsi="FrankRuehl"/>
          <w:color w:val="000000"/>
          <w:sz w:val="28"/>
          <w:rtl w:val="true"/>
          <w:lang w:val="en-IL"/>
        </w:rPr>
        <w:t xml:space="preserve">: </w:t>
      </w:r>
    </w:p>
    <w:p>
      <w:pPr>
        <w:pStyle w:val="Ruller5"/>
        <w:spacing w:before="240" w:after="240"/>
        <w:ind w:end="1282"/>
        <w:jc w:val="both"/>
        <w:rPr>
          <w:rFonts w:ascii="FrankRuehl" w:hAnsi="FrankRuehl" w:cs="FrankRuehl"/>
          <w:color w:val="000000"/>
          <w:spacing w:val="6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על רקע המציאות אותה אנו חווים למרבה הצער מדי יום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Calibri" w:ascii="Calibri" w:hAnsi="Calibri"/>
          <w:color w:val="000000"/>
          <w:spacing w:val="0"/>
          <w:szCs w:val="22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בית משפט זה לא נותר אדיש למול השימוש הגובר בנשק חם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והדגיש לא אחת את הצורך בענישה מחמירה ומרתיעה כלפי השימוש בו לשם פתרון סכסוכים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זאת במיוחד כאשר השימוש בו נעשה בסביבת בתי מגורים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cs="FrankRuehl" w:ascii="FrankRuehl" w:hAnsi="FrankRuehl"/>
          <w:color w:val="000000"/>
          <w:sz w:val="28"/>
          <w:rtl w:val="true"/>
        </w:rPr>
        <w:t>...</w:t>
      </w:r>
      <w:r>
        <w:rPr>
          <w:rFonts w:cs="FrankRuehl" w:ascii="FrankRuehl" w:hAnsi="FrankRuehl"/>
          <w:color w:val="000000"/>
          <w:sz w:val="28"/>
          <w:rtl w:val="true"/>
        </w:rPr>
        <w:t>]</w:t>
      </w:r>
      <w:r>
        <w:rPr>
          <w:rFonts w:cs="Calibri" w:ascii="Calibri" w:hAnsi="Calibri"/>
          <w:color w:val="000000"/>
          <w:spacing w:val="0"/>
          <w:szCs w:val="22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נמצא אפוא כי בנסיבות דהיום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ראוי ונכון להחמיר את מדיניות הענישה הנוהגת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hyperlink r:id="rId34">
        <w:r>
          <w:rPr>
            <w:rStyle w:val="Hyperlink"/>
            <w:rFonts w:ascii="FrankRuehl" w:hAnsi="FrankRuehl"/>
            <w:color w:val="0000FF"/>
            <w:spacing w:val="6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6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6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6"/>
            <w:sz w:val="28"/>
            <w:u w:val="single"/>
          </w:rPr>
          <w:t>4406/19</w:t>
        </w:r>
      </w:hyperlink>
      <w:r>
        <w:rPr>
          <w:rFonts w:cs="FrankRuehl" w:ascii="FrankRuehl" w:hAnsi="FrankRuehl"/>
          <w:color w:val="000000"/>
          <w:spacing w:val="6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pacing w:val="0"/>
          <w:sz w:val="24"/>
          <w:sz w:val="24"/>
          <w:szCs w:val="24"/>
          <w:rtl w:val="true"/>
        </w:rPr>
        <w:t>סובח</w:t>
      </w:r>
      <w:r>
        <w:rPr>
          <w:rFonts w:cs="FrankRuehl" w:ascii="FrankRuehl" w:hAnsi="FrankRuehl"/>
          <w:color w:val="000000"/>
          <w:spacing w:val="6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pacing w:val="6"/>
          <w:sz w:val="28"/>
          <w:sz w:val="28"/>
          <w:rtl w:val="true"/>
        </w:rPr>
        <w:t xml:space="preserve">בפסקאות </w:t>
      </w:r>
      <w:r>
        <w:rPr>
          <w:rFonts w:cs="FrankRuehl" w:ascii="FrankRuehl" w:hAnsi="FrankRuehl"/>
          <w:color w:val="000000"/>
          <w:spacing w:val="6"/>
          <w:sz w:val="28"/>
        </w:rPr>
        <w:t>17-16</w:t>
      </w:r>
      <w:r>
        <w:rPr>
          <w:rFonts w:cs="FrankRuehl" w:ascii="FrankRuehl" w:hAnsi="FrankRuehl"/>
          <w:color w:val="000000"/>
          <w:spacing w:val="6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6"/>
          <w:sz w:val="28"/>
          <w:rtl w:val="true"/>
        </w:rPr>
        <w:t>(</w:t>
      </w:r>
      <w:r>
        <w:rPr>
          <w:rFonts w:cs="FrankRuehl" w:ascii="FrankRuehl" w:hAnsi="FrankRuehl"/>
          <w:color w:val="000000"/>
          <w:spacing w:val="6"/>
          <w:sz w:val="28"/>
        </w:rPr>
        <w:t>05.11.201</w:t>
      </w:r>
      <w:r>
        <w:rPr>
          <w:rFonts w:cs="FrankRuehl" w:ascii="FrankRuehl" w:hAnsi="FrankRuehl"/>
          <w:color w:val="000000"/>
          <w:spacing w:val="6"/>
          <w:sz w:val="28"/>
          <w:rtl w:val="true"/>
        </w:rPr>
        <w:t>)).</w:t>
      </w:r>
    </w:p>
    <w:p>
      <w:pPr>
        <w:pStyle w:val="Ruller5"/>
        <w:spacing w:before="240" w:after="240"/>
        <w:ind w:end="1282"/>
        <w:jc w:val="both"/>
        <w:rPr>
          <w:rFonts w:ascii="FrankRuehl" w:hAnsi="FrankRuehl" w:cs="FrankRuehl"/>
          <w:color w:val="000000"/>
          <w:spacing w:val="6"/>
          <w:sz w:val="28"/>
        </w:rPr>
      </w:pPr>
      <w:r>
        <w:rPr>
          <w:rFonts w:cs="FrankRuehl" w:ascii="FrankRuehl" w:hAnsi="FrankRuehl"/>
          <w:color w:val="000000"/>
          <w:spacing w:val="6"/>
          <w:sz w:val="28"/>
          <w:rtl w:val="true"/>
        </w:rPr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>
          <w:rFonts w:ascii="Arial TUR;Arial" w:hAnsi="Arial TUR;Arial" w:cs="Arial TUR;Arial"/>
          <w:sz w:val="22"/>
          <w:lang w:val="en-IL"/>
        </w:rPr>
      </w:pP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בדין טענה המדינה כי בענייננו החומרה היתרה במעשי המערערים לא מצאה ביטוי מספק בגזר הדין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וזאת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הן ביחס לפסיקת בית משפט זה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הן ביחס למצוות המחוקק במסגרת תיקון </w:t>
      </w:r>
      <w:r>
        <w:rPr>
          <w:rFonts w:cs="Arial TUR;Arial" w:ascii="Arial TUR;Arial" w:hAnsi="Arial TUR;Arial"/>
          <w:sz w:val="22"/>
          <w:lang w:val="en-IL"/>
        </w:rPr>
        <w:t>140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ל</w:t>
      </w:r>
      <w:hyperlink r:id="rId35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  <w:lang w:val="en-IL"/>
          </w:rPr>
          <w:t>חוק העונשין</w:t>
        </w:r>
      </w:hyperlink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 </w:t>
      </w:r>
      <w:r>
        <w:rPr>
          <w:rFonts w:cs="Arial TUR;Arial" w:ascii="Arial TUR;Arial" w:hAnsi="Arial TUR;Arial"/>
          <w:sz w:val="22"/>
          <w:rtl w:val="true"/>
          <w:lang w:val="en-IL"/>
        </w:rPr>
        <w:t>(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ראו והשוו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לתלם שחרש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val="en-IL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שטיין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 בשורה של פסקי דין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כמתואר בפסק דינו ב</w:t>
      </w:r>
      <w:hyperlink r:id="rId36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  <w:lang w:val="en-IL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  <w:lang w:val="en-IL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  <w:lang w:val="en-IL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lang w:val="en-IL"/>
          </w:rPr>
          <w:t>5602/22</w:t>
        </w:r>
      </w:hyperlink>
      <w:r>
        <w:rPr>
          <w:rFonts w:cs="Arial TUR;Arial" w:ascii="Arial TUR;Arial" w:hAnsi="Arial TUR;Arial"/>
          <w:sz w:val="22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val="en-IL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IL"/>
        </w:rPr>
        <w:t>פלוני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val="en-IL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val="en-IL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  <w:lang w:val="en-IL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  <w:lang w:val="en-IL"/>
        </w:rPr>
        <w:t xml:space="preserve">] </w:t>
      </w:r>
      <w:r>
        <w:rPr>
          <w:rFonts w:cs="Arial TUR;Arial" w:ascii="Arial TUR;Arial" w:hAnsi="Arial TUR;Arial"/>
          <w:sz w:val="22"/>
          <w:rtl w:val="true"/>
          <w:lang w:val="en-IL"/>
        </w:rPr>
        <w:t>(</w:t>
      </w:r>
      <w:r>
        <w:rPr>
          <w:rFonts w:cs="Arial TUR;Arial" w:ascii="Arial TUR;Arial" w:hAnsi="Arial TUR;Arial"/>
          <w:sz w:val="22"/>
          <w:lang w:val="en-IL"/>
        </w:rPr>
        <w:t>14.09.2022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)).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דברים אלה נכונים ויובהר כי לא נעלמה מעיניי העובדה שגזר הדין ניתן במסגרת הסדר טיעון לאחר משא ומתן ממושך בין הצדדים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כטענת באי</w:t>
      </w:r>
      <w:r>
        <w:rPr>
          <w:rFonts w:cs="Arial TUR;Arial" w:ascii="Arial TUR;Arial" w:hAnsi="Arial TUR;Arial"/>
          <w:sz w:val="22"/>
          <w:rtl w:val="true"/>
          <w:lang w:val="en-IL"/>
        </w:rPr>
        <w:t>-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כוח המערערים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שהרי בוסקילה נשא והוביל את שני האקדחים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אשר הוחזקו בקרבת דירת המסתור על</w:t>
      </w:r>
      <w:r>
        <w:rPr>
          <w:rFonts w:cs="Arial TUR;Arial" w:ascii="Arial TUR;Arial" w:hAnsi="Arial TUR;Arial"/>
          <w:sz w:val="22"/>
          <w:rtl w:val="true"/>
          <w:lang w:val="en-IL"/>
        </w:rPr>
        <w:t>-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ידי קובס ועתאבא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במטרה להגשים את הקשר לביצוע הרצח</w:t>
      </w:r>
      <w:r>
        <w:rPr>
          <w:rFonts w:cs="Arial TUR;Arial" w:ascii="Arial TUR;Arial" w:hAnsi="Arial TUR;Arial"/>
          <w:sz w:val="22"/>
          <w:rtl w:val="true"/>
          <w:lang w:val="en-IL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Arial TUR;Arial" w:hAnsi="Arial TUR;Arial" w:cs="Arial TUR;Arial"/>
          <w:sz w:val="22"/>
          <w:lang w:val="en-IL"/>
        </w:rPr>
      </w:pPr>
      <w:r>
        <w:rPr>
          <w:rFonts w:cs="Arial TUR;Arial" w:ascii="Arial TUR;Arial" w:hAnsi="Arial TUR;Arial"/>
          <w:sz w:val="22"/>
          <w:rtl w:val="true"/>
          <w:lang w:val="en-IL"/>
        </w:rPr>
        <w:tab/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התנהלות זו היא עדות לקלות בה פונים גורמים עברייניים לשימוש בנשק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אשר למצוות המחוקק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בשים לב לתיקון </w:t>
      </w:r>
      <w:r>
        <w:rPr>
          <w:rFonts w:cs="Arial TUR;Arial" w:ascii="Arial TUR;Arial" w:hAnsi="Arial TUR;Arial"/>
          <w:sz w:val="22"/>
          <w:lang w:val="en-IL"/>
        </w:rPr>
        <w:t>140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ל</w:t>
      </w:r>
      <w:hyperlink r:id="rId37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  <w:lang w:val="en-IL"/>
          </w:rPr>
          <w:t>חוק העונשין</w:t>
        </w:r>
      </w:hyperlink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אכן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העונש המזערי שניתן היה להטיל על קובס ועתאבא בגין עבירת הנשק בלבד הוא </w:t>
      </w:r>
      <w:r>
        <w:rPr>
          <w:rFonts w:cs="Arial TUR;Arial" w:ascii="Arial TUR;Arial" w:hAnsi="Arial TUR;Arial"/>
          <w:sz w:val="22"/>
          <w:lang w:val="en-IL"/>
        </w:rPr>
        <w:t>21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חודשי מאסר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 xml:space="preserve">ועל בוסקילה </w:t>
      </w:r>
      <w:r>
        <w:rPr>
          <w:rFonts w:cs="Arial TUR;Arial" w:ascii="Arial TUR;Arial" w:hAnsi="Arial TUR;Arial"/>
          <w:sz w:val="22"/>
          <w:lang w:val="en-IL"/>
        </w:rPr>
        <w:t>30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חודשי מאסר</w:t>
      </w:r>
      <w:r>
        <w:rPr>
          <w:rFonts w:cs="Arial TUR;Arial" w:ascii="Arial TUR;Arial" w:hAnsi="Arial TUR;Arial"/>
          <w:sz w:val="22"/>
          <w:rtl w:val="true"/>
          <w:lang w:val="en-IL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  <w:lang w:val="en-IL"/>
        </w:rPr>
        <w:t>מבלי לנמק במפורש מדוע יש לסטות מעונש זה</w:t>
      </w:r>
      <w:r>
        <w:rPr>
          <w:rFonts w:cs="Arial TUR;Arial" w:ascii="Arial TUR;Arial" w:hAnsi="Arial TUR;Arial"/>
          <w:sz w:val="22"/>
          <w:rtl w:val="true"/>
          <w:lang w:val="en-IL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סיום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לא נעלמה מעיניי בקשת המדינה כי בפסק דיננו נתקן את השגיאות שנפלו בגזר דינו של בית המשפט המחוזי הן בקביעת מתחמי העונש ההולם</w:t>
      </w:r>
      <w:r>
        <w:rPr>
          <w:rtl w:val="true"/>
        </w:rPr>
        <w:t xml:space="preserve">, </w:t>
      </w:r>
      <w:r>
        <w:rPr>
          <w:rtl w:val="true"/>
        </w:rPr>
        <w:t>הן במיקומם של המערערים בתוך גדרי המתחמים שנקבעו</w:t>
      </w:r>
      <w:r>
        <w:rPr>
          <w:rtl w:val="true"/>
        </w:rPr>
        <w:t xml:space="preserve">. </w:t>
      </w:r>
      <w:r>
        <w:rPr>
          <w:rtl w:val="true"/>
        </w:rPr>
        <w:t>טענות אלה הן טענות של ממש</w:t>
      </w:r>
      <w:r>
        <w:rPr>
          <w:rtl w:val="true"/>
        </w:rPr>
        <w:t xml:space="preserve">, </w:t>
      </w:r>
      <w:r>
        <w:rPr>
          <w:rtl w:val="true"/>
        </w:rPr>
        <w:t>אולם בשים לב לכך שכערכאת ערעור אנו נדרשים ככלל</w:t>
      </w:r>
      <w:r>
        <w:rPr>
          <w:rtl w:val="true"/>
        </w:rPr>
        <w:t xml:space="preserve">, </w:t>
      </w:r>
      <w:r>
        <w:rPr>
          <w:rtl w:val="true"/>
        </w:rPr>
        <w:t>ולבטח בנסיבות מובהקות כגון דא</w:t>
      </w:r>
      <w:r>
        <w:rPr>
          <w:rtl w:val="true"/>
        </w:rPr>
        <w:t xml:space="preserve">, </w:t>
      </w:r>
      <w:r>
        <w:rPr>
          <w:rtl w:val="true"/>
        </w:rPr>
        <w:t xml:space="preserve">בראש ובראשונה להלימה של התוצאה העונשית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05.01.2023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 ראיתי לעשות כן בנסיבות העניין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לשיטתי</w:t>
      </w:r>
      <w:r>
        <w:rPr>
          <w:rtl w:val="true"/>
        </w:rPr>
        <w:t xml:space="preserve">, </w:t>
      </w:r>
      <w:r>
        <w:rPr>
          <w:rtl w:val="true"/>
        </w:rPr>
        <w:t>כאשר עוסקים אנו במה שנדמה כ׳סגירת חשבונות׳ בעולם התחתון</w:t>
      </w:r>
      <w:r>
        <w:rPr>
          <w:rtl w:val="true"/>
        </w:rPr>
        <w:t xml:space="preserve">, </w:t>
      </w:r>
      <w:r>
        <w:rPr>
          <w:rtl w:val="true"/>
        </w:rPr>
        <w:t>שומה עלינו לתת דעתנו לשיקולי ההרתעה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 בכך</w:t>
      </w:r>
      <w:r>
        <w:rPr>
          <w:rtl w:val="true"/>
        </w:rPr>
        <w:t xml:space="preserve">, </w:t>
      </w:r>
      <w:r>
        <w:rPr>
          <w:rtl w:val="true"/>
        </w:rPr>
        <w:t>אין כדי לבטל את השיקולים לקולה שבית המשפט המחוזי שקל</w:t>
      </w:r>
      <w:r>
        <w:rPr>
          <w:rtl w:val="true"/>
        </w:rPr>
        <w:t xml:space="preserve">; </w:t>
      </w:r>
      <w:r>
        <w:rPr>
          <w:rtl w:val="true"/>
        </w:rPr>
        <w:t>ואין בכך כדי להקל ראש בצורך באחידות הענישה</w:t>
      </w:r>
      <w:r>
        <w:rPr>
          <w:rtl w:val="true"/>
        </w:rPr>
        <w:t xml:space="preserve">, </w:t>
      </w:r>
      <w:r>
        <w:rPr>
          <w:rtl w:val="true"/>
        </w:rPr>
        <w:t>עקרון יסוד בשיטתנו</w:t>
      </w:r>
      <w:r>
        <w:rPr>
          <w:rtl w:val="true"/>
        </w:rPr>
        <w:t xml:space="preserve">, </w:t>
      </w:r>
      <w:r>
        <w:rPr>
          <w:rtl w:val="true"/>
        </w:rPr>
        <w:t>בין המערערים כאן ויתר הנאשמים בפרשה</w:t>
      </w:r>
      <w:r>
        <w:rPr>
          <w:rtl w:val="true"/>
        </w:rPr>
        <w:t xml:space="preserve">, </w:t>
      </w:r>
      <w:r>
        <w:rPr>
          <w:rtl w:val="true"/>
        </w:rPr>
        <w:t>שהורשעו ודינם נגזר בנפרד</w:t>
      </w:r>
      <w:r>
        <w:rPr>
          <w:rtl w:val="true"/>
        </w:rPr>
        <w:t xml:space="preserve">. </w:t>
      </w:r>
      <w:r>
        <w:rPr>
          <w:rtl w:val="true"/>
        </w:rPr>
        <w:t>יפים בהקשר זה דבריו הנכוחים של המשנה לנשיאה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בנדון</w:t>
      </w:r>
      <w:r>
        <w:rPr>
          <w:rtl w:val="true"/>
        </w:rPr>
        <w:t xml:space="preserve">: 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בשיטתנו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מנגזרותיו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4536/21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4.11.2021</w:t>
      </w:r>
      <w:r>
        <w:rPr>
          <w:rtl w:val="true"/>
        </w:rPr>
        <w:t xml:space="preserve">)). </w:t>
      </w:r>
      <w:r>
        <w:rPr>
          <w:rtl w:val="true"/>
        </w:rPr>
        <w:t>יישומה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>).</w:t>
      </w:r>
      <w:r>
        <w:rPr>
          <w:rtl w:val="true"/>
        </w:rPr>
        <w:t>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15.08.2023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נתתי דעתי לכך בעת קביעת עונשם ההולם של המערערים</w:t>
      </w:r>
      <w:r>
        <w:rPr>
          <w:rtl w:val="true"/>
        </w:rPr>
        <w:t xml:space="preserve">, </w:t>
      </w:r>
      <w:r>
        <w:rPr>
          <w:rtl w:val="true"/>
        </w:rPr>
        <w:t>תוך ששיוויתי לנגד עיניי את טענות הצדדים בנדון מזה ומזה</w:t>
      </w:r>
      <w:r>
        <w:rPr>
          <w:rtl w:val="true"/>
        </w:rPr>
        <w:t xml:space="preserve">, </w:t>
      </w:r>
      <w:r>
        <w:rPr>
          <w:rtl w:val="true"/>
        </w:rPr>
        <w:t xml:space="preserve">ונתתי דעתי להסבר שנתנה המדינה בפסקה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להודעת הערעור מטעמה </w:t>
      </w:r>
      <w:r>
        <w:rPr>
          <w:rtl w:val="true"/>
        </w:rPr>
        <w:t>–</w:t>
      </w:r>
      <w:r>
        <w:rPr>
          <w:rtl w:val="true"/>
        </w:rPr>
        <w:t xml:space="preserve"> שהגיונו בצדו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</w:p>
    <w:p>
      <w:pPr>
        <w:pStyle w:val="Ruller43"/>
        <w:numPr>
          <w:ilvl w:val="0"/>
          <w:numId w:val="5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לו תשמע דעתי</w:t>
      </w:r>
      <w:r>
        <w:rPr>
          <w:rtl w:val="true"/>
        </w:rPr>
        <w:t xml:space="preserve">, </w:t>
      </w:r>
      <w:r>
        <w:rPr>
          <w:rtl w:val="true"/>
        </w:rPr>
        <w:t>נורה על החמרה בע</w:t>
      </w:r>
      <w:r>
        <w:rPr>
          <w:rtl w:val="true"/>
        </w:rPr>
        <w:t>ונש</w:t>
      </w:r>
      <w:r>
        <w:rPr>
          <w:rtl w:val="true"/>
        </w:rPr>
        <w:t>ם של קובס</w:t>
      </w:r>
      <w:r>
        <w:rPr>
          <w:rtl w:val="true"/>
        </w:rPr>
        <w:t xml:space="preserve">, </w:t>
      </w:r>
      <w:r>
        <w:rPr>
          <w:rtl w:val="true"/>
        </w:rPr>
        <w:t xml:space="preserve">עתאבא ובוסקילה </w:t>
      </w:r>
      <w:r>
        <w:rPr>
          <w:rtl w:val="true"/>
        </w:rPr>
        <w:t>ב</w:t>
      </w:r>
      <w:r>
        <w:rPr>
          <w:rtl w:val="true"/>
        </w:rPr>
        <w:t xml:space="preserve">דרך של הוספת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 לעונשו של כל אחד מהם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על אף החמרה זו אין מדובר במיצוי הדין</w:t>
      </w:r>
      <w:r>
        <w:rPr>
          <w:rtl w:val="true"/>
        </w:rPr>
        <w:t xml:space="preserve">, </w:t>
      </w:r>
      <w:r>
        <w:rPr>
          <w:rtl w:val="true"/>
        </w:rPr>
        <w:t>לאור המגבלות המוכרות המוטלות עלינו כערכאת ערעור וכן בשים לב לטענות שעניינן אחידות הענישה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כי קובס ירצה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Fonts w:ascii="Century" w:hAnsi="Century" w:cs="Century"/>
          <w:sz w:val="22"/>
          <w:sz w:val="22"/>
          <w:rtl w:val="true"/>
        </w:rPr>
        <w:t xml:space="preserve">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חלף </w:t>
      </w:r>
      <w:r>
        <w:rPr/>
        <w:t>32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עתאבא</w:t>
      </w:r>
      <w:r>
        <w:rPr>
          <w:rtl w:val="true"/>
        </w:rPr>
        <w:t xml:space="preserve"> ירצה עונש מאסר בפועל של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25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 xml:space="preserve">ובוסקילה ירצה עונש מאסר בפועל של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29</w:t>
      </w:r>
      <w:r>
        <w:rPr>
          <w:rtl w:val="true"/>
        </w:rPr>
        <w:t xml:space="preserve">. </w:t>
      </w:r>
      <w:r>
        <w:rPr>
          <w:rtl w:val="true"/>
        </w:rPr>
        <w:t>מדובר אמנם בהחמרה ממשית</w:t>
      </w:r>
      <w:r>
        <w:rPr>
          <w:rtl w:val="true"/>
        </w:rPr>
        <w:t xml:space="preserve">, </w:t>
      </w:r>
      <w:r>
        <w:rPr>
          <w:rtl w:val="true"/>
        </w:rPr>
        <w:t>אך היא מתחייבת בנסיבות העניין משגזר הדין מושא הערעורים שלפנינו סוטה סטייה ממשית ממדיניות הענישה הראויה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בדרך זו</w:t>
      </w:r>
      <w:r>
        <w:rPr>
          <w:rtl w:val="true"/>
        </w:rPr>
        <w:t xml:space="preserve">, </w:t>
      </w:r>
      <w:r>
        <w:rPr>
          <w:rtl w:val="true"/>
        </w:rPr>
        <w:t>יישמר גם היחס שהתבטא בגזר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r>
        <w:rPr>
          <w:rtl w:val="true"/>
        </w:rPr>
        <w:t xml:space="preserve">תקופת </w:t>
      </w:r>
      <w:r>
        <w:rPr>
          <w:rtl w:val="true"/>
        </w:rPr>
        <w:t>המאסר שנגזר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על המערערים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ית</w:t>
      </w:r>
      <w:r>
        <w:rPr>
          <w:rtl w:val="true"/>
        </w:rPr>
        <w:t>ר רכיבי גזר הדין</w:t>
      </w:r>
      <w:r>
        <w:rPr>
          <w:rtl w:val="true"/>
        </w:rPr>
        <w:t xml:space="preserve"> </w:t>
      </w:r>
      <w:r>
        <w:rPr>
          <w:rtl w:val="true"/>
        </w:rPr>
        <w:t>– יעמדו בעינם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1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22.10.2023</w:t>
      </w:r>
      <w:r>
        <w:rPr>
          <w:rtl w:val="true"/>
        </w:rPr>
        <w:t xml:space="preserve">). </w:t>
      </w:r>
      <w:bookmarkEnd w:id="21"/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23051700</w:t>
      </w:r>
      <w:r>
        <w:rPr>
          <w:sz w:val="16"/>
          <w:rtl w:val="true"/>
        </w:rPr>
        <w:t>_</w:t>
      </w:r>
      <w:r>
        <w:rPr>
          <w:sz w:val="16"/>
        </w:rPr>
        <w:t>C09.docx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54678313-5170/23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44"/>
      <w:footerReference w:type="default" r:id="rId45"/>
      <w:type w:val="nextPage"/>
      <w:pgSz w:w="11906" w:h="16838"/>
      <w:pgMar w:left="1797" w:right="1797" w:gutter="0" w:header="567" w:top="1701" w:footer="397" w:bottom="1418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5170/23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שי קובס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decimal"/>
      <w:lvlText w:val="(%1)"/>
      <w:lvlJc w:val="end"/>
      <w:pPr>
        <w:tabs>
          <w:tab w:val="num" w:pos="0"/>
        </w:tabs>
        <w:ind w:start="2026" w:hanging="384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overflowPunct w:val="true"/>
      <w:autoSpaceDE w:val="true"/>
      <w:bidi w:val="0"/>
      <w:spacing w:before="280" w:after="280"/>
      <w:textAlignment w:val="auto"/>
      <w:outlineLvl w:val="1"/>
    </w:pPr>
    <w:rPr>
      <w:rFonts w:cs="Times New Roman"/>
      <w:b/>
      <w:bCs/>
      <w:sz w:val="36"/>
      <w:szCs w:val="3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ing2Char">
    <w:name w:val="Heading 2 Char"/>
    <w:qFormat/>
    <w:rPr>
      <w:b/>
      <w:bCs/>
      <w:sz w:val="36"/>
      <w:szCs w:val="36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mw-headline">
    <w:name w:val="mw-headline"/>
    <w:basedOn w:val="DefaultParagraphFont"/>
    <w:qFormat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Strong">
    <w:name w:val="Strong"/>
    <w:qFormat/>
    <w:rPr>
      <w:b/>
      <w:bCs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term1">
    <w:name w:val="term_1"/>
    <w:basedOn w:val="DefaultParagraphFont"/>
    <w:qFormat/>
    <w:rPr/>
  </w:style>
  <w:style w:type="character" w:styleId="apple-converted-space">
    <w:name w:val="apple-converted-space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  <w:lang w:val="en-IL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  <w:lang w:val="en-IL"/>
    </w:rPr>
  </w:style>
  <w:style w:type="paragraph" w:styleId="ListParagraph">
    <w:name w:val="List Paragraph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  <w:lang w:val="en-IL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756848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safrut/bookgroup/41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449.a.1" TargetMode="External"/><Relationship Id="rId11" Type="http://schemas.openxmlformats.org/officeDocument/2006/relationships/hyperlink" Target="http://www.nevo.co.il/case/28756848" TargetMode="External"/><Relationship Id="rId12" Type="http://schemas.openxmlformats.org/officeDocument/2006/relationships/hyperlink" Target="http://www.nevo.co.il/law/70301/44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25386195" TargetMode="External"/><Relationship Id="rId19" Type="http://schemas.openxmlformats.org/officeDocument/2006/relationships/hyperlink" Target="http://www.nevo.co.il/case/28226828" TargetMode="External"/><Relationship Id="rId20" Type="http://schemas.openxmlformats.org/officeDocument/2006/relationships/hyperlink" Target="http://www.nevo.co.il/case/24285475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law/70301/449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17942395" TargetMode="External"/><Relationship Id="rId25" Type="http://schemas.openxmlformats.org/officeDocument/2006/relationships/hyperlink" Target="http://www.nevo.co.il/case/5777967" TargetMode="External"/><Relationship Id="rId26" Type="http://schemas.openxmlformats.org/officeDocument/2006/relationships/hyperlink" Target="http://www.nevo.co.il/case/5888111" TargetMode="External"/><Relationship Id="rId27" Type="http://schemas.openxmlformats.org/officeDocument/2006/relationships/hyperlink" Target="http://www.nevo.co.il/safrut/bookgroup/41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7418439" TargetMode="External"/><Relationship Id="rId31" Type="http://schemas.openxmlformats.org/officeDocument/2006/relationships/hyperlink" Target="http://www.nevo.co.il/case/29718922" TargetMode="External"/><Relationship Id="rId32" Type="http://schemas.openxmlformats.org/officeDocument/2006/relationships/hyperlink" Target="http://www.nevo.co.il/case/26986954" TargetMode="External"/><Relationship Id="rId33" Type="http://schemas.openxmlformats.org/officeDocument/2006/relationships/hyperlink" Target="http://www.nevo.co.il/case/27309272" TargetMode="External"/><Relationship Id="rId34" Type="http://schemas.openxmlformats.org/officeDocument/2006/relationships/hyperlink" Target="http://www.nevo.co.il/case/2582486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88308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7915723" TargetMode="External"/><Relationship Id="rId39" Type="http://schemas.openxmlformats.org/officeDocument/2006/relationships/hyperlink" Target="http://www.nevo.co.il/case/28142541" TargetMode="External"/><Relationship Id="rId40" Type="http://schemas.openxmlformats.org/officeDocument/2006/relationships/hyperlink" Target="http://www.nevo.co.il/case/27742715" TargetMode="External"/><Relationship Id="rId41" Type="http://schemas.openxmlformats.org/officeDocument/2006/relationships/hyperlink" Target="http://www.nevo.co.il/case/28774350" TargetMode="External"/><Relationship Id="rId42" Type="http://schemas.openxmlformats.org/officeDocument/2006/relationships/hyperlink" Target="https://supreme.court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2023-10-24T17:11:00Z</dcterms:created>
  <dc:creator>h4</dc:creator>
  <dc:description/>
  <cp:keywords/>
  <dc:language>en-IL</dc:language>
  <cp:lastModifiedBy>h1</cp:lastModifiedBy>
  <cp:lastPrinted>2023-10-22T10:16:00Z</cp:lastPrinted>
  <dcterms:modified xsi:type="dcterms:W3CDTF">2023-10-24T17:11:00Z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שי קובס;אחמד עתאבא;אשר בוסקילה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CASENOTES1">
    <vt:lpwstr>ProcID=213&amp;PartA=15&amp;PartC=13</vt:lpwstr>
  </property>
  <property fmtid="{D5CDD505-2E9C-101B-9397-08002B2CF9AE}" pid="10" name="CASESLISTTMP1">
    <vt:lpwstr>28756848:2;25386195;28226828;24285475;17942395;5777967;5888111;27418439;29718922;26986954;27309272;25824863;28883087;27915723;28142541;27742715;28774350</vt:lpwstr>
  </property>
  <property fmtid="{D5CDD505-2E9C-101B-9397-08002B2CF9AE}" pid="11" name="CITY">
    <vt:lpwstr/>
  </property>
  <property fmtid="{D5CDD505-2E9C-101B-9397-08002B2CF9AE}" pid="12" name="DATE">
    <vt:lpwstr>20231022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עמית;ד' מינץ;ח' כבוב</vt:lpwstr>
  </property>
  <property fmtid="{D5CDD505-2E9C-101B-9397-08002B2CF9AE}" pid="16" name="LAWLISTTMP1">
    <vt:lpwstr>70301/449.a.1:2;144.a;029:2;144.b;040b</vt:lpwstr>
  </property>
  <property fmtid="{D5CDD505-2E9C-101B-9397-08002B2CF9AE}" pid="17" name="LAWYER">
    <vt:lpwstr>ארז בן ארויה;שי טובים;שי שורר;זקי אלעברה;אברהם יקוטי;זוהר ארבל;שי שורר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>עבירות</vt:lpwstr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1446;1446;1446;1446;1446;1446;1443</vt:lpwstr>
  </property>
  <property fmtid="{D5CDD505-2E9C-101B-9397-08002B2CF9AE}" pid="50" name="NOSE31">
    <vt:lpwstr>מדיניות ענישה: קשירת קשר לרצח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נשק</vt:lpwstr>
  </property>
  <property fmtid="{D5CDD505-2E9C-101B-9397-08002B2CF9AE}" pid="53" name="NOSE33">
    <vt:lpwstr>מדיניות ענישה: התערבות ערכאת ערעור</vt:lpwstr>
  </property>
  <property fmtid="{D5CDD505-2E9C-101B-9397-08002B2CF9AE}" pid="54" name="NOSE34">
    <vt:lpwstr>מדיניות ענישה: שיקולים לחומרה</vt:lpwstr>
  </property>
  <property fmtid="{D5CDD505-2E9C-101B-9397-08002B2CF9AE}" pid="55" name="NOSE35">
    <vt:lpwstr>אחדות הענישה</vt:lpwstr>
  </property>
  <property fmtid="{D5CDD505-2E9C-101B-9397-08002B2CF9AE}" pid="56" name="NOSE36">
    <vt:lpwstr>עקרון ההלימה‏</vt:lpwstr>
  </property>
  <property fmtid="{D5CDD505-2E9C-101B-9397-08002B2CF9AE}" pid="57" name="NOSE37">
    <vt:lpwstr>קשירת קשר לביצוע פשע</vt:lpwstr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16656;13800;8982;8995;12547;14799;8921</vt:lpwstr>
  </property>
  <property fmtid="{D5CDD505-2E9C-101B-9397-08002B2CF9AE}" pid="61" name="PADIDATE">
    <vt:lpwstr>20231023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עפ;עפ;עפ</vt:lpwstr>
  </property>
  <property fmtid="{D5CDD505-2E9C-101B-9397-08002B2CF9AE}" pid="66" name="PROCNUM">
    <vt:lpwstr>5170;5202;5219</vt:lpwstr>
  </property>
  <property fmtid="{D5CDD505-2E9C-101B-9397-08002B2CF9AE}" pid="67" name="PROCYEAR">
    <vt:lpwstr>23;23;23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410120231022</vt:lpwstr>
  </property>
  <property fmtid="{D5CDD505-2E9C-101B-9397-08002B2CF9AE}" pid="71" name="TYPE_N_DATE">
    <vt:lpwstr>41020231022</vt:lpwstr>
  </property>
  <property fmtid="{D5CDD505-2E9C-101B-9397-08002B2CF9AE}" pid="72" name="VOLUME">
    <vt:lpwstr/>
  </property>
  <property fmtid="{D5CDD505-2E9C-101B-9397-08002B2CF9AE}" pid="73" name="WORDNUMPAGES">
    <vt:lpwstr>14</vt:lpwstr>
  </property>
</Properties>
</file>