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5209/17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6975/17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5209/17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סופיאן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נסרה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6975/17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58301-12-15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24.1.2018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5209/17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</w:t>
            </w:r>
            <w:r>
              <w:rPr>
                <w:rtl w:val="true"/>
              </w:rPr>
              <w:t>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6975/17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פאהום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29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244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8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]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10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10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36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43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1970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Start w:id="12" w:name="LawTable_End"/>
      <w:bookmarkEnd w:id="11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מבוגרים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אזרחים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ולידיעה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Cs w:val="26"/>
        </w:rPr>
        <w:t>32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סופיאן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מבוגרים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טרף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אזרחים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ולידיעה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מוחמד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DocumentHead"/>
        <w:ind w:end="0"/>
        <w:jc w:val="center"/>
        <w:rPr>
          <w:rFonts w:cs="FrankRuehl"/>
          <w:bCs w:val="false"/>
          <w:sz w:val="24"/>
          <w:szCs w:val="26"/>
          <w:u w:val="none"/>
        </w:rPr>
      </w:pPr>
      <w:r>
        <w:rPr>
          <w:rFonts w:cs="FrankRuehl"/>
          <w:bCs w:val="false"/>
          <w:sz w:val="24"/>
          <w:szCs w:val="26"/>
          <w:u w:val="none"/>
          <w:rtl w:val="true"/>
        </w:rPr>
      </w:r>
      <w:bookmarkStart w:id="13" w:name="ABSTRACT_END"/>
      <w:bookmarkStart w:id="14" w:name="ABSTRACT_END"/>
      <w:bookmarkEnd w:id="14"/>
    </w:p>
    <w:p>
      <w:pPr>
        <w:pStyle w:val="BODYVERDICT"/>
        <w:ind w:end="0"/>
        <w:jc w:val="center"/>
        <w:rPr>
          <w:sz w:val="32"/>
          <w:szCs w:val="32"/>
        </w:rPr>
      </w:pPr>
      <w:bookmarkStart w:id="15" w:name="PsakDin"/>
      <w:bookmarkEnd w:id="15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6" w:name="PsakDin"/>
      <w:bookmarkStart w:id="17" w:name="PsakDin"/>
      <w:bookmarkEnd w:id="17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bookmarkStart w:id="21" w:name="_GoBack"/>
      <w:bookmarkEnd w:id="21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,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5.12.2015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. </w:t>
      </w:r>
      <w:r>
        <w:rPr>
          <w:rtl w:val="true"/>
        </w:rPr>
        <w:t>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מוּנעת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ומשך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הסתייעות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: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;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לסופיאן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וסקר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>–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>–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הרישיון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והחרטה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  <w:r>
        <w:rPr>
          <w:rtl w:val="true"/>
        </w:rPr>
        <w:t>ולחומרה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ותעבורתי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).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והכרה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המטים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מוחמד וסופיאן הגישו ערעורים על חומרת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סופיאן אף הגיש בקשה לעיכוב ביצוע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 משפט זה נעתר 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החלטת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ascii="Century" w:hAnsi="Century" w:cs="Century"/>
          <w:rtl w:val="true"/>
        </w:rPr>
        <w:t xml:space="preserve"> מיום </w:t>
      </w:r>
      <w:r>
        <w:rPr>
          <w:rFonts w:cs="Century" w:ascii="Century" w:hAnsi="Century"/>
        </w:rPr>
        <w:t>3.7.2017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6975/17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הוגש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היה על בית המשפט המחוזי לסטות לקולא ממתחם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בשל המלצתו של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להסתפק בימי המעצר לעניין עונש המאסר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התרשם ממוחמד כבעל מוטיבציה שיקומית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נוכח גילו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והבעת החרטה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 ליתן משקל משמעותי להמלצת שירות המבחן בקשר אליו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5209/17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שהוגש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סופיאן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מתחם הענישה שנקבע בעניינו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מתחם שגוי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חלקו השולי של סופיאן בביצוע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כוונת השוד של מוחמד נודעה לסופיאן שניות ספורות עובר לביצוע השוד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נגרר לכך תוך הפעלת שיקול דעת מוטעה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הנסיעה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למפגש עם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היתה נסיעה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תמימה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ללא כוונת זדון כלשהי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ליתן את הדעת על גילו הצעיר של סופיאן בעת 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סופיאן מציין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נדחתה בקשתו להגשת תסקיר משלים לשם בחינת הליך 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נקודות אלו צריכות היו להשליך על גבולו התחתון של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ולהעמידו על עונש שניתן לרצותו בדרך של עבודות שירות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מוסיף סופיאן וטוען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בתוך מתחם הענישה שנקבע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 בית המשפט לנטות לקולא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השוואת עונשו לעונש שהושת על 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המבצע העיקרי של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 אף היא על כך שמדובר בעונש חמור יתר על המידה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תסקיר עדכני מטעם שירות המבחן בעניינו של מוחמד מלמד על קבלת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אמנם תוך המעטה מחומרת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מוחמד עודנו מתקשה לגלות אמפתיה כלפי נפגעת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נרשמו לחובתו עבירות משמעת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מוחמד השתלב במסגרת החינוך בכלא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מגלה עניין בחומר הנלמד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במישור הטיפולי השתלב מוחמד בטיפול קבוצתי ופרטני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מתמיד בכך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תסקיר עדכני מטעם שירות 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בעניינו של סופיאן מלמד על קבלת אחריות חלקית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משליך את עיקר האחריות על מוחמד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חסר אמפתיה רגשית כלפי הנפגעת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חרד מעונש המאסר הצפוי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מסכים לטיפול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רק מבחינה מילולית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מבלעדי תובנה לבעייתיות שבהתנהגותו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ולצורך לפעול לשינוי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לא בא אפוא בהמלצה טיפולית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מן הראוי לציין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מוחמד וסופיאן טרם שלמו לנפגעת את הפיצויים שחוייבו בתשלומם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התמקד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של מוחמד בשיקולי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והדגיש כי ההליך הפלילי הוביל את מוחמד לחשבון נפש פנימי והוא נרתם להליך הטיפולי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של סופיאן הדגיש כי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כמי שהורשע בסיוע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חמור ביחס למדיניות הענישה הנהוגה בכגון דא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כי הפיצוי לא שולם מחמת טעות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 תתוקן לאלתר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הדגישה את עברו הפלילי של 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וטענה כי חלקו של סופיאן במעשה לא היה מזערי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נחוץ לשם הוצאת מעשה השוד אל הפועל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במכלול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בנסיבות לקולא ולחומרא ובמדיניות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הצדקה לשיטתה להתערב בעונש שנגזר על המערערים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הכרעה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לאחר שמיעת הצדדים ועיון בטענותיהם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בידינו להעתר לערעור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הלכה היא כי ערכאת הערעור אינה נוהגת להתערב בעונש שנגזר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הערכאה הדיונית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אלא במצבים חריגים </w:t>
      </w:r>
      <w:r>
        <w:rPr>
          <w:rFonts w:cs="Times New Roman" w:ascii="Times New Roman" w:hAnsi="Times New Roman"/>
          <w:rtl w:val="true"/>
        </w:rPr>
        <w:t>(</w:t>
      </w:r>
      <w:hyperlink r:id="rId3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5432/17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24.1.2018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איננו סבורים כי זהו המצב בענייננו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המעשה חמור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ומצדיק ענישה הולמת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אין בכוחם של שיקולי השיקום לגבור על כך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חומרתה של עבירת השוד ברורה מאליה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קל וחומר כאשר קורבנות העבירה הם אזרחים מבוגרים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שלעתים הם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טרף קל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לביצוע עבירות שוד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אזרחים אלו זכאים לתחושת ביטחון ולידיעה כי מי שיתקוף אותם לא יחמוק מן העונש הראוי לו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חברה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תחושת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הביטחון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ובנותיה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ובמיוחד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שבהם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כגון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קשישים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מעורערת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זקוקה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לשיקום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ולחיזוק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שתחושה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ראויה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תשוב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[...]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הכתובות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ההכרחיות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לציפיה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ארנק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תקציבים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לחיזוק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הביטחון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המתאימים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להניפה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(</w:t>
      </w:r>
      <w:hyperlink r:id="rId3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2163/05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12.12.2005</w:t>
      </w:r>
      <w:r>
        <w:rPr>
          <w:rFonts w:cs="Times New Roman" w:ascii="Times New Roman" w:hAnsi="Times New Roman"/>
          <w:rtl w:val="true"/>
        </w:rPr>
        <w:t>))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העונשים שנגזרו על המערערים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לשם כך נועדו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בהתחשב במכלול הנסיבות אין מדובר בעונשים קלים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אולם לא מצאנו כי הם חורגים מן הרף הראוי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באופן המצדיק את התערבותה החריגה של ערכאת הערעור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באשר לשיקולי השיקום נציין כי יש לברך על מגמתו החיובית של מוחמד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ולהביע תקווה כי ימשיך ויתמיד בהליכי הטיפול והשיקום שהחל בהם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מדברי שירות המבחן אכן עולה כי מוחמד הפיק ומפיק תועלת מן ההליך הפלילי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מן העונש שהושת עליו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אולם בד בבד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איננו סבורים שדי בכך על מנת להצדיק חריגה ממתחם העונש ההולם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בראיה רחבת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טווח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השיקום והטיפול שמוחמד מתמיד בהם כעת לבטח יועילו לו בהמשך דרכו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לכשיעמוד מול ועדת השחרורים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וכאשר יצא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בסופו של דבר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מבית הסוהר לדרך חדשה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אשר על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החלטנו לדחות את שני הערעורים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u w:val="single"/>
        </w:rPr>
      </w:pPr>
      <w:r>
        <w:rPr>
          <w:rtl w:val="true"/>
        </w:rPr>
        <w:tab/>
      </w:r>
      <w:r>
        <w:rPr>
          <w:rtl w:val="true"/>
        </w:rPr>
        <w:t>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11.2.2018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צלמון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17052090</w:t>
      </w:r>
      <w:r>
        <w:rPr>
          <w:sz w:val="16"/>
          <w:rtl w:val="true"/>
        </w:rPr>
        <w:t>_</w:t>
      </w:r>
      <w:r>
        <w:rPr>
          <w:sz w:val="16"/>
        </w:rPr>
        <w:t>O03.doc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  <w:r>
        <w:rPr>
          <w:rtl w:val="true"/>
        </w:rPr>
        <w:t>+</w:t>
      </w:r>
      <w:r>
        <w:rPr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54678313-5209/17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5209/17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סופיאן אבו נסרה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3045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.a" TargetMode="External"/><Relationship Id="rId10" Type="http://schemas.openxmlformats.org/officeDocument/2006/relationships/hyperlink" Target="http://www.nevo.co.il/law/5227/10.b" TargetMode="External"/><Relationship Id="rId11" Type="http://schemas.openxmlformats.org/officeDocument/2006/relationships/hyperlink" Target="http://www.nevo.co.il/law/5227/36b.c" TargetMode="External"/><Relationship Id="rId12" Type="http://schemas.openxmlformats.org/officeDocument/2006/relationships/hyperlink" Target="http://www.nevo.co.il/law/5227/43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.a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5227/43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5227/10.b" TargetMode="External"/><Relationship Id="rId21" Type="http://schemas.openxmlformats.org/officeDocument/2006/relationships/hyperlink" Target="http://www.nevo.co.il/law/5227/36b.c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0301/402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1" TargetMode="External"/><Relationship Id="rId26" Type="http://schemas.openxmlformats.org/officeDocument/2006/relationships/hyperlink" Target="http://www.nevo.co.il/law/5227/10.a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law/74501/2.a" TargetMode="External"/><Relationship Id="rId29" Type="http://schemas.openxmlformats.org/officeDocument/2006/relationships/hyperlink" Target="http://www.nevo.co.il/law/74501" TargetMode="External"/><Relationship Id="rId30" Type="http://schemas.openxmlformats.org/officeDocument/2006/relationships/hyperlink" Target="http://www.nevo.co.il/case/22812281" TargetMode="External"/><Relationship Id="rId31" Type="http://schemas.openxmlformats.org/officeDocument/2006/relationships/hyperlink" Target="http://www.nevo.co.il/case/5815848" TargetMode="External"/><Relationship Id="rId32" Type="http://schemas.openxmlformats.org/officeDocument/2006/relationships/hyperlink" Target="http://www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2018-01-28T12:36:00Z</dcterms:created>
  <dc:creator> </dc:creator>
  <dc:description/>
  <cp:keywords/>
  <dc:language>en-IL</dc:language>
  <cp:lastModifiedBy>orly</cp:lastModifiedBy>
  <cp:lastPrinted>2018-01-25T10:09:00Z</cp:lastPrinted>
  <dcterms:modified xsi:type="dcterms:W3CDTF">2018-01-28T12:36:00Z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סופיאן אבו נסרה;מוחמד נערה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20830454;22812281;5815848</vt:lpwstr>
  </property>
  <property fmtid="{D5CDD505-2E9C-101B-9397-08002B2CF9AE}" pid="9" name="CITY">
    <vt:lpwstr/>
  </property>
  <property fmtid="{D5CDD505-2E9C-101B-9397-08002B2CF9AE}" pid="10" name="DATE">
    <vt:lpwstr>20180125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ברק ארז;י' אלרון</vt:lpwstr>
  </property>
  <property fmtid="{D5CDD505-2E9C-101B-9397-08002B2CF9AE}" pid="14" name="LAWLISTTMP1">
    <vt:lpwstr>70301/402.b:2;029;244;031</vt:lpwstr>
  </property>
  <property fmtid="{D5CDD505-2E9C-101B-9397-08002B2CF9AE}" pid="15" name="LAWLISTTMP2">
    <vt:lpwstr>5227/043;010.b;036b.c;010.a</vt:lpwstr>
  </property>
  <property fmtid="{D5CDD505-2E9C-101B-9397-08002B2CF9AE}" pid="16" name="LAWLISTTMP3">
    <vt:lpwstr>74501/002.a</vt:lpwstr>
  </property>
  <property fmtid="{D5CDD505-2E9C-101B-9397-08002B2CF9AE}" pid="17" name="LAWYER">
    <vt:lpwstr>רחלי זוארץ לוי;סרי ח'ורי;עבד אלמג'יד פאהום;ברכה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504;1446;1446</vt:lpwstr>
  </property>
  <property fmtid="{D5CDD505-2E9C-101B-9397-08002B2CF9AE}" pid="50" name="NOSE31">
    <vt:lpwstr>אי-התערבות במידת העונש</vt:lpwstr>
  </property>
  <property fmtid="{D5CDD505-2E9C-101B-9397-08002B2CF9AE}" pid="51" name="NOSE310">
    <vt:lpwstr/>
  </property>
  <property fmtid="{D5CDD505-2E9C-101B-9397-08002B2CF9AE}" pid="52" name="NOSE32">
    <vt:lpwstr>מדיניות ענישה: שוד</vt:lpwstr>
  </property>
  <property fmtid="{D5CDD505-2E9C-101B-9397-08002B2CF9AE}" pid="53" name="NOSE33">
    <vt:lpwstr>מדיניות ענישה: עבירות נגד קשישים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17039;15019;14903</vt:lpwstr>
  </property>
  <property fmtid="{D5CDD505-2E9C-101B-9397-08002B2CF9AE}" pid="61" name="PADIDATE">
    <vt:lpwstr>20180128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5209;6975</vt:lpwstr>
  </property>
  <property fmtid="{D5CDD505-2E9C-101B-9397-08002B2CF9AE}" pid="67" name="PROCYEAR">
    <vt:lpwstr>17;17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410120180125</vt:lpwstr>
  </property>
  <property fmtid="{D5CDD505-2E9C-101B-9397-08002B2CF9AE}" pid="71" name="TYPE_N_DATE">
    <vt:lpwstr>41020180125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