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5282/19</w:t>
            </w:r>
            <w:r>
              <w:rPr>
                <w:sz w:val="28"/>
                <w:szCs w:val="28"/>
                <w:rtl w:val="true"/>
              </w:rPr>
              <w:t xml:space="preserve"> - 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Cs w:val="28"/>
                <w:rtl w:val="true"/>
              </w:rPr>
              <w:t>'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גולדשטיין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2" w:name="FirstAppellant"/>
            <w:bookmarkEnd w:id="2"/>
            <w:r>
              <w:rPr>
                <w:rFonts w:ascii="David" w:hAnsi="David"/>
                <w:rtl w:val="true"/>
              </w:rPr>
              <w:t>מבקש העיון</w:t>
            </w:r>
            <w:r>
              <w:rPr>
                <w:rFonts w:cs="David" w:ascii="David" w:hAnsi="David"/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המערערים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איתי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טפר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מעדני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הצפון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מיל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יבלי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הועדה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מקומית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לתו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יפו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עיריית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יפו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4"/>
                <w:szCs w:val="28"/>
              </w:rPr>
            </w:pP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בקשה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לעיון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בתיק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המשפט</w:t>
            </w:r>
            <w:r>
              <w:rPr>
                <w:b/>
                <w:bCs/>
                <w:sz w:val="24"/>
                <w:szCs w:val="28"/>
                <w:rtl w:val="true"/>
              </w:rPr>
              <w:t xml:space="preserve">;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תשובת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המערערים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מיום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4"/>
                <w:szCs w:val="28"/>
              </w:rPr>
              <w:t>13.11.2019</w:t>
            </w:r>
          </w:p>
        </w:tc>
      </w:tr>
    </w:tbl>
    <w:p>
      <w:pPr>
        <w:pStyle w:val="Ruller31"/>
        <w:ind w:end="0"/>
        <w:jc w:val="start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31"/>
        <w:ind w:end="0"/>
        <w:jc w:val="start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3" w:name="LawTable"/>
      <w:bookmarkStart w:id="4" w:name="LawTable"/>
      <w:bookmarkEnd w:id="4"/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2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תקנות בתי המשפט ובתי הדין לעבודה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עיון בתיקים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2003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4</w:t>
        </w:r>
      </w:hyperlink>
    </w:p>
    <w:p>
      <w:pPr>
        <w:pStyle w:val="Ruller31"/>
        <w:ind w:end="0"/>
        <w:jc w:val="start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7" w:name="PsakDin"/>
            <w:bookmarkStart w:id="8" w:name="BeginProtocol"/>
            <w:bookmarkStart w:id="9" w:name="secretary"/>
            <w:bookmarkEnd w:id="7"/>
            <w:bookmarkEnd w:id="8"/>
            <w:bookmarkEnd w:id="9"/>
            <w:r>
              <w:rPr>
                <w:rtl w:val="true"/>
              </w:rPr>
              <w:t>החלטה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ruller411"/>
        <w:ind w:firstLine="720" w:end="0"/>
        <w:jc w:val="both"/>
        <w:rPr>
          <w:rFonts w:ascii="FrankRuehl" w:hAnsi="FrankRuehl" w:cs="FrankRuehl"/>
          <w:sz w:val="28"/>
          <w:szCs w:val="28"/>
        </w:rPr>
      </w:pPr>
      <w:bookmarkStart w:id="10" w:name="Start_Write"/>
      <w:bookmarkStart w:id="11" w:name="Writer_Name"/>
      <w:bookmarkEnd w:id="10"/>
      <w:bookmarkEnd w:id="11"/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לפניי </w:t>
      </w:r>
      <w:bookmarkStart w:id="12" w:name="ABSTRACT_START"/>
      <w:bookmarkEnd w:id="12"/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בקשה </w:t>
      </w:r>
      <w:r>
        <w:rPr>
          <w:rFonts w:ascii="Century" w:hAnsi="Century" w:cs="FrankRuehl"/>
          <w:szCs w:val="28"/>
          <w:rtl w:val="true"/>
        </w:rPr>
        <w:t>מכוח</w:t>
      </w:r>
      <w:r>
        <w:rPr>
          <w:rFonts w:ascii="Century" w:hAnsi="Century" w:eastAsia="Century" w:cs="Century"/>
          <w:szCs w:val="28"/>
          <w:rtl w:val="true"/>
        </w:rPr>
        <w:t xml:space="preserve"> </w:t>
      </w:r>
      <w:hyperlink r:id="rId4">
        <w:r>
          <w:rPr>
            <w:rStyle w:val="Hyperlink"/>
            <w:rFonts w:ascii="Century" w:hAnsi="Century" w:cs="FrankRuehl"/>
            <w:color w:val="0000FF"/>
            <w:szCs w:val="28"/>
            <w:u w:val="single"/>
            <w:rtl w:val="true"/>
          </w:rPr>
          <w:t>תקנות</w:t>
        </w:r>
        <w:r>
          <w:rPr>
            <w:rStyle w:val="Hyperlink"/>
            <w:rFonts w:ascii="Century" w:hAnsi="Century" w:eastAsia="Century" w:cs="Century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zCs w:val="28"/>
            <w:u w:val="single"/>
            <w:rtl w:val="true"/>
          </w:rPr>
          <w:t>בתי</w:t>
        </w:r>
        <w:r>
          <w:rPr>
            <w:rStyle w:val="Hyperlink"/>
            <w:rFonts w:ascii="Century" w:hAnsi="Century" w:eastAsia="Century" w:cs="Century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zCs w:val="28"/>
            <w:u w:val="single"/>
            <w:rtl w:val="true"/>
          </w:rPr>
          <w:t>המשפט</w:t>
        </w:r>
        <w:r>
          <w:rPr>
            <w:rStyle w:val="Hyperlink"/>
            <w:rFonts w:ascii="Century" w:hAnsi="Century" w:eastAsia="Century" w:cs="Century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zCs w:val="28"/>
            <w:u w:val="single"/>
            <w:rtl w:val="true"/>
          </w:rPr>
          <w:t>ובתי</w:t>
        </w:r>
        <w:r>
          <w:rPr>
            <w:rStyle w:val="Hyperlink"/>
            <w:rFonts w:ascii="Century" w:hAnsi="Century" w:eastAsia="Century" w:cs="Century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zCs w:val="28"/>
            <w:u w:val="single"/>
            <w:rtl w:val="true"/>
          </w:rPr>
          <w:t>הדין</w:t>
        </w:r>
        <w:r>
          <w:rPr>
            <w:rStyle w:val="Hyperlink"/>
            <w:rFonts w:ascii="Century" w:hAnsi="Century" w:eastAsia="Century" w:cs="Century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zCs w:val="28"/>
            <w:u w:val="single"/>
            <w:rtl w:val="true"/>
          </w:rPr>
          <w:t>לעבודה</w:t>
        </w:r>
        <w:r>
          <w:rPr>
            <w:rStyle w:val="Hyperlink"/>
            <w:rFonts w:ascii="Century" w:hAnsi="Century" w:eastAsia="Century" w:cs="Century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zCs w:val="28"/>
            <w:u w:val="single"/>
            <w:rtl w:val="true"/>
          </w:rPr>
          <w:t>עיון</w:t>
        </w:r>
        <w:r>
          <w:rPr>
            <w:rStyle w:val="Hyperlink"/>
            <w:rFonts w:ascii="Century" w:hAnsi="Century" w:eastAsia="Century" w:cs="Century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zCs w:val="28"/>
            <w:u w:val="single"/>
            <w:rtl w:val="true"/>
          </w:rPr>
          <w:t>בתיקים</w:t>
        </w:r>
        <w:r>
          <w:rPr>
            <w:rStyle w:val="Hyperlink"/>
            <w:rFonts w:cs="FrankRuehl" w:ascii="Century" w:hAnsi="Century"/>
            <w:color w:val="0000FF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zCs w:val="28"/>
          <w:rtl w:val="true"/>
        </w:rPr>
        <w:t xml:space="preserve">, </w:t>
      </w:r>
      <w:r>
        <w:rPr>
          <w:rFonts w:ascii="Century" w:hAnsi="Century" w:cs="FrankRuehl"/>
          <w:szCs w:val="28"/>
          <w:rtl w:val="true"/>
        </w:rPr>
        <w:t>התשס</w:t>
      </w:r>
      <w:r>
        <w:rPr>
          <w:rFonts w:cs="FrankRuehl" w:ascii="Century" w:hAnsi="Century"/>
          <w:szCs w:val="28"/>
          <w:rtl w:val="true"/>
        </w:rPr>
        <w:t>"</w:t>
      </w:r>
      <w:r>
        <w:rPr>
          <w:rFonts w:ascii="Century" w:hAnsi="Century" w:cs="FrankRuehl"/>
          <w:szCs w:val="28"/>
          <w:rtl w:val="true"/>
        </w:rPr>
        <w:t>ג</w:t>
      </w:r>
      <w:r>
        <w:rPr>
          <w:rFonts w:cs="FrankRuehl" w:ascii="Century" w:hAnsi="Century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2003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Century" w:hAnsi="Century" w:cs="FrankRuehl"/>
          <w:szCs w:val="28"/>
          <w:rtl w:val="true"/>
        </w:rPr>
        <w:t>להלן</w:t>
      </w:r>
      <w:r>
        <w:rPr>
          <w:rFonts w:cs="FrankRuehl" w:ascii="Century" w:hAnsi="Century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העיון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לעיון בפרוטוקול הדיון שהתקיים בהליך שבכותרת ביום </w:t>
      </w:r>
      <w:r>
        <w:rPr>
          <w:rFonts w:cs="FrankRuehl" w:ascii="FrankRuehl" w:hAnsi="FrankRuehl"/>
          <w:sz w:val="28"/>
          <w:szCs w:val="28"/>
        </w:rPr>
        <w:t>19.8.2019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בפני בית משפט זה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יצוין כי הדיון התקיים בפני דן יחיד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כבוד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מינץ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שכן עסקינן 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ערעור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החלט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 של בית המשפט המחוזי 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במסגרתה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נדחתה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בקשה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לעיכוב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ביצוע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הריסה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מינהלי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ruller411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13" w:name="ABSTRACT_END"/>
      <w:bookmarkStart w:id="14" w:name="ABSTRACT_END"/>
      <w:bookmarkEnd w:id="14"/>
    </w:p>
    <w:p>
      <w:pPr>
        <w:pStyle w:val="ruller411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מבקש העיון מציין כי הינו בא כוחה של חברה המחזיקה בזכויות בנכס מקרקעין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 משותף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הגובל בנכס מושא ההליך שבכותרת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לטענתו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לחילופי הדברים בדיון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כפי שתועדו בפרוטוקול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עשויה להיות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השלכה ישירה על זכויות החברה בבית המשותף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המשיבים בחרו שלא להשיב לבקשה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המערערים לעומת זאת מתנגדים לבקשה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ruller411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ruller411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לאחר שעיינתי בפרוטוקול הדיון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בבקשת העיון ובתשובת המערערים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באתי לכלל מסקנה כי דין הבקשה להתקבל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ruller411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ruller411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ככלל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ובהיעדר איסור שבדין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נקודת המוצא היא כי יש להיעתר לבקשה לעיון בתיק בית המשפט וזאת בשים לב למעמדו הרם של עיקרון פומביות הדיון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Century" w:hAnsi="Century" w:cs="FrankRuehl"/>
          <w:szCs w:val="28"/>
          <w:rtl w:val="true"/>
        </w:rPr>
        <w:t>ראו</w:t>
      </w:r>
      <w:r>
        <w:rPr>
          <w:rFonts w:ascii="Century" w:hAnsi="Century" w:eastAsia="Century" w:cs="Century"/>
          <w:szCs w:val="28"/>
          <w:rtl w:val="true"/>
        </w:rPr>
        <w:t xml:space="preserve"> </w:t>
      </w:r>
      <w:hyperlink r:id="rId5">
        <w:r>
          <w:rPr>
            <w:rStyle w:val="Hyperlink"/>
            <w:rFonts w:ascii="Century" w:hAnsi="Century" w:cs="FrankRuehl"/>
            <w:color w:val="0000FF"/>
            <w:szCs w:val="28"/>
            <w:u w:val="single"/>
            <w:rtl w:val="true"/>
          </w:rPr>
          <w:t>תקנה</w:t>
        </w:r>
        <w:r>
          <w:rPr>
            <w:rStyle w:val="Hyperlink"/>
            <w:rFonts w:ascii="Century" w:hAnsi="Century" w:eastAsia="Century" w:cs="Century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zCs w:val="28"/>
            <w:u w:val="single"/>
          </w:rPr>
          <w:t>4</w:t>
        </w:r>
      </w:hyperlink>
      <w:r>
        <w:rPr>
          <w:rFonts w:cs="FrankRuehl" w:ascii="Century" w:hAnsi="Century"/>
          <w:szCs w:val="28"/>
          <w:rtl w:val="true"/>
        </w:rPr>
        <w:t xml:space="preserve"> </w:t>
      </w:r>
      <w:r>
        <w:rPr>
          <w:rFonts w:ascii="Century" w:hAnsi="Century" w:cs="FrankRuehl"/>
          <w:szCs w:val="28"/>
          <w:rtl w:val="true"/>
        </w:rPr>
        <w:t>לתקנות</w:t>
      </w:r>
      <w:r>
        <w:rPr>
          <w:rFonts w:ascii="Century" w:hAnsi="Century" w:eastAsia="Century" w:cs="Century"/>
          <w:szCs w:val="28"/>
          <w:rtl w:val="true"/>
        </w:rPr>
        <w:t xml:space="preserve"> </w:t>
      </w:r>
      <w:r>
        <w:rPr>
          <w:rFonts w:ascii="Century" w:hAnsi="Century" w:cs="FrankRuehl"/>
          <w:szCs w:val="28"/>
          <w:rtl w:val="true"/>
        </w:rPr>
        <w:t>העיון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בעלי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הדין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להליך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רשאים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כמובן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להביע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התנגדותם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לעיון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המבוקש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אולם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לנקודת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המוצא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שלפיה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ככלל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לאפשר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עיון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בתיקים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שהתנהלו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באופן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פומבי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בבית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המשפט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המתנגד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לעיון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מוטל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הנטל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לשכנע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בקיומו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וכבד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משקל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המצדיק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שלילת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העיון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ואף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לספק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הסבר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קונקרטי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ומפורט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באשר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לפגיעה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העלולה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להיגרם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כתוצאה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מחשיפתם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מסמכים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ספציפיים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 למשל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hyperlink r:id="rId6">
        <w:r>
          <w:rPr>
            <w:rStyle w:val="Hyperlink"/>
            <w:rFonts w:ascii="Century" w:hAnsi="Century" w:cs="FrankRuehl"/>
            <w:color w:val="0000FF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zCs w:val="28"/>
            <w:u w:val="single"/>
            <w:rtl w:val="true"/>
          </w:rPr>
          <w:t>א</w:t>
        </w:r>
        <w:r>
          <w:rPr>
            <w:rStyle w:val="Hyperlink"/>
            <w:rFonts w:ascii="Century" w:hAnsi="Century" w:eastAsia="Century" w:cs="Century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zCs w:val="28"/>
            <w:u w:val="single"/>
          </w:rPr>
          <w:t>8849/01</w:t>
        </w:r>
        <w:r>
          <w:rPr>
            <w:rStyle w:val="Hyperlink"/>
            <w:rFonts w:cs="FrankRuehl" w:ascii="Century" w:hAnsi="Century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zCs w:val="28"/>
            <w:u w:val="single"/>
            <w:rtl w:val="true"/>
          </w:rPr>
          <w:t>פקיד</w:t>
        </w:r>
        <w:r>
          <w:rPr>
            <w:rStyle w:val="Hyperlink"/>
            <w:rFonts w:ascii="Century" w:hAnsi="Century" w:eastAsia="Century" w:cs="Century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zCs w:val="28"/>
            <w:u w:val="single"/>
            <w:rtl w:val="true"/>
          </w:rPr>
          <w:t>שומה</w:t>
        </w:r>
        <w:r>
          <w:rPr>
            <w:rStyle w:val="Hyperlink"/>
            <w:rFonts w:ascii="Century" w:hAnsi="Century" w:eastAsia="Century" w:cs="Century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zCs w:val="28"/>
            <w:u w:val="single"/>
            <w:rtl w:val="true"/>
          </w:rPr>
          <w:t>למפעלים</w:t>
        </w:r>
        <w:r>
          <w:rPr>
            <w:rStyle w:val="Hyperlink"/>
            <w:rFonts w:ascii="Century" w:hAnsi="Century" w:eastAsia="Century" w:cs="Century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zCs w:val="28"/>
            <w:u w:val="single"/>
            <w:rtl w:val="true"/>
          </w:rPr>
          <w:t>גדולים</w:t>
        </w:r>
        <w:r>
          <w:rPr>
            <w:rStyle w:val="Hyperlink"/>
            <w:rFonts w:ascii="Century" w:hAnsi="Century" w:eastAsia="Century" w:cs="Century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zCs w:val="28"/>
            <w:u w:val="single"/>
            <w:rtl w:val="true"/>
          </w:rPr>
          <w:t>פז</w:t>
        </w:r>
        <w:r>
          <w:rPr>
            <w:rStyle w:val="Hyperlink"/>
            <w:rFonts w:cs="FrankRuehl" w:ascii="Century" w:hAnsi="Century"/>
            <w:color w:val="0000FF"/>
            <w:szCs w:val="28"/>
            <w:u w:val="single"/>
            <w:rtl w:val="true"/>
          </w:rPr>
          <w:t>-</w:t>
        </w:r>
        <w:r>
          <w:rPr>
            <w:rStyle w:val="Hyperlink"/>
            <w:rFonts w:ascii="Century" w:hAnsi="Century" w:cs="FrankRuehl"/>
            <w:color w:val="0000FF"/>
            <w:szCs w:val="28"/>
            <w:u w:val="single"/>
            <w:rtl w:val="true"/>
          </w:rPr>
          <w:t>גז</w:t>
        </w:r>
        <w:r>
          <w:rPr>
            <w:rStyle w:val="Hyperlink"/>
            <w:rFonts w:ascii="Century" w:hAnsi="Century" w:eastAsia="Century" w:cs="Century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zCs w:val="28"/>
            <w:u w:val="single"/>
            <w:rtl w:val="true"/>
          </w:rPr>
          <w:t>חברה</w:t>
        </w:r>
        <w:r>
          <w:rPr>
            <w:rStyle w:val="Hyperlink"/>
            <w:rFonts w:ascii="Century" w:hAnsi="Century" w:eastAsia="Century" w:cs="Century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zCs w:val="28"/>
            <w:u w:val="single"/>
            <w:rtl w:val="true"/>
          </w:rPr>
          <w:t>לשווק</w:t>
        </w:r>
        <w:r>
          <w:rPr>
            <w:rStyle w:val="Hyperlink"/>
            <w:rFonts w:ascii="Century" w:hAnsi="Century" w:eastAsia="Century" w:cs="Century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zCs w:val="28"/>
            <w:u w:val="single"/>
            <w:rtl w:val="true"/>
          </w:rPr>
          <w:t>בע</w:t>
        </w:r>
        <w:r>
          <w:rPr>
            <w:rStyle w:val="Hyperlink"/>
            <w:rFonts w:cs="FrankRuehl" w:ascii="Century" w:hAnsi="Century"/>
            <w:color w:val="0000FF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zCs w:val="28"/>
            <w:u w:val="single"/>
            <w:rtl w:val="true"/>
          </w:rPr>
          <w:t>מ</w:t>
        </w:r>
        <w:r>
          <w:rPr>
            <w:rStyle w:val="Hyperlink"/>
            <w:rFonts w:cs="FrankRuehl" w:ascii="Century" w:hAnsi="Century"/>
            <w:color w:val="0000FF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zCs w:val="28"/>
            <w:u w:val="single"/>
            <w:rtl w:val="true"/>
          </w:rPr>
          <w:t>נט</w:t>
        </w:r>
      </w:hyperlink>
      <w:r>
        <w:rPr>
          <w:rFonts w:cs="FrankRuehl" w:ascii="Century" w:hAnsi="Century"/>
          <w:szCs w:val="28"/>
          <w:rtl w:val="true"/>
        </w:rPr>
        <w:t>(</w:t>
      </w:r>
      <w:r>
        <w:rPr>
          <w:rFonts w:cs="FrankRuehl" w:ascii="Century" w:hAnsi="Century"/>
          <w:szCs w:val="28"/>
        </w:rPr>
        <w:t>5</w:t>
      </w:r>
      <w:r>
        <w:rPr>
          <w:rFonts w:cs="FrankRuehl" w:ascii="Century" w:hAnsi="Century"/>
          <w:szCs w:val="28"/>
          <w:rtl w:val="true"/>
        </w:rPr>
        <w:t>)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385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2005</w:t>
      </w:r>
      <w:r>
        <w:rPr>
          <w:rFonts w:cs="FrankRuehl" w:ascii="FrankRuehl" w:hAnsi="FrankRuehl"/>
          <w:sz w:val="28"/>
          <w:szCs w:val="28"/>
          <w:rtl w:val="true"/>
        </w:rPr>
        <w:t>)</w:t>
      </w:r>
      <w:r>
        <w:rPr>
          <w:rFonts w:cs="FrankRuehl" w:ascii="Century" w:hAnsi="Century"/>
          <w:szCs w:val="28"/>
          <w:rtl w:val="true"/>
        </w:rPr>
        <w:t xml:space="preserve">; </w:t>
      </w:r>
      <w:hyperlink r:id="rId7">
        <w:r>
          <w:rPr>
            <w:rStyle w:val="Hyperlink"/>
            <w:rFonts w:ascii="Century" w:hAnsi="Century" w:cs="FrankRuehl"/>
            <w:color w:val="0000FF"/>
            <w:szCs w:val="28"/>
            <w:u w:val="single"/>
            <w:rtl w:val="true"/>
          </w:rPr>
          <w:t>בג</w:t>
        </w:r>
        <w:r>
          <w:rPr>
            <w:rStyle w:val="Hyperlink"/>
            <w:rFonts w:cs="FrankRuehl" w:ascii="Century" w:hAnsi="Century"/>
            <w:color w:val="0000FF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zCs w:val="28"/>
            <w:u w:val="single"/>
            <w:rtl w:val="true"/>
          </w:rPr>
          <w:t>ץ</w:t>
        </w:r>
        <w:r>
          <w:rPr>
            <w:rStyle w:val="Hyperlink"/>
            <w:rFonts w:ascii="Century" w:hAnsi="Century" w:eastAsia="Century" w:cs="Century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zCs w:val="28"/>
            <w:u w:val="single"/>
          </w:rPr>
          <w:t>64/17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מרכז השלטון המקומי בישראל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ממשלת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פיסקה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20.6.2017</w:t>
      </w:r>
      <w:r>
        <w:rPr>
          <w:rFonts w:cs="FrankRuehl" w:ascii="FrankRuehl" w:hAnsi="FrankRuehl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דומני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נטל שכנוע זה הינו מוגבר במיוחד מקום בו מבוקש לעיין אך בפרוטוקול של דיון פומבי שהתקיים בדלתיים פתוחות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ruller411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ruller411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בבסיס התנגדותם של המערערים עומדת השערתם כי מרשתו של מבקש העיון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נמצאת עמם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סכסוך ארוך שנים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פועלת בדרכים שונות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להרע עם המערערים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איני רואה מקום להידרש לטענה זו לגופה 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לצורך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הבקשה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שלפניי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די אם אציין כי טענות המערערים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במתכונת העמומה והכוללנית שבה הועלו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אינן </w:t>
      </w:r>
      <w:r>
        <w:rPr>
          <w:rFonts w:ascii="FrankRuehl" w:hAnsi="FrankRuehl" w:cs="FrankRuehl"/>
          <w:szCs w:val="28"/>
          <w:rtl w:val="true"/>
        </w:rPr>
        <w:t>מרימות</w:t>
      </w:r>
      <w:r>
        <w:rPr>
          <w:rFonts w:ascii="FrankRuehl" w:hAnsi="FrankRuehl" w:cs="FrankRuehl"/>
          <w:szCs w:val="28"/>
          <w:rtl w:val="true"/>
        </w:rPr>
        <w:t xml:space="preserve"> את נטל השכנוע </w:t>
      </w:r>
      <w:r>
        <w:rPr>
          <w:rFonts w:cs="FrankRuehl" w:ascii="FrankRuehl" w:hAnsi="FrankRuehl"/>
          <w:szCs w:val="28"/>
          <w:rtl w:val="true"/>
        </w:rPr>
        <w:t>(</w:t>
      </w:r>
      <w:r>
        <w:rPr>
          <w:rFonts w:ascii="FrankRuehl" w:hAnsi="FrankRuehl" w:cs="FrankRuehl"/>
          <w:szCs w:val="28"/>
          <w:rtl w:val="true"/>
        </w:rPr>
        <w:t>המוגבר</w:t>
      </w:r>
      <w:r>
        <w:rPr>
          <w:rFonts w:cs="FrankRuehl" w:ascii="FrankRuehl" w:hAnsi="FrankRuehl"/>
          <w:szCs w:val="28"/>
          <w:rtl w:val="true"/>
        </w:rPr>
        <w:t xml:space="preserve">) </w:t>
      </w:r>
      <w:r>
        <w:rPr>
          <w:rFonts w:ascii="FrankRuehl" w:hAnsi="FrankRuehl" w:cs="FrankRuehl"/>
          <w:szCs w:val="28"/>
          <w:rtl w:val="true"/>
        </w:rPr>
        <w:t xml:space="preserve">המוטל על המערערים לצורך </w:t>
      </w:r>
      <w:r>
        <w:rPr>
          <w:rFonts w:ascii="FrankRuehl" w:hAnsi="FrankRuehl" w:cs="FrankRuehl"/>
          <w:szCs w:val="28"/>
          <w:rtl w:val="true"/>
        </w:rPr>
        <w:t>שלילת</w:t>
      </w:r>
      <w:r>
        <w:rPr>
          <w:rFonts w:ascii="FrankRuehl" w:hAnsi="FrankRuehl" w:cs="FrankRuehl"/>
          <w:szCs w:val="28"/>
          <w:rtl w:val="true"/>
        </w:rPr>
        <w:t xml:space="preserve"> העיון המבוקש</w:t>
      </w:r>
      <w:r>
        <w:rPr>
          <w:rFonts w:ascii="FrankRuehl" w:hAnsi="FrankRuehl" w:cs="FrankRuehl"/>
          <w:szCs w:val="28"/>
          <w:rtl w:val="true"/>
        </w:rPr>
        <w:t xml:space="preserve"> בפרוטוקול הדיון</w:t>
      </w:r>
      <w:r>
        <w:rPr>
          <w:rFonts w:cs="FrankRuehl" w:ascii="FrankRuehl" w:hAnsi="FrankRuehl"/>
          <w:szCs w:val="28"/>
          <w:rtl w:val="true"/>
        </w:rPr>
        <w:t>.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411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  <w:tab/>
      </w:r>
      <w:r>
        <w:rPr>
          <w:rFonts w:ascii="FrankRuehl" w:hAnsi="FrankRuehl"/>
          <w:sz w:val="28"/>
          <w:sz w:val="28"/>
          <w:rtl w:val="true"/>
        </w:rPr>
        <w:t>המערערים טוענים כי בקשת העיון אינה מנומקת דיה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לא מצאתי ממש בטענה זו ויודגש כי על פי הפסיקה מבקש העיון רשאי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להסתפק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בהנמקה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קצרה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ותמציתית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שתכליתה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להבהיר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את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האינטרס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שלו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בעיון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בנסיבות העניין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ההנמקה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אשר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ניתנה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על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ידי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המבקש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עומדת</w:t>
      </w:r>
      <w:r>
        <w:rPr>
          <w:rFonts w:ascii="FrankRuehl" w:hAnsi="FrankRuehl"/>
          <w:sz w:val="28"/>
          <w:sz w:val="28"/>
          <w:rtl w:val="true"/>
        </w:rPr>
        <w:t xml:space="preserve"> בדרישה זו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ascii="FrankRuehl" w:hAnsi="FrankRuehl"/>
          <w:sz w:val="28"/>
          <w:sz w:val="28"/>
          <w:rtl w:val="true"/>
        </w:rPr>
        <w:t>השוו</w:t>
      </w:r>
      <w:r>
        <w:rPr>
          <w:rFonts w:cs="FrankRuehl" w:ascii="FrankRuehl" w:hAnsi="FrankRuehl"/>
          <w:sz w:val="28"/>
          <w:rtl w:val="true"/>
        </w:rPr>
        <w:t xml:space="preserve">, </w:t>
      </w:r>
      <w:hyperlink r:id="rId8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בג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ץ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8137/16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איגוד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נותני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שירותי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סיעוד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הכלכלה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והתעשייה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cs="FrankRuehl" w:ascii="FrankRuehl" w:hAnsi="FrankRuehl"/>
          <w:sz w:val="28"/>
        </w:rPr>
        <w:t>30.1.2017</w:t>
      </w:r>
      <w:r>
        <w:rPr>
          <w:rFonts w:cs="FrankRuehl" w:ascii="FrankRuehl" w:hAnsi="FrankRuehl"/>
          <w:sz w:val="28"/>
          <w:rtl w:val="true"/>
        </w:rPr>
        <w:t>)).</w:t>
      </w:r>
    </w:p>
    <w:p>
      <w:pPr>
        <w:pStyle w:val="ruller411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" w:cs="Arial TUR"/>
          <w:rtl w:val="true"/>
        </w:rPr>
        <w:t xml:space="preserve">           </w:t>
      </w:r>
      <w:r>
        <w:rPr>
          <w:rtl w:val="true"/>
        </w:rPr>
        <w:t>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בפרוטוקול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cs="Arial TUR"/>
          <w:szCs w:val="22"/>
        </w:rPr>
      </w:pPr>
      <w:r>
        <w:rPr>
          <w:rtl w:val="true"/>
        </w:rPr>
        <w:tab/>
      </w:r>
      <w:r>
        <w:rPr>
          <w:rtl w:val="true"/>
        </w:rPr>
        <w:t>העיון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בתיאום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סדרים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המקובלים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cs="Arial TUR"/>
          <w:color w:val="FFFFFF"/>
          <w:sz w:val="2"/>
          <w:szCs w:val="2"/>
        </w:rPr>
      </w:pPr>
      <w:r>
        <w:rPr>
          <w:rFonts w:cs="Arial TUR"/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79"/>
        <w:gridCol w:w="2779"/>
        <w:gridCol w:w="2805"/>
      </w:tblGrid>
      <w:tr>
        <w:trPr/>
        <w:tc>
          <w:tcPr>
            <w:tcW w:w="2779" w:type="dxa"/>
            <w:tcBorders/>
          </w:tcPr>
          <w:p>
            <w:pPr>
              <w:pStyle w:val="Ruller41"/>
              <w:ind w:end="0"/>
              <w:jc w:val="both"/>
              <w:rPr/>
            </w:pPr>
            <w:bookmarkStart w:id="15" w:name="Nitan"/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ניתנה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היום</w:t>
            </w:r>
            <w:r>
              <w:rPr>
                <w:rtl w:val="true"/>
              </w:rPr>
              <w:t>, ‏</w:t>
            </w:r>
            <w:r>
              <w:rPr>
                <w:rtl w:val="true"/>
              </w:rPr>
              <w:t>כ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בחשון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התש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ף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(‏</w:t>
            </w:r>
            <w:r>
              <w:rPr/>
              <w:t>24.11.2019</w:t>
            </w:r>
            <w:r>
              <w:rPr>
                <w:rtl w:val="true"/>
              </w:rPr>
              <w:t xml:space="preserve">). </w:t>
            </w:r>
            <w:bookmarkEnd w:id="15"/>
          </w:p>
        </w:tc>
        <w:tc>
          <w:tcPr>
            <w:tcW w:w="2779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05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רון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גולדשטיין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</w:t>
            </w:r>
          </w:p>
        </w:tc>
      </w:tr>
      <w:tr>
        <w:trPr/>
        <w:tc>
          <w:tcPr>
            <w:tcW w:w="2779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79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05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ר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ם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19052820</w:t>
      </w:r>
      <w:r>
        <w:rPr>
          <w:sz w:val="16"/>
          <w:rtl w:val="true"/>
        </w:rPr>
        <w:t>_</w:t>
      </w:r>
      <w:r>
        <w:rPr>
          <w:sz w:val="16"/>
        </w:rPr>
        <w:t>S05.docx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כש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9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 xml:space="preserve">רון גולדשטיין </w:t>
      </w:r>
      <w:r>
        <w:rPr>
          <w:rFonts w:cs="David" w:ascii="David" w:hAnsi="David"/>
          <w:color w:val="000000"/>
          <w:szCs w:val="22"/>
        </w:rPr>
        <w:t>54678313-5282/19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1"/>
      <w:footerReference w:type="default" r:id="rId1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5282/19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איתי טפר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הועדה מקומית לתו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ב תל אביב 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יפו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1">
    <w:name w:val="ruller41"/>
    <w:basedOn w:val="Normal"/>
    <w:qFormat/>
    <w:pPr>
      <w:spacing w:lineRule="auto" w:line="360"/>
      <w:jc w:val="both"/>
      <w:textAlignment w:val="auto"/>
    </w:pPr>
    <w:rPr>
      <w:rFonts w:ascii="Arial TUR" w:hAnsi="Arial TUR" w:cs="Arial TUR"/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98629" TargetMode="External"/><Relationship Id="rId3" Type="http://schemas.openxmlformats.org/officeDocument/2006/relationships/hyperlink" Target="http://www.nevo.co.il/law/98629/4" TargetMode="External"/><Relationship Id="rId4" Type="http://schemas.openxmlformats.org/officeDocument/2006/relationships/hyperlink" Target="http://www.nevo.co.il/law/98629" TargetMode="External"/><Relationship Id="rId5" Type="http://schemas.openxmlformats.org/officeDocument/2006/relationships/hyperlink" Target="http://www.nevo.co.il/law/98629/4" TargetMode="External"/><Relationship Id="rId6" Type="http://schemas.openxmlformats.org/officeDocument/2006/relationships/hyperlink" Target="http://www.nevo.co.il/case/5880076" TargetMode="External"/><Relationship Id="rId7" Type="http://schemas.openxmlformats.org/officeDocument/2006/relationships/hyperlink" Target="http://www.nevo.co.il/case/21981101" TargetMode="External"/><Relationship Id="rId8" Type="http://schemas.openxmlformats.org/officeDocument/2006/relationships/hyperlink" Target="http://www.nevo.co.il/case/21506821" TargetMode="External"/><Relationship Id="rId9" Type="http://schemas.openxmlformats.org/officeDocument/2006/relationships/hyperlink" Target="http://supreme.court.gov.il/" TargetMode="External"/><Relationship Id="rId10" Type="http://schemas.openxmlformats.org/officeDocument/2006/relationships/hyperlink" Target="http://www.nevo.co.il/advertisements/nevo-100.doc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2019-11-26T08:44:00Z</dcterms:created>
  <dc:creator>h4</dc:creator>
  <dc:description/>
  <cp:keywords/>
  <dc:language>en-IL</dc:language>
  <cp:lastModifiedBy>h4</cp:lastModifiedBy>
  <cp:lastPrinted>2019-11-25T10:36:00Z</cp:lastPrinted>
  <dcterms:modified xsi:type="dcterms:W3CDTF">2019-11-26T08:44:00Z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איתי טפר;מעדני הצפון בע";ג'מיל ז'יבלי</vt:lpwstr>
  </property>
  <property fmtid="{D5CDD505-2E9C-101B-9397-08002B2CF9AE}" pid="3" name="APPELLEE">
    <vt:lpwstr>הועדה מקומית לתו"ב תל אביב - יפו;עיריית תל אביב - יפו;מדינת ישראל</vt:lpwstr>
  </property>
  <property fmtid="{D5CDD505-2E9C-101B-9397-08002B2CF9AE}" pid="4" name="CASESLISTTMP1">
    <vt:lpwstr>5880076;21981101;21506821</vt:lpwstr>
  </property>
  <property fmtid="{D5CDD505-2E9C-101B-9397-08002B2CF9AE}" pid="5" name="DATE">
    <vt:lpwstr>20191124</vt:lpwstr>
  </property>
  <property fmtid="{D5CDD505-2E9C-101B-9397-08002B2CF9AE}" pid="6" name="ISABSTRACT">
    <vt:lpwstr>Y</vt:lpwstr>
  </property>
  <property fmtid="{D5CDD505-2E9C-101B-9397-08002B2CF9AE}" pid="7" name="JUDGE">
    <vt:lpwstr>רון גולדשטיין</vt:lpwstr>
  </property>
  <property fmtid="{D5CDD505-2E9C-101B-9397-08002B2CF9AE}" pid="8" name="LAWLISTTMP1">
    <vt:lpwstr>98629/004</vt:lpwstr>
  </property>
  <property fmtid="{D5CDD505-2E9C-101B-9397-08002B2CF9AE}" pid="9" name="PROCESS">
    <vt:lpwstr>עפ</vt:lpwstr>
  </property>
  <property fmtid="{D5CDD505-2E9C-101B-9397-08002B2CF9AE}" pid="10" name="PROCNUM">
    <vt:lpwstr>5282</vt:lpwstr>
  </property>
  <property fmtid="{D5CDD505-2E9C-101B-9397-08002B2CF9AE}" pid="11" name="PROCYEAR">
    <vt:lpwstr>19</vt:lpwstr>
  </property>
  <property fmtid="{D5CDD505-2E9C-101B-9397-08002B2CF9AE}" pid="12" name="PSAKDIN">
    <vt:lpwstr>החלטה</vt:lpwstr>
  </property>
  <property fmtid="{D5CDD505-2E9C-101B-9397-08002B2CF9AE}" pid="13" name="TYPE">
    <vt:lpwstr>1</vt:lpwstr>
  </property>
  <property fmtid="{D5CDD505-2E9C-101B-9397-08002B2CF9AE}" pid="14" name="TYPE_ABS_DATE">
    <vt:lpwstr>410020191124</vt:lpwstr>
  </property>
  <property fmtid="{D5CDD505-2E9C-101B-9397-08002B2CF9AE}" pid="15" name="TYPE_N_DATE">
    <vt:lpwstr>41020191124</vt:lpwstr>
  </property>
  <property fmtid="{D5CDD505-2E9C-101B-9397-08002B2CF9AE}" pid="16" name="WORDNUMPAGES">
    <vt:lpwstr>3</vt:lpwstr>
  </property>
</Properties>
</file>