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5289/17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חסארמה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עלי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חסארמה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משפחתו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כפר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בענה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Normal"/>
              <w:tabs>
                <w:tab w:val="clear" w:pos="720"/>
                <w:tab w:val="left" w:pos="2552" w:leader="none"/>
              </w:tabs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בחיפה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</w:t>
            </w:r>
            <w:r>
              <w:rPr>
                <w:sz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u w:val="single"/>
                </w:rPr>
                <w:t>29649-05-15</w:t>
              </w:r>
            </w:hyperlink>
            <w:r>
              <w:rPr>
                <w:sz w:val="24"/>
                <w:rtl w:val="true"/>
              </w:rPr>
              <w:t xml:space="preserve"> </w:t>
            </w:r>
            <w:r>
              <w:rPr>
                <w:sz w:val="22"/>
                <w:rtl w:val="true"/>
              </w:rPr>
              <w:t>[</w:t>
            </w:r>
            <w:r>
              <w:rPr>
                <w:sz w:val="22"/>
                <w:sz w:val="22"/>
                <w:rtl w:val="true"/>
              </w:rPr>
              <w:t>פורסם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בנבו</w:t>
            </w:r>
            <w:r>
              <w:rPr>
                <w:sz w:val="22"/>
                <w:rtl w:val="true"/>
              </w:rPr>
              <w:t xml:space="preserve">] </w:t>
            </w:r>
            <w:r>
              <w:rPr>
                <w:sz w:val="24"/>
                <w:rtl w:val="true"/>
              </w:rPr>
              <w:t>(</w:t>
            </w:r>
            <w:r>
              <w:rPr>
                <w:sz w:val="24"/>
                <w:sz w:val="24"/>
                <w:rtl w:val="true"/>
              </w:rPr>
              <w:t>כב</w:t>
            </w:r>
            <w:r>
              <w:rPr>
                <w:sz w:val="24"/>
                <w:rtl w:val="true"/>
              </w:rPr>
              <w:t xml:space="preserve">' </w:t>
            </w:r>
            <w:r>
              <w:rPr>
                <w:sz w:val="24"/>
                <w:sz w:val="24"/>
                <w:rtl w:val="true"/>
              </w:rPr>
              <w:t>השופטים</w:t>
            </w:r>
            <w:r>
              <w:rPr>
                <w:sz w:val="24"/>
                <w:rtl w:val="true"/>
              </w:rPr>
              <w:t xml:space="preserve">: </w:t>
            </w:r>
            <w:r>
              <w:rPr>
                <w:sz w:val="24"/>
                <w:sz w:val="24"/>
                <w:rtl w:val="true"/>
              </w:rPr>
              <w:t>ד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ר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ר</w:t>
            </w:r>
            <w:r>
              <w:rPr>
                <w:sz w:val="24"/>
                <w:rtl w:val="true"/>
              </w:rPr>
              <w:t xml:space="preserve">' </w:t>
            </w:r>
            <w:r>
              <w:rPr>
                <w:sz w:val="24"/>
                <w:sz w:val="24"/>
                <w:rtl w:val="true"/>
              </w:rPr>
              <w:t>שפירא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rtl w:val="true"/>
              </w:rPr>
              <w:t>[</w:t>
            </w:r>
            <w:r>
              <w:rPr>
                <w:sz w:val="24"/>
                <w:sz w:val="24"/>
                <w:rtl w:val="true"/>
              </w:rPr>
              <w:t>סג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נ</w:t>
            </w:r>
            <w:r>
              <w:rPr>
                <w:sz w:val="24"/>
                <w:rtl w:val="true"/>
              </w:rPr>
              <w:t xml:space="preserve">], </w:t>
            </w:r>
            <w:r>
              <w:rPr>
                <w:sz w:val="24"/>
                <w:sz w:val="24"/>
                <w:rtl w:val="true"/>
              </w:rPr>
              <w:t>א</w:t>
            </w:r>
            <w:r>
              <w:rPr>
                <w:sz w:val="24"/>
                <w:rtl w:val="true"/>
              </w:rPr>
              <w:t xml:space="preserve">' </w:t>
            </w:r>
            <w:r>
              <w:rPr>
                <w:sz w:val="24"/>
                <w:sz w:val="24"/>
                <w:rtl w:val="true"/>
              </w:rPr>
              <w:t>אליקים</w:t>
            </w:r>
            <w:r>
              <w:rPr>
                <w:sz w:val="24"/>
                <w:rtl w:val="true"/>
              </w:rPr>
              <w:t xml:space="preserve">, </w:t>
            </w:r>
            <w:r>
              <w:rPr>
                <w:sz w:val="24"/>
                <w:sz w:val="24"/>
                <w:rtl w:val="true"/>
              </w:rPr>
              <w:t>ו</w:t>
            </w:r>
            <w:r>
              <w:rPr>
                <w:sz w:val="24"/>
                <w:rtl w:val="true"/>
              </w:rPr>
              <w:t>-</w:t>
            </w:r>
            <w:r>
              <w:rPr>
                <w:sz w:val="24"/>
                <w:sz w:val="24"/>
                <w:rtl w:val="true"/>
              </w:rPr>
              <w:t>ת</w:t>
            </w:r>
            <w:r>
              <w:rPr>
                <w:sz w:val="24"/>
                <w:rtl w:val="true"/>
              </w:rPr>
              <w:t xml:space="preserve">' </w:t>
            </w:r>
            <w:r>
              <w:rPr>
                <w:sz w:val="24"/>
                <w:sz w:val="24"/>
                <w:rtl w:val="true"/>
              </w:rPr>
              <w:t>נאות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פרי</w:t>
            </w:r>
            <w:r>
              <w:rPr>
                <w:sz w:val="24"/>
                <w:rtl w:val="true"/>
              </w:rPr>
              <w:t xml:space="preserve">) </w:t>
            </w:r>
            <w:r>
              <w:rPr>
                <w:sz w:val="24"/>
                <w:sz w:val="24"/>
                <w:rtl w:val="true"/>
              </w:rPr>
              <w:t>מתאריך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</w:rPr>
              <w:t>25.05.2017</w:t>
            </w:r>
          </w:p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</w:tbl>
    <w:p>
      <w:pPr>
        <w:pStyle w:val="Ruller31"/>
        <w:ind w:end="0"/>
        <w:jc w:val="start"/>
        <w:rPr>
          <w:sz w:val="2"/>
          <w:szCs w:val="8"/>
        </w:rPr>
      </w:pPr>
      <w:r>
        <w:rPr>
          <w:sz w:val="2"/>
          <w:szCs w:val="8"/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באייר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03.05.2018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>
          <w:sz w:val="14"/>
          <w:szCs w:val="20"/>
        </w:rPr>
      </w:pPr>
      <w:r>
        <w:rPr>
          <w:sz w:val="14"/>
          <w:szCs w:val="20"/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מיכאל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כרמל</w:t>
            </w:r>
          </w:p>
        </w:tc>
      </w:tr>
    </w:tbl>
    <w:p>
      <w:pPr>
        <w:pStyle w:val="Ruller31"/>
        <w:ind w:end="0"/>
        <w:jc w:val="start"/>
        <w:rPr>
          <w:sz w:val="16"/>
          <w:szCs w:val="22"/>
        </w:rPr>
      </w:pPr>
      <w:r>
        <w:rPr>
          <w:sz w:val="16"/>
          <w:szCs w:val="22"/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עידית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ון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10"/>
          <w:szCs w:val="14"/>
        </w:rPr>
      </w:pPr>
      <w:r>
        <w:rPr>
          <w:sz w:val="10"/>
          <w:szCs w:val="1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14"/>
        </w:rPr>
      </w:pPr>
      <w:r>
        <w:rPr>
          <w:rFonts w:cs="FrankRuehl" w:ascii="FrankRuehl" w:hAnsi="FrankRuehl"/>
          <w:sz w:val="24"/>
          <w:szCs w:val="1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77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298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10"/>
          <w:szCs w:val="14"/>
        </w:rPr>
      </w:pPr>
      <w:r>
        <w:rPr>
          <w:rFonts w:cs="FrankRuehl" w:ascii="FrankRuehl" w:hAnsi="FrankRuehl"/>
          <w:sz w:val="10"/>
          <w:szCs w:val="14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9" w:name="ABSTRACT_START"/>
      <w:bookmarkEnd w:id="9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גבולות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שהובנה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תהא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מצומצמת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במיוחד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להצדיקה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מיוחדות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וחריגות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מהרגיל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סכום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לנפגע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מוגבל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לסכום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הצדדים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לוותר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בפיצוי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והוצאות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שניזוק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הושתו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250,000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בקשירת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פשע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בנשק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תימנע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ככלל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שגזרה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קיצונית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כשמתגלית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גבולות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שהובנה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כבענייננו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בהסכמה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לטווח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מגולמת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הטווח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המוסכם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תחשב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ככלל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כחורגת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הסבירות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תהא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מצומצמת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במיוחד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להצדיקה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מיוחדות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וחריגות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מהרגיל</w:t>
      </w:r>
      <w:r>
        <w:rPr>
          <w:rFonts w:cs="FrankRuehl"/>
          <w:sz w:val="24"/>
          <w:szCs w:val="26"/>
          <w:rtl w:val="true"/>
        </w:rPr>
        <w:t xml:space="preserve">. 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1191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הלכה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קיצוני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משיעור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מועלית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קיומם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כלכליים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לציין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לטובת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מכוחו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10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77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11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שנפסק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בבחינת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בבחינת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לנפגע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תכליות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וביניהן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מתן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לנפגע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>;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חברתית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בסבלו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הנפגע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העלאת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קורבן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כחלק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מהמגמה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לשלבו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ולהכיר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בזכויותיו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היטהרות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לעבריין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מוצדקת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שנפסק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הכלכלי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קנס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הכלכליות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העבריין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לטובת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ואכן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לשק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מוגבל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לסכום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הצדדים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לוותר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יאוין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כוחו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12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77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13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ובנושא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האכיפה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תלויים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ברצון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הצדדים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10"/>
          <w:szCs w:val="14"/>
        </w:rPr>
      </w:pPr>
      <w:r>
        <w:rPr>
          <w:rFonts w:cs="FrankRuehl"/>
          <w:sz w:val="10"/>
          <w:szCs w:val="14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10"/>
          <w:szCs w:val="14"/>
        </w:rPr>
      </w:pPr>
      <w:r>
        <w:rPr>
          <w:sz w:val="10"/>
          <w:szCs w:val="1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10"/>
          <w:szCs w:val="14"/>
        </w:rPr>
      </w:pPr>
      <w:r>
        <w:rPr>
          <w:sz w:val="10"/>
          <w:szCs w:val="14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2" w:name="PsakDin"/>
            <w:bookmarkStart w:id="13" w:name="BeginProtocol"/>
            <w:bookmarkStart w:id="14" w:name="secretary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Writer_Name"/>
      <w:bookmarkStart w:id="16" w:name="Writer_Name"/>
      <w:bookmarkEnd w:id="16"/>
    </w:p>
    <w:p>
      <w:pPr>
        <w:pStyle w:val="Ruller41"/>
        <w:ind w:end="0"/>
        <w:jc w:val="both"/>
        <w:rPr>
          <w:rFonts w:cs="Miriam"/>
          <w:sz w:val="2"/>
          <w:szCs w:val="2"/>
          <w:u w:val="single"/>
        </w:rPr>
      </w:pPr>
      <w:r>
        <w:rPr>
          <w:rFonts w:cs="Miriam"/>
          <w:sz w:val="2"/>
          <w:szCs w:val="2"/>
          <w:u w:val="single"/>
          <w:rtl w:val="true"/>
        </w:rPr>
      </w:r>
      <w:bookmarkStart w:id="17" w:name="Start_Write"/>
      <w:bookmarkStart w:id="18" w:name="Start_Write"/>
      <w:bookmarkEnd w:id="18"/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המשנה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לנשיאה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ח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מלצר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rFonts w:ascii="Century" w:hAnsi="Century" w:cs="Miriam"/>
          <w:b/>
          <w:color w:val="000000"/>
          <w:spacing w:val="0"/>
          <w:sz w:val="22"/>
          <w:szCs w:val="24"/>
        </w:rPr>
      </w:pPr>
      <w:r>
        <w:rPr>
          <w:rtl w:val="true"/>
        </w:rPr>
        <w:t xml:space="preserve">בפנינו ערעור על גזר דינו של בית המשפט המחוזי בחיפה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השופטים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שפירא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rtl w:val="true"/>
        </w:rPr>
        <w:t>סג</w:t>
      </w:r>
      <w:r>
        <w:rPr>
          <w:rFonts w:cs="Times New Roman" w:ascii="Times New Roman" w:hAnsi="Times New Roman"/>
          <w:sz w:val="22"/>
          <w:rtl w:val="true"/>
        </w:rPr>
        <w:t>"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נ </w:t>
      </w:r>
      <w:r>
        <w:rPr>
          <w:rFonts w:cs="Times New Roman" w:ascii="Times New Roman" w:hAnsi="Times New Roman"/>
          <w:sz w:val="22"/>
          <w:rtl w:val="true"/>
        </w:rPr>
        <w:t>(</w:t>
      </w:r>
      <w:r>
        <w:rPr>
          <w:rFonts w:ascii="Times New Roman" w:hAnsi="Times New Roman" w:cs="Times New Roman"/>
          <w:sz w:val="22"/>
          <w:sz w:val="22"/>
          <w:rtl w:val="true"/>
        </w:rPr>
        <w:t>כתוארו אז</w:t>
      </w:r>
      <w:r>
        <w:rPr>
          <w:rFonts w:cs="Times New Roman" w:ascii="Times New Roman" w:hAnsi="Times New Roman"/>
          <w:sz w:val="22"/>
          <w:rtl w:val="true"/>
        </w:rPr>
        <w:t>)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אליקים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פרי</w:t>
      </w:r>
      <w:r>
        <w:rPr>
          <w:rtl w:val="true"/>
        </w:rPr>
        <w:t xml:space="preserve">) </w:t>
      </w:r>
      <w:r>
        <w:rPr>
          <w:rtl w:val="true"/>
        </w:rPr>
        <w:t>ב</w:t>
      </w:r>
      <w:r>
        <w:rPr>
          <w:rtl w:val="true"/>
        </w:rPr>
        <w:t>-</w:t>
      </w:r>
      <w:hyperlink r:id="rId14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29649-05-15</w:t>
        </w:r>
      </w:hyperlink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במסגרתו הושתו על המערער העונשים הבאים</w:t>
      </w:r>
      <w:r>
        <w:rPr>
          <w:rtl w:val="true"/>
        </w:rPr>
        <w:t xml:space="preserve">: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בפועל </w:t>
      </w:r>
      <w:r>
        <w:rPr>
          <w:rtl w:val="true"/>
        </w:rPr>
        <w:t>(</w:t>
      </w:r>
      <w:r>
        <w:rPr>
          <w:rtl w:val="true"/>
        </w:rPr>
        <w:t>החל מיום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מעצרו</w:t>
      </w:r>
      <w:r>
        <w:rPr>
          <w:rFonts w:cs="Times New Roman" w:ascii="Times New Roman" w:hAnsi="Times New Roman"/>
          <w:sz w:val="22"/>
          <w:rtl w:val="true"/>
        </w:rPr>
        <w:t xml:space="preserve">); </w:t>
      </w:r>
      <w:r>
        <w:rPr>
          <w:rFonts w:cs="Times New Roman" w:ascii="Times New Roman" w:hAnsi="Times New Roman"/>
          <w:sz w:val="22"/>
        </w:rPr>
        <w:t>18</w:t>
      </w:r>
      <w:r>
        <w:rPr>
          <w:rFonts w:cs="Times New Roman" w:ascii="Times New Roman" w:hAnsi="Times New Roman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חודשי מאסר על תנאי</w:t>
      </w:r>
      <w:r>
        <w:rPr>
          <w:rFonts w:cs="Times New Roman" w:ascii="Times New Roman" w:hAnsi="Times New Roman"/>
          <w:sz w:val="22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לבל יעבור המערער</w:t>
      </w:r>
      <w:r>
        <w:rPr>
          <w:rtl w:val="true"/>
        </w:rPr>
        <w:t xml:space="preserve">, </w:t>
      </w:r>
      <w:r>
        <w:rPr>
          <w:rtl w:val="true"/>
        </w:rPr>
        <w:t xml:space="preserve">במשך שלוש שנים מיום </w:t>
      </w:r>
      <w:r>
        <w:rPr>
          <w:color w:val="000000"/>
          <w:rtl w:val="true"/>
        </w:rPr>
        <w:t>שחרורו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עבירה בנשק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או עבירת אלימות ופשע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ופיצוי למשפחת </w:t>
      </w:r>
      <w:r>
        <w:rPr>
          <w:rFonts w:ascii="Century" w:hAnsi="Century" w:cs="Century"/>
          <w:rtl w:val="true"/>
        </w:rPr>
        <w:t>עלי חסארמה ז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ל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בסך של </w:t>
      </w:r>
      <w:r>
        <w:rPr>
          <w:rFonts w:cs="Century" w:ascii="Century" w:hAnsi="Century"/>
          <w:sz w:val="22"/>
        </w:rPr>
        <w:t>250,000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ח</w:t>
      </w:r>
      <w:r>
        <w:rPr>
          <w:rFonts w:cs="Miriam" w:ascii="Century" w:hAnsi="Century"/>
          <w:b/>
          <w:color w:val="000000"/>
          <w:spacing w:val="0"/>
          <w:sz w:val="22"/>
          <w:szCs w:val="24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color w:val="000000"/>
          <w:spacing w:val="0"/>
          <w:sz w:val="16"/>
          <w:szCs w:val="18"/>
        </w:rPr>
      </w:pPr>
      <w:r>
        <w:rPr>
          <w:rFonts w:cs="Miriam" w:ascii="Century" w:hAnsi="Century"/>
          <w:b/>
          <w:color w:val="000000"/>
          <w:spacing w:val="0"/>
          <w:sz w:val="16"/>
          <w:szCs w:val="18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color w:val="000000"/>
          <w:spacing w:val="0"/>
          <w:sz w:val="2"/>
          <w:szCs w:val="6"/>
        </w:rPr>
      </w:pPr>
      <w:r>
        <w:rPr>
          <w:rFonts w:cs="Miriam" w:ascii="Century" w:hAnsi="Century"/>
          <w:b/>
          <w:color w:val="000000"/>
          <w:spacing w:val="0"/>
          <w:sz w:val="2"/>
          <w:szCs w:val="6"/>
          <w:rtl w:val="true"/>
        </w:rPr>
      </w:r>
    </w:p>
    <w:p>
      <w:pPr>
        <w:pStyle w:val="Ruller41"/>
        <w:ind w:end="0"/>
        <w:jc w:val="both"/>
        <w:rPr/>
      </w:pPr>
      <w:r>
        <w:rPr>
          <w:rStyle w:val="Strong"/>
          <w:rtl w:val="true"/>
        </w:rPr>
        <w:tab/>
      </w:r>
      <w:r>
        <w:rPr>
          <w:rStyle w:val="Strong"/>
          <w:rtl w:val="true"/>
        </w:rPr>
        <w:t>להלן</w:t>
      </w:r>
      <w:r>
        <w:rPr>
          <w:rStyle w:val="Strong"/>
          <w:rFonts w:eastAsia="Arial TUR;Arial" w:cs="Arial TUR;Arial"/>
          <w:rtl w:val="true"/>
        </w:rPr>
        <w:t xml:space="preserve"> </w:t>
      </w:r>
      <w:r>
        <w:rPr>
          <w:rStyle w:val="Strong"/>
          <w:rtl w:val="true"/>
        </w:rPr>
        <w:t>נפרט</w:t>
      </w:r>
      <w:r>
        <w:rPr>
          <w:rStyle w:val="Strong"/>
          <w:rFonts w:eastAsia="Arial TUR;Arial" w:cs="Arial TUR;Arial"/>
          <w:rtl w:val="true"/>
        </w:rPr>
        <w:t xml:space="preserve"> </w:t>
      </w:r>
      <w:r>
        <w:rPr>
          <w:rStyle w:val="Strong"/>
          <w:rtl w:val="true"/>
        </w:rPr>
        <w:t>בקצרה</w:t>
      </w:r>
      <w:r>
        <w:rPr>
          <w:rStyle w:val="Strong"/>
          <w:rFonts w:eastAsia="Arial TUR;Arial" w:cs="Arial TUR;Arial"/>
          <w:rtl w:val="true"/>
        </w:rPr>
        <w:t xml:space="preserve"> </w:t>
      </w:r>
      <w:r>
        <w:rPr>
          <w:rStyle w:val="Strong"/>
          <w:rtl w:val="true"/>
        </w:rPr>
        <w:t>את</w:t>
      </w:r>
      <w:r>
        <w:rPr>
          <w:rStyle w:val="Strong"/>
          <w:rFonts w:eastAsia="Arial TUR;Arial" w:cs="Arial TUR;Arial"/>
          <w:rtl w:val="true"/>
        </w:rPr>
        <w:t xml:space="preserve"> </w:t>
      </w:r>
      <w:r>
        <w:rPr>
          <w:rStyle w:val="Strong"/>
          <w:rtl w:val="true"/>
        </w:rPr>
        <w:t>הנתונים</w:t>
      </w:r>
      <w:r>
        <w:rPr>
          <w:rStyle w:val="Strong"/>
          <w:rFonts w:eastAsia="Arial TUR;Arial" w:cs="Arial TUR;Arial"/>
          <w:rtl w:val="true"/>
        </w:rPr>
        <w:t xml:space="preserve"> </w:t>
      </w:r>
      <w:r>
        <w:rPr>
          <w:rStyle w:val="Strong"/>
          <w:rtl w:val="true"/>
        </w:rPr>
        <w:t>הדרושים</w:t>
      </w:r>
      <w:r>
        <w:rPr>
          <w:rStyle w:val="Strong"/>
          <w:rFonts w:eastAsia="Arial TUR;Arial" w:cs="Arial TUR;Arial"/>
          <w:rtl w:val="true"/>
        </w:rPr>
        <w:t xml:space="preserve"> </w:t>
      </w:r>
      <w:r>
        <w:rPr>
          <w:rStyle w:val="Strong"/>
          <w:rtl w:val="true"/>
        </w:rPr>
        <w:t>להכרעה</w:t>
      </w:r>
      <w:r>
        <w:rPr>
          <w:rStyle w:val="Strong"/>
          <w:rFonts w:eastAsia="Arial TUR;Arial" w:cs="Arial TUR;Arial"/>
          <w:rtl w:val="true"/>
        </w:rPr>
        <w:t xml:space="preserve"> </w:t>
      </w:r>
      <w:r>
        <w:rPr>
          <w:rStyle w:val="Strong"/>
          <w:rtl w:val="true"/>
        </w:rPr>
        <w:t>במכלול</w:t>
      </w:r>
      <w:r>
        <w:rPr>
          <w:rStyle w:val="Strong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כנגד המערער הוגש כתב אישום מתוקן במסגרת הסדר טיעון</w:t>
      </w:r>
      <w:r>
        <w:rPr>
          <w:rtl w:val="true"/>
        </w:rPr>
        <w:t xml:space="preserve">, </w:t>
      </w:r>
      <w:r>
        <w:rPr>
          <w:rtl w:val="true"/>
        </w:rPr>
        <w:t>שייחס לו את העבירות הבאות</w:t>
      </w:r>
      <w:r>
        <w:rPr>
          <w:rtl w:val="true"/>
        </w:rPr>
        <w:t xml:space="preserve">: </w:t>
      </w:r>
      <w:r>
        <w:rPr>
          <w:rtl w:val="true"/>
        </w:rPr>
        <w:t xml:space="preserve">קשירת קשר לביצוע פשע </w:t>
      </w:r>
      <w:r>
        <w:rPr>
          <w:rtl w:val="true"/>
        </w:rPr>
        <w:t>–</w:t>
      </w:r>
      <w:r>
        <w:rPr>
          <w:rtl w:val="true"/>
        </w:rPr>
        <w:t xml:space="preserve"> עבירה לפי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העונשין</w:t>
        </w:r>
      </w:hyperlink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התשל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cs="Miriam" w:ascii="Century" w:hAnsi="Century"/>
          <w:b/>
          <w:spacing w:val="0"/>
          <w:sz w:val="22"/>
          <w:szCs w:val="24"/>
        </w:rPr>
        <w:t>1977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), </w:t>
      </w:r>
      <w:r>
        <w:rPr>
          <w:rtl w:val="true"/>
        </w:rPr>
        <w:t xml:space="preserve">הריגה </w:t>
      </w:r>
      <w:r>
        <w:rPr>
          <w:rtl w:val="true"/>
        </w:rPr>
        <w:t>–</w:t>
      </w:r>
      <w:r>
        <w:rPr>
          <w:rtl w:val="true"/>
        </w:rPr>
        <w:t xml:space="preserve"> עבירה לפי </w:t>
      </w:r>
      <w:hyperlink r:id="rId17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8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 xml:space="preserve">ועבירות בנשק לפי </w:t>
      </w:r>
      <w:hyperlink r:id="rId19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)+(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0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Fonts w:ascii="Century" w:hAnsi="Century" w:cs="Century"/>
          <w:rtl w:val="true"/>
        </w:rPr>
        <w:t xml:space="preserve">בפתח כתב האישום המתוקן נאמר כי בתאריך </w:t>
      </w:r>
      <w:r>
        <w:rPr>
          <w:rFonts w:cs="Century" w:ascii="Century" w:hAnsi="Century"/>
        </w:rPr>
        <w:t>18.07.2014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מצא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המנוח</w:t>
      </w:r>
      <w:r>
        <w:rPr>
          <w:rFonts w:ascii="Century" w:hAnsi="Century" w:cs="Century"/>
          <w:rtl w:val="true"/>
        </w:rPr>
        <w:t xml:space="preserve"> את מותו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בהקשר זה נטען כי בין משפחת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המנוח</w:t>
      </w:r>
      <w:r>
        <w:rPr>
          <w:rFonts w:ascii="Century" w:hAnsi="Century" w:cs="Century"/>
          <w:rtl w:val="true"/>
        </w:rPr>
        <w:t xml:space="preserve"> לבין משפחת המערער קיים סכסוך ממושך ואלים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במועד שאינו ידוע למשיבה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על רקע החשד כי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המנוח</w:t>
      </w:r>
      <w:r>
        <w:rPr>
          <w:rFonts w:ascii="Century" w:hAnsi="Century" w:cs="Century"/>
          <w:rtl w:val="true"/>
        </w:rPr>
        <w:t xml:space="preserve"> היה מעורב ברציחת בן דודו של המערער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קשרו המערער ודודו אבראהים חסארמה ז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ל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אבראהים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אשר נרצח בעצמו בתאריך </w:t>
      </w:r>
      <w:r>
        <w:rPr>
          <w:rFonts w:cs="Century" w:ascii="Century" w:hAnsi="Century"/>
        </w:rPr>
        <w:t>20.01.2015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–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קשר לגרום למותו של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המנוח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בתוך 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ו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אבראהים</w:t>
      </w:r>
      <w:r>
        <w:rPr>
          <w:rFonts w:ascii="Century" w:hAnsi="Century" w:cs="Century"/>
          <w:rtl w:val="true"/>
        </w:rPr>
        <w:t xml:space="preserve"> פנו לחברו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אייל הייב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אייל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וביקשו ממנו להמית את המנוח תמורת סך של </w:t>
      </w:r>
      <w:r>
        <w:rPr>
          <w:rFonts w:cs="Century" w:ascii="Century" w:hAnsi="Century"/>
        </w:rPr>
        <w:t>150,000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 xml:space="preserve">תוכניתם של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ו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אבראהים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היתה לירות ב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מנוח</w:t>
      </w:r>
      <w:r>
        <w:rPr>
          <w:rFonts w:ascii="Century" w:hAnsi="Century" w:cs="Century"/>
          <w:rtl w:val="true"/>
        </w:rPr>
        <w:t xml:space="preserve"> בתאריך </w:t>
      </w:r>
      <w:r>
        <w:rPr>
          <w:rFonts w:cs="Century" w:ascii="Century" w:hAnsi="Century"/>
        </w:rPr>
        <w:t>17.04.2014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בזמן שהוא נוהג במשאיתו ביער אחיהוד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היער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לשם מימוש התוכנית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המערער קיבל אקדח מאחמד יוסף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אחמד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בן דודו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כדי שיעבירו לאדם שיירה ב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מנוח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בתאריך </w:t>
      </w:r>
      <w:r>
        <w:rPr/>
        <w:t>17.04.2014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אבראהים</w:t>
      </w:r>
      <w:r>
        <w:rPr>
          <w:rtl w:val="true"/>
        </w:rPr>
        <w:t xml:space="preserve"> ו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אייל</w:t>
      </w:r>
      <w:r>
        <w:rPr>
          <w:rtl w:val="true"/>
        </w:rPr>
        <w:t xml:space="preserve"> הגיעו ל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יער</w:t>
      </w:r>
      <w:r>
        <w:rPr>
          <w:rtl w:val="true"/>
        </w:rPr>
        <w:t xml:space="preserve"> במטרה לממש את תוכניתם</w:t>
      </w:r>
      <w:r>
        <w:rPr>
          <w:rtl w:val="true"/>
        </w:rPr>
        <w:t xml:space="preserve">, </w:t>
      </w:r>
      <w:r>
        <w:rPr>
          <w:rtl w:val="true"/>
        </w:rPr>
        <w:t>אך לבסוף החליטו לדחות את מימושה ליום אחר</w:t>
      </w:r>
      <w:r>
        <w:rPr>
          <w:rtl w:val="true"/>
        </w:rPr>
        <w:t xml:space="preserve">. </w:t>
      </w:r>
      <w:r>
        <w:rPr>
          <w:rtl w:val="true"/>
        </w:rPr>
        <w:t xml:space="preserve">בתאריך </w:t>
      </w:r>
      <w:r>
        <w:rPr/>
        <w:t>18.07.2014</w:t>
      </w:r>
      <w:r>
        <w:rPr>
          <w:rtl w:val="true"/>
        </w:rPr>
        <w:t xml:space="preserve"> </w:t>
      </w:r>
      <w:r>
        <w:rPr>
          <w:rtl w:val="true"/>
        </w:rPr>
        <w:t xml:space="preserve">אדם בשם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דיאב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הייב</w:t>
      </w:r>
      <w:r>
        <w:rPr>
          <w:rtl w:val="true"/>
        </w:rPr>
        <w:t xml:space="preserve"> הסיע את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אייל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tl w:val="true"/>
        </w:rPr>
        <w:t>ל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מג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כרום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tl w:val="true"/>
        </w:rPr>
        <w:t>שם פגש במערער וב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אבראהים</w:t>
      </w:r>
      <w:r>
        <w:rPr>
          <w:rtl w:val="true"/>
        </w:rPr>
        <w:t xml:space="preserve"> ועלה לרכבם</w:t>
      </w:r>
      <w:r>
        <w:rPr>
          <w:rtl w:val="true"/>
        </w:rPr>
        <w:t xml:space="preserve">. </w:t>
      </w:r>
      <w:r>
        <w:rPr>
          <w:rtl w:val="true"/>
        </w:rPr>
        <w:t>השלושה נסעו ל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יער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tl w:val="true"/>
        </w:rPr>
        <w:t>ושם המערער מסר ל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אייל</w:t>
      </w:r>
      <w:r>
        <w:rPr>
          <w:rtl w:val="true"/>
        </w:rPr>
        <w:t xml:space="preserve"> את האקדח</w:t>
      </w:r>
      <w:r>
        <w:rPr>
          <w:rtl w:val="true"/>
        </w:rPr>
        <w:t xml:space="preserve">, </w:t>
      </w:r>
      <w:r>
        <w:rPr>
          <w:rtl w:val="true"/>
        </w:rPr>
        <w:t>אותו קיבל מ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אחמד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וכן כפפות ומסכה</w:t>
      </w:r>
      <w:r>
        <w:rPr>
          <w:rtl w:val="true"/>
        </w:rPr>
        <w:t xml:space="preserve">. </w:t>
      </w:r>
      <w:r>
        <w:rPr>
          <w:rtl w:val="true"/>
        </w:rPr>
        <w:t xml:space="preserve">בהמשך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אייל</w:t>
      </w:r>
      <w:r>
        <w:rPr>
          <w:rtl w:val="true"/>
        </w:rPr>
        <w:t xml:space="preserve"> ירד מהרכב והמערער ו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אבראהים</w:t>
      </w:r>
      <w:r>
        <w:rPr>
          <w:rtl w:val="true"/>
        </w:rPr>
        <w:t xml:space="preserve"> הורו לו לדווח להם על ביצוע הירי ועזבו את המקום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בבוקרו של אותו יום </w:t>
      </w:r>
      <w:r>
        <w:rPr>
          <w:rtl w:val="true"/>
        </w:rPr>
        <w:t>(</w:t>
      </w:r>
      <w:r>
        <w:rPr/>
        <w:t>18.07.2014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אייל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tl w:val="true"/>
        </w:rPr>
        <w:t>ירה ב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מנוח</w:t>
      </w:r>
      <w:r>
        <w:rPr>
          <w:rtl w:val="true"/>
        </w:rPr>
        <w:t xml:space="preserve"> והרגו</w:t>
      </w:r>
      <w:r>
        <w:rPr>
          <w:rtl w:val="true"/>
        </w:rPr>
        <w:t xml:space="preserve">, </w:t>
      </w:r>
      <w:r>
        <w:rPr>
          <w:rtl w:val="true"/>
        </w:rPr>
        <w:t>ואחר כך נמלט מ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היער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tl w:val="true"/>
        </w:rPr>
        <w:t>ודיווח למערער כי התוכנית בוצעה</w:t>
      </w:r>
      <w:r>
        <w:rPr>
          <w:rtl w:val="true"/>
        </w:rPr>
        <w:t xml:space="preserve">. </w:t>
      </w:r>
      <w:r>
        <w:rPr>
          <w:rtl w:val="true"/>
        </w:rPr>
        <w:t>בהמשך המערער ו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אבראהים</w:t>
      </w:r>
      <w:r>
        <w:rPr>
          <w:rtl w:val="true"/>
        </w:rPr>
        <w:t xml:space="preserve"> שילמו ל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אייל</w:t>
      </w:r>
      <w:r>
        <w:rPr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ח תמורת המתת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המנוח</w:t>
      </w:r>
      <w:r>
        <w:rPr>
          <w:rtl w:val="true"/>
        </w:rPr>
        <w:t xml:space="preserve"> והבטיחו לו כי ישלמו לו את היתרה במועד מאוחר יותר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בתאריך </w:t>
      </w:r>
      <w:r>
        <w:rPr/>
        <w:t>05.04.2017</w:t>
      </w:r>
      <w:r>
        <w:rPr>
          <w:rtl w:val="true"/>
        </w:rPr>
        <w:t xml:space="preserve">, </w:t>
      </w:r>
      <w:r>
        <w:rPr>
          <w:rtl w:val="true"/>
        </w:rPr>
        <w:t xml:space="preserve">המערער הורשע </w:t>
      </w:r>
      <w:r>
        <w:rPr>
          <w:sz w:val="28"/>
          <w:sz w:val="28"/>
          <w:rtl w:val="true"/>
        </w:rPr>
        <w:t>בבית המשפט המחוזי הנכבד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על פי הודאתו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בעקבות הסדר הטיעון </w:t>
      </w:r>
      <w:r>
        <w:rPr>
          <w:sz w:val="28"/>
          <w:sz w:val="28"/>
          <w:rtl w:val="true"/>
        </w:rPr>
        <w:t>–</w:t>
      </w:r>
      <w:r>
        <w:rPr>
          <w:sz w:val="28"/>
          <w:sz w:val="28"/>
          <w:rtl w:val="true"/>
        </w:rPr>
        <w:t xml:space="preserve"> בעבירות שיוחסו לו 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המתוקן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t>בגדרי הסדר הטיעון הנ</w:t>
      </w:r>
      <w:r>
        <w:rPr>
          <w:rtl w:val="true"/>
        </w:rPr>
        <w:t>"</w:t>
      </w:r>
      <w:r>
        <w:rPr>
          <w:rtl w:val="true"/>
        </w:rPr>
        <w:t xml:space="preserve">ל הוסכם כי המשיבה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תעתור להטלת עונש של עד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ואילו המערער יוכל לטעון לעונש של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שנות מאסר בפועל מיום מעצרו</w:t>
      </w:r>
      <w:r>
        <w:rPr>
          <w:rtl w:val="true"/>
        </w:rPr>
        <w:t xml:space="preserve">. </w:t>
      </w:r>
      <w:r>
        <w:rPr>
          <w:rtl w:val="true"/>
        </w:rPr>
        <w:t xml:space="preserve">לגבי יתר רכיבי הענישה </w:t>
      </w:r>
      <w:r>
        <w:rPr>
          <w:rtl w:val="true"/>
        </w:rPr>
        <w:t>–</w:t>
      </w:r>
      <w:r>
        <w:rPr>
          <w:rtl w:val="true"/>
        </w:rPr>
        <w:t xml:space="preserve"> הוסכם כי </w:t>
      </w:r>
      <w:r>
        <w:rPr>
          <w:rtl w:val="true"/>
        </w:rPr>
        <w:t>"</w:t>
      </w:r>
      <w:r>
        <w:rPr>
          <w:rtl w:val="true"/>
        </w:rPr>
        <w:t>הטיעון יהיה חופשי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לאחר טיעוני באי</w:t>
      </w:r>
      <w:r>
        <w:rPr>
          <w:rtl w:val="true"/>
        </w:rPr>
        <w:t>-</w:t>
      </w:r>
      <w:r>
        <w:rPr>
          <w:rtl w:val="true"/>
        </w:rPr>
        <w:t xml:space="preserve">כוח הצדדים </w:t>
      </w:r>
      <w:r>
        <w:rPr>
          <w:rtl w:val="true"/>
        </w:rPr>
        <w:t>–</w:t>
      </w:r>
      <w:r>
        <w:rPr>
          <w:rtl w:val="true"/>
        </w:rPr>
        <w:t xml:space="preserve"> בית המשפט גזר את דינו של 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>באשר לערך החברתי שנפגע מביצוע העבירות בהן הורשע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ובראשן עבירת ההריגה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נקבע כי מעשיו של </w:t>
      </w:r>
      <w:r>
        <w:rPr>
          <w:rtl w:val="true"/>
        </w:rPr>
        <w:t>המערער פגעו בערך קדושת החיים ובזכותו של אדם לביטחון ולשלמות גופו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 xml:space="preserve">לעניין מדיניות הענישה הנהוגה – בית המשפט המחוזי הנכבד בחן את מדיניות </w:t>
      </w:r>
      <w:r>
        <w:rPr>
          <w:rtl w:val="true"/>
        </w:rPr>
        <w:t>הענישה הנוהגת בעבירת ההריגה</w:t>
      </w:r>
      <w:r>
        <w:rPr>
          <w:rtl w:val="true"/>
        </w:rPr>
        <w:t xml:space="preserve">, </w:t>
      </w:r>
      <w:r>
        <w:rPr>
          <w:rtl w:val="true"/>
        </w:rPr>
        <w:t>וקבע כי מתחם העונש ההולם בעניינו של המערער נע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tl w:val="true"/>
        </w:rPr>
        <w:t xml:space="preserve">, </w:t>
      </w:r>
      <w:r>
        <w:rPr>
          <w:rtl w:val="true"/>
        </w:rPr>
        <w:t xml:space="preserve">בשים לב לעונש המרבי של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הקבוע לצד עבירת ההריגה וכן נוכח הסדר הטיעון אליו הגיעו הצדדים </w:t>
      </w:r>
      <w:r>
        <w:rPr>
          <w:rtl w:val="true"/>
        </w:rPr>
        <w:t>–</w:t>
      </w:r>
      <w:r>
        <w:rPr>
          <w:rtl w:val="true"/>
        </w:rPr>
        <w:t xml:space="preserve"> בין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 מאסר לריצוי בפועל</w:t>
      </w:r>
      <w:r>
        <w:rPr>
          <w:rtl w:val="true"/>
        </w:rPr>
        <w:t xml:space="preserve">, </w:t>
      </w:r>
      <w:r>
        <w:rPr>
          <w:rtl w:val="true"/>
        </w:rPr>
        <w:t>לצד עונשים נלווים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במסגרת הנסיבות הקשורות לביצוע העבירה – בית המשפט המחוזי הנכבד עמד על כך כי מעשיו של המערער היו מתוכננים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ובוצעו לאחר שהמערער ושותפו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בחרו את מקום ביצוע העבירה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דאגו לצייד את היורה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אייל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בנשק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במסכה ובכפפות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בנו נתיב בריחה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והעניקו תמריץ כספי למבצע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ind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בבואו לקבוע את עונשו של המערער בתוך מתחם הענישה – בית המשפט המחוזי הנכבד עמד על כך </w:t>
      </w:r>
      <w:r>
        <w:rPr>
          <w:rFonts w:ascii="Century" w:hAnsi="Century" w:cs="Century"/>
          <w:sz w:val="22"/>
          <w:sz w:val="22"/>
          <w:rtl w:val="true"/>
        </w:rPr>
        <w:t xml:space="preserve">כי משיקולי אחידות הענישה אין לאבחן בין המערער לבין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אייל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שכן הם פעלו בצוותא חדא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במסגרת הנסיבות שאינן קשורות בביצוע העבירה </w:t>
      </w:r>
      <w:r>
        <w:rPr>
          <w:rtl w:val="true"/>
        </w:rPr>
        <w:t xml:space="preserve">בית המשפט המחוזי הנכבד קבע כי </w:t>
      </w:r>
      <w:r>
        <w:rPr>
          <w:rFonts w:ascii="Century" w:hAnsi="Century" w:cs="Century"/>
          <w:sz w:val="22"/>
          <w:sz w:val="22"/>
          <w:rtl w:val="true"/>
        </w:rPr>
        <w:t xml:space="preserve">יש לזקוף לזכותו של </w:t>
      </w:r>
      <w:r>
        <w:rPr>
          <w:rtl w:val="true"/>
        </w:rPr>
        <w:t>המערער את השיקולים הבאים</w:t>
      </w:r>
      <w:r>
        <w:rPr>
          <w:rtl w:val="true"/>
        </w:rPr>
        <w:t xml:space="preserve">: </w:t>
      </w:r>
      <w:r>
        <w:rPr>
          <w:rtl w:val="true"/>
        </w:rPr>
        <w:t>את הודאתו ב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כתב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האישום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את עברו הפלילי שאינו מכביד</w:t>
      </w:r>
      <w:r>
        <w:rPr>
          <w:rtl w:val="true"/>
        </w:rPr>
        <w:t xml:space="preserve">, </w:t>
      </w:r>
      <w:r>
        <w:rPr>
          <w:rtl w:val="true"/>
        </w:rPr>
        <w:t>ואת הפגיעה שתיגרם לבני משפחתו</w:t>
      </w:r>
      <w:r>
        <w:rPr>
          <w:rtl w:val="true"/>
        </w:rPr>
        <w:t xml:space="preserve">. </w:t>
      </w:r>
      <w:r>
        <w:rPr>
          <w:sz w:val="28"/>
          <w:sz w:val="28"/>
          <w:rtl w:val="true"/>
        </w:rPr>
        <w:t>בית המשפט המחוזי הנכבד שקל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מנגד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לחומרא את הסכסוך הממושך בין שתי המשפחות שהביא עד כה כבר למותם של שישה קורבנות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וציין בהקשר זה כי הוא מקווה שמעגל הדמים ייפסק במהרה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ותושג סולחה בין המשפחות</w:t>
      </w:r>
      <w:r>
        <w:rPr>
          <w:sz w:val="28"/>
          <w:rtl w:val="true"/>
        </w:rPr>
        <w:t xml:space="preserve">. </w:t>
      </w:r>
    </w:p>
    <w:p>
      <w:pPr>
        <w:pStyle w:val="Ruller41"/>
        <w:ind w:end="0"/>
        <w:jc w:val="both"/>
        <w:rPr>
          <w:sz w:val="18"/>
          <w:szCs w:val="24"/>
        </w:rPr>
      </w:pPr>
      <w:r>
        <w:rPr>
          <w:sz w:val="18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sz w:val="28"/>
          <w:sz w:val="28"/>
          <w:rtl w:val="true"/>
        </w:rPr>
        <w:t>לנוכח כל האמור לעיל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ולאחר שאיזן בין כל השיקולים הרלבנטיים – בית המשפט המחוזי הנכבד השית על המערער את העונשים המפורטים בפיסקה </w:t>
      </w:r>
      <w:r>
        <w:rPr>
          <w:sz w:val="28"/>
        </w:rPr>
        <w:t>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שלעיל</w:t>
      </w:r>
      <w:r>
        <w:rPr>
          <w:sz w:val="28"/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מכאן הערעור שבפנינו המכוון כנגד גזר דינו של בית המשפט המחוזי הנכבד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טענות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הצדדים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left" w:pos="800" w:leader="none"/>
          <w:tab w:val="left" w:pos="907" w:leader="none"/>
        </w:tabs>
        <w:ind w:end="0"/>
        <w:jc w:val="both"/>
        <w:rPr/>
      </w:pPr>
      <w:r>
        <w:rPr>
          <w:rFonts w:ascii="Century" w:hAnsi="Century" w:cs="Century"/>
          <w:rtl w:val="true"/>
        </w:rPr>
        <w:t>המערער</w:t>
      </w:r>
      <w:r>
        <w:rPr>
          <w:sz w:val="28"/>
          <w:sz w:val="28"/>
          <w:rtl w:val="true"/>
        </w:rPr>
        <w:t xml:space="preserve"> משיג על חומרת העונש שהושת עליו בגזר הדין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לטענת המערער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העונש שהושת עליו חורג לחומרא באופן קיצוני ממדיניות הענישה הנהוגה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בשים לב</w:t>
      </w:r>
      <w:r>
        <w:rPr>
          <w:rtl w:val="true"/>
        </w:rPr>
        <w:t xml:space="preserve"> לכך שבית המשפט המחוזי הנכבד לא נתן</w:t>
      </w:r>
      <w:r>
        <w:rPr>
          <w:rtl w:val="true"/>
        </w:rPr>
        <w:t xml:space="preserve">,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את המשקל הראוי</w:t>
      </w:r>
      <w:r>
        <w:rPr>
          <w:rtl w:val="true"/>
        </w:rPr>
        <w:t xml:space="preserve">: </w:t>
      </w:r>
      <w:r>
        <w:rPr>
          <w:rtl w:val="true"/>
        </w:rPr>
        <w:t>לטווח הענישה אליו הגיעו הצדדים ולמתחם הענישה הנוהג בנושא</w:t>
      </w:r>
      <w:r>
        <w:rPr>
          <w:rtl w:val="true"/>
        </w:rPr>
        <w:t xml:space="preserve">; </w:t>
      </w:r>
      <w:r>
        <w:rPr>
          <w:rtl w:val="true"/>
        </w:rPr>
        <w:t>לנסיבותיו האישיות של המערער ולגילו הצעיר</w:t>
      </w:r>
      <w:r>
        <w:rPr>
          <w:rtl w:val="true"/>
        </w:rPr>
        <w:t xml:space="preserve">, </w:t>
      </w:r>
      <w:r>
        <w:rPr>
          <w:rtl w:val="true"/>
        </w:rPr>
        <w:t>ולסכסוך המתמשך בין המשפחות</w:t>
      </w:r>
      <w:r>
        <w:rPr>
          <w:rtl w:val="true"/>
        </w:rPr>
        <w:t xml:space="preserve">. </w:t>
      </w:r>
      <w:r>
        <w:rPr>
          <w:rtl w:val="true"/>
        </w:rPr>
        <w:t xml:space="preserve">בתוך כך נטען כי </w:t>
      </w:r>
      <w:r>
        <w:rPr>
          <w:rtl w:val="true"/>
        </w:rPr>
        <w:t xml:space="preserve">יש הצדקה לאבחנה </w:t>
      </w:r>
      <w:r>
        <w:rPr>
          <w:rtl w:val="true"/>
        </w:rPr>
        <w:t xml:space="preserve">בין העונש שהושת על המערער </w:t>
      </w:r>
      <w:r>
        <w:rPr>
          <w:rtl w:val="true"/>
        </w:rPr>
        <w:t>בין ה</w:t>
      </w:r>
      <w:r>
        <w:rPr>
          <w:rtl w:val="true"/>
        </w:rPr>
        <w:t xml:space="preserve">מערער לבין זה שהוטל על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אייל</w:t>
      </w:r>
      <w:r>
        <w:rPr>
          <w:rtl w:val="true"/>
        </w:rPr>
        <w:t xml:space="preserve">. </w:t>
      </w:r>
      <w:r>
        <w:rPr>
          <w:sz w:val="28"/>
          <w:sz w:val="28"/>
          <w:rtl w:val="true"/>
        </w:rPr>
        <w:t>לשיטתו של המערער בית המשפט המחוזי הנכבד שגה</w:t>
      </w:r>
      <w:r>
        <w:rPr>
          <w:rtl w:val="true"/>
        </w:rPr>
        <w:t xml:space="preserve"> בכך שלא מיקם את עונשו של המערער ברף הנמוך והעמידו על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 מלין בנוסף על סכום הפיצוי שהושת עליו</w:t>
      </w:r>
      <w:r>
        <w:rPr>
          <w:rtl w:val="true"/>
        </w:rPr>
        <w:t xml:space="preserve">, </w:t>
      </w:r>
      <w:r>
        <w:rPr>
          <w:rtl w:val="true"/>
        </w:rPr>
        <w:t xml:space="preserve">וטוען כי מדובר </w:t>
      </w:r>
      <w:r>
        <w:rPr>
          <w:rtl w:val="true"/>
        </w:rPr>
        <w:t>"</w:t>
      </w:r>
      <w:r>
        <w:rPr>
          <w:rtl w:val="true"/>
        </w:rPr>
        <w:t>בפיצוי אסטרונומי שלא יוכל לעמוד בו בשום צורה ודרך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Fonts w:cs="Times New Roman" w:ascii="Times New Roman" w:hAnsi="Times New Roman"/>
          <w:sz w:val="14"/>
          <w:szCs w:val="14"/>
          <w:rtl w:val="true"/>
        </w:rPr>
        <w:t xml:space="preserve">  </w:t>
      </w:r>
      <w:r>
        <w:rPr>
          <w:sz w:val="28"/>
          <w:sz w:val="28"/>
          <w:rtl w:val="true"/>
        </w:rPr>
        <w:t>בדיון שנערך בפנינו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בתאריך </w:t>
      </w:r>
      <w:r>
        <w:rPr>
          <w:sz w:val="28"/>
        </w:rPr>
        <w:t>03.05.2018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בא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כוחו של המערער חזר על נימוקי הערעור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והדגיש כי ביני לביני – נחתם בין הצדדים הסכם סולחה שהוגש לנו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ואשר במסגרתו הצדדים ויתרו על פיצוי כספי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בתמורה ל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שקט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בין המשפחות</w:t>
      </w:r>
      <w:r>
        <w:rPr>
          <w:sz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sz w:val="28"/>
          <w:sz w:val="28"/>
          <w:rtl w:val="true"/>
        </w:rPr>
        <w:t>באת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 xml:space="preserve">כוח המשיבה </w:t>
      </w:r>
      <w:r>
        <w:rPr>
          <w:sz w:val="28"/>
        </w:rPr>
        <w:t>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טענה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מנגד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 גזר דינו של בית המשפט המחוזי הנכבד הולם את חומרת העבירות בהן הורשע המערער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והוא מבטא איזון ראוי בין מכלול השיקולים הרלבנטיים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בהתחשב בחומרה היתרה הגלומה בעבירות שבביצוען הודה המערער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באת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 xml:space="preserve">כוח המשיבה </w:t>
      </w:r>
      <w:r>
        <w:rPr>
          <w:sz w:val="28"/>
        </w:rPr>
        <w:t>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 xml:space="preserve">ציינה בנוסף כי על אף הסכם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הסולחה</w:t>
      </w:r>
      <w:r>
        <w:rPr>
          <w:sz w:val="28"/>
          <w:rtl w:val="true"/>
        </w:rPr>
        <w:t xml:space="preserve">" </w:t>
      </w:r>
      <w:r>
        <w:rPr>
          <w:rtl w:val="true"/>
        </w:rPr>
        <w:t xml:space="preserve">שנחתם בינתיים בין הצדדים </w:t>
      </w:r>
      <w:r>
        <w:rPr>
          <w:rtl w:val="true"/>
        </w:rPr>
        <w:t>–</w:t>
      </w:r>
      <w:r>
        <w:rPr>
          <w:rtl w:val="true"/>
        </w:rPr>
        <w:t xml:space="preserve"> יש להותיר את הפיצוי על כנו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"/>
          <w:szCs w:val="4"/>
        </w:rPr>
      </w:pPr>
      <w:r>
        <w:rPr>
          <w:rFonts w:cs="Miriam" w:ascii="Times New Roman" w:hAnsi="Times New Roman"/>
          <w:spacing w:val="0"/>
          <w:sz w:val="2"/>
          <w:szCs w:val="4"/>
          <w:rtl w:val="true"/>
        </w:rPr>
      </w:r>
    </w:p>
    <w:p>
      <w:pPr>
        <w:pStyle w:val="Ruller41"/>
        <w:ind w:end="0"/>
        <w:jc w:val="both"/>
        <w:rPr>
          <w:sz w:val="10"/>
          <w:szCs w:val="16"/>
        </w:rPr>
      </w:pPr>
      <w:r>
        <w:rPr>
          <w:sz w:val="10"/>
          <w:szCs w:val="16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Fonts w:eastAsia="Garamond"/>
          <w:sz w:val="28"/>
          <w:rtl w:val="true"/>
        </w:rPr>
        <w:t xml:space="preserve"> </w:t>
      </w:r>
      <w:r>
        <w:rPr>
          <w:rtl w:val="true"/>
        </w:rPr>
        <w:t>לאחר עיון במכלול החומר ושמיעת טיעוני באי</w:t>
      </w:r>
      <w:r>
        <w:rPr>
          <w:rtl w:val="true"/>
        </w:rPr>
        <w:t>-</w:t>
      </w:r>
      <w:r>
        <w:rPr>
          <w:rtl w:val="true"/>
        </w:rPr>
        <w:t xml:space="preserve">כוח הצדדים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החלטנו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לדחות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הערעור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הטעמים לכך יובאו בקצרה להלן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ערכאת הערעור תימנע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מלהתערב בעונש שגזרה הערכאה הדיונית</w:t>
      </w:r>
      <w:r>
        <w:rPr>
          <w:rtl w:val="true"/>
        </w:rPr>
        <w:t xml:space="preserve">, </w:t>
      </w:r>
      <w:r>
        <w:rPr>
          <w:rtl w:val="true"/>
        </w:rPr>
        <w:t xml:space="preserve">אלא אם כן העונש חורג במידה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קיצונית</w:t>
      </w:r>
      <w:r>
        <w:rPr>
          <w:rtl w:val="true"/>
        </w:rPr>
        <w:t xml:space="preserve"> מרמת הענישה המקובלת בעבירות דומות</w:t>
      </w:r>
      <w:r>
        <w:rPr>
          <w:rtl w:val="true"/>
        </w:rPr>
        <w:t xml:space="preserve">, </w:t>
      </w:r>
      <w:r>
        <w:rPr>
          <w:rtl w:val="true"/>
        </w:rPr>
        <w:t>או כאשר מתגלית על</w:t>
      </w:r>
      <w:r>
        <w:rPr>
          <w:rtl w:val="true"/>
        </w:rPr>
        <w:t>-</w:t>
      </w:r>
      <w:r>
        <w:rPr>
          <w:rtl w:val="true"/>
        </w:rPr>
        <w:t>פני הדברים טעות מהותית בגזר</w:t>
      </w:r>
      <w:r>
        <w:rPr>
          <w:rtl w:val="true"/>
        </w:rPr>
        <w:t>-</w:t>
      </w:r>
      <w:r>
        <w:rPr>
          <w:rtl w:val="true"/>
        </w:rPr>
        <w:t xml:space="preserve">הדין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2775/12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עזאם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18.3.2013</w:t>
      </w:r>
      <w:r>
        <w:rPr>
          <w:rtl w:val="true"/>
        </w:rPr>
        <w:t xml:space="preserve">) </w:t>
      </w:r>
      <w:r>
        <w:rPr>
          <w:rtl w:val="true"/>
        </w:rPr>
        <w:t xml:space="preserve">והאסמכתאות הנזכרות שם בפיסקה </w:t>
      </w:r>
      <w:r>
        <w:rPr/>
        <w:t>12</w:t>
      </w:r>
      <w:r>
        <w:rPr>
          <w:rtl w:val="true"/>
        </w:rPr>
        <w:t xml:space="preserve">). </w:t>
      </w:r>
      <w:r>
        <w:rPr>
          <w:rtl w:val="true"/>
        </w:rPr>
        <w:t>כך בפרט כאשר העונש נגזר בתוך גבולותיו של טווח ענישה שהובנה בהסדר טיעון ואיננו חורג מהרף העליון שלו</w:t>
      </w:r>
      <w:r>
        <w:rPr>
          <w:rtl w:val="true"/>
        </w:rPr>
        <w:t xml:space="preserve">, </w:t>
      </w:r>
      <w:r>
        <w:rPr>
          <w:rtl w:val="true"/>
        </w:rPr>
        <w:t>שכן בהסכמה לטווח ענישה במסגרת הסדר הטיעון – מגולמת גם הסכמה לכך שכל ענישה בתוך הטווח המוסכם – לא תחשב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 xml:space="preserve">כחורגת ממתחם הסבירות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7899/12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סעדי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20.3.2013</w:t>
      </w:r>
      <w:r>
        <w:rPr>
          <w:rtl w:val="true"/>
        </w:rPr>
        <w:t xml:space="preserve">)). </w:t>
      </w:r>
      <w:r>
        <w:rPr>
          <w:rtl w:val="true"/>
        </w:rPr>
        <w:t>גדר ההתערבות של ערכאת הערעור בעונש</w:t>
      </w:r>
      <w:r>
        <w:rPr>
          <w:rtl w:val="true"/>
        </w:rPr>
        <w:t xml:space="preserve">, </w:t>
      </w:r>
      <w:r>
        <w:rPr>
          <w:rtl w:val="true"/>
        </w:rPr>
        <w:t>במקרים מסוג זה – תהא לפיכך מצומצמת במיוחד</w:t>
      </w:r>
      <w:r>
        <w:rPr>
          <w:rtl w:val="true"/>
        </w:rPr>
        <w:t xml:space="preserve">, </w:t>
      </w:r>
      <w:r>
        <w:rPr>
          <w:rtl w:val="true"/>
        </w:rPr>
        <w:t xml:space="preserve">וכדי להצדיקה נדרשות נסיבות מיוחדות וחריגות עוד יותר מהרגיל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4921/11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דלאשה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9.7.2012</w:t>
      </w:r>
      <w:r>
        <w:rPr>
          <w:rtl w:val="true"/>
        </w:rPr>
        <w:t xml:space="preserve">) </w:t>
      </w:r>
      <w:r>
        <w:rPr>
          <w:rtl w:val="true"/>
        </w:rPr>
        <w:t>והאסמכתאות הנזכרות שם</w:t>
      </w:r>
      <w:r>
        <w:rPr>
          <w:rtl w:val="true"/>
        </w:rPr>
        <w:t xml:space="preserve">, </w:t>
      </w:r>
      <w:r>
        <w:rPr>
          <w:rtl w:val="true"/>
        </w:rPr>
        <w:t xml:space="preserve">ולעניין ההבחנה </w:t>
      </w:r>
      <w:r>
        <w:rPr>
          <w:rtl w:val="true"/>
        </w:rPr>
        <w:t>בין טווח ענישה מוסכם במסגרת הסדר טיעון לבין מתחם הענישה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>עיינו גם</w:t>
      </w:r>
      <w:r>
        <w:rPr>
          <w:rtl w:val="true"/>
        </w:rPr>
        <w:t xml:space="preserve">: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512/13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04.12.2013</w:t>
      </w:r>
      <w:r>
        <w:rPr>
          <w:rtl w:val="true"/>
        </w:rPr>
        <w:t xml:space="preserve">)).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sz w:val="18"/>
          <w:szCs w:val="22"/>
        </w:rPr>
      </w:pPr>
      <w:r>
        <w:rPr>
          <w:sz w:val="18"/>
          <w:szCs w:val="22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כזה הוא המקרה שבפנינו</w:t>
      </w:r>
      <w:r>
        <w:rPr>
          <w:rtl w:val="true"/>
        </w:rPr>
        <w:t xml:space="preserve">, </w:t>
      </w:r>
      <w:r>
        <w:rPr>
          <w:rtl w:val="true"/>
        </w:rPr>
        <w:t xml:space="preserve">שהרי בגדר הסדר הטיעון שנחתם </w:t>
      </w:r>
      <w:r>
        <w:rPr>
          <w:rtl w:val="true"/>
        </w:rPr>
        <w:t>–</w:t>
      </w:r>
      <w:r>
        <w:rPr>
          <w:rtl w:val="true"/>
        </w:rPr>
        <w:t xml:space="preserve"> רף המאסר המירבי למערער הועמד על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ובסופו של יום נגזר על המערער עונש מקל יותר </w:t>
      </w:r>
      <w:r>
        <w:rPr>
          <w:rtl w:val="true"/>
        </w:rPr>
        <w:t>(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>
          <w:sz w:val="16"/>
          <w:szCs w:val="22"/>
        </w:rPr>
      </w:pPr>
      <w:r>
        <w:rPr>
          <w:sz w:val="16"/>
          <w:szCs w:val="22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Fonts w:ascii="Times New Roman" w:hAnsi="Times New Roman" w:cs="Times New Roman"/>
          <w:rtl w:val="true"/>
        </w:rPr>
        <w:t xml:space="preserve">לעניין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הפיצוי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הלכה היא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כי ערכאת הערעור לא תתערב בשיקול דעתה של הערכאה הדיונית בקביעת הפיצוי אלא במקרים יוצאי דופן בהם חרגה באופן קיצוני משיעור הפיצוי הראוי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ראו</w:t>
      </w:r>
      <w:r>
        <w:rPr>
          <w:rFonts w:cs="Times New Roman" w:ascii="Times New Roman" w:hAnsi="Times New Roman"/>
          <w:rtl w:val="true"/>
        </w:rPr>
        <w:t xml:space="preserve">: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4737/17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שחאדה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24.04.2018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עניין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שחאדה</w:t>
      </w:r>
      <w:r>
        <w:rPr>
          <w:rtl w:val="true"/>
        </w:rPr>
        <w:t xml:space="preserve">);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2605/12</w:t>
        </w:r>
      </w:hyperlink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אלמחתסב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Arial TUR;Arial" w:ascii="Arial TUR;Arial" w:hAnsi="Arial TUR;Arial"/>
          <w:sz w:val="22"/>
          <w:rtl w:val="true"/>
        </w:rPr>
        <w:t>(</w:t>
      </w:r>
      <w:r>
        <w:rPr>
          <w:rFonts w:cs="Arial TUR;Arial" w:ascii="Arial TUR;Arial" w:hAnsi="Arial TUR;Arial"/>
          <w:sz w:val="22"/>
        </w:rPr>
        <w:t>05.03.2013</w:t>
      </w:r>
      <w:r>
        <w:rPr>
          <w:rFonts w:cs="Arial TUR;Arial" w:ascii="Arial TUR;Arial" w:hAnsi="Arial TUR;Arial"/>
          <w:sz w:val="22"/>
          <w:rtl w:val="true"/>
        </w:rPr>
        <w:t>);</w:t>
      </w:r>
      <w:r>
        <w:rPr>
          <w:rFonts w:cs="Arimo;Times New Roman" w:ascii="Arimo;Times New Roman" w:hAnsi="Arimo;Times New Roman"/>
          <w:sz w:val="21"/>
          <w:szCs w:val="21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6452/09</w:t>
        </w:r>
      </w:hyperlink>
      <w:r>
        <w:rPr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22.07.2010</w:t>
      </w:r>
      <w:r>
        <w:rPr>
          <w:rtl w:val="true"/>
        </w:rPr>
        <w:t>)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>כך גם כאשר מועלית טענה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כפי שעושה המערער כאן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בדבר קיומם של קשיים כלכליים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ראו</w:t>
      </w:r>
      <w:r>
        <w:rPr>
          <w:rFonts w:cs="Times New Roman" w:ascii="Times New Roman" w:hAnsi="Times New Roman"/>
          <w:rtl w:val="true"/>
        </w:rPr>
        <w:t xml:space="preserve">: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2951/12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ביאדסה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02.08.2012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>
          <w:sz w:val="6"/>
          <w:szCs w:val="12"/>
        </w:rPr>
      </w:pPr>
      <w:r>
        <w:rPr>
          <w:sz w:val="6"/>
          <w:szCs w:val="12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זה המקום לציין</w:t>
      </w:r>
      <w:r>
        <w:rPr>
          <w:rtl w:val="true"/>
        </w:rPr>
        <w:t xml:space="preserve">, </w:t>
      </w:r>
      <w:r>
        <w:rPr>
          <w:rtl w:val="true"/>
        </w:rPr>
        <w:t xml:space="preserve">כי הפיצוי לטובת המתלונן </w:t>
      </w:r>
      <w:r>
        <w:rPr>
          <w:rtl w:val="true"/>
        </w:rPr>
        <w:t>(</w:t>
      </w:r>
      <w:r>
        <w:rPr>
          <w:rtl w:val="true"/>
        </w:rPr>
        <w:t>נפגע העבירה</w:t>
      </w:r>
      <w:r>
        <w:rPr>
          <w:rtl w:val="true"/>
        </w:rPr>
        <w:t xml:space="preserve">) </w:t>
      </w:r>
      <w:r>
        <w:rPr>
          <w:rtl w:val="true"/>
        </w:rPr>
        <w:t xml:space="preserve">נפסק מכוחו של </w:t>
      </w:r>
      <w:hyperlink r:id="rId2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יפים לעניין זה הדברים שציינתי לאחרונה ב</w:t>
      </w:r>
      <w:r>
        <w:rPr>
          <w:rtl w:val="true"/>
        </w:rPr>
        <w:t>-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עניין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שחאדה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Ruller5"/>
        <w:ind w:end="1282"/>
        <w:jc w:val="both"/>
        <w:rPr>
          <w:sz w:val="16"/>
          <w:szCs w:val="22"/>
        </w:rPr>
      </w:pPr>
      <w:r>
        <w:rPr>
          <w:sz w:val="16"/>
          <w:szCs w:val="22"/>
          <w:rtl w:val="true"/>
        </w:rPr>
      </w:r>
    </w:p>
    <w:p>
      <w:pPr>
        <w:pStyle w:val="Ruller5"/>
        <w:ind w:end="1282"/>
        <w:jc w:val="both"/>
        <w:rPr/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77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איננו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2976/01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אסף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נו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418</w:t>
      </w:r>
      <w:r>
        <w:rPr>
          <w:rtl w:val="true"/>
        </w:rPr>
        <w:t xml:space="preserve"> (</w:t>
      </w:r>
      <w:r>
        <w:rPr/>
        <w:t>2002</w:t>
      </w:r>
      <w:r>
        <w:rPr>
          <w:rtl w:val="true"/>
        </w:rPr>
        <w:t xml:space="preserve">)).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וביניהן</w:t>
      </w:r>
      <w:r>
        <w:rPr>
          <w:rtl w:val="true"/>
        </w:rPr>
        <w:t xml:space="preserve">: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הכרה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בסבלו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הנפגע</w:t>
      </w:r>
      <w:r>
        <w:rPr>
          <w:rtl w:val="true"/>
        </w:rPr>
        <w:t xml:space="preserve">; </w:t>
      </w:r>
      <w:r>
        <w:rPr>
          <w:rtl w:val="true"/>
        </w:rPr>
        <w:t>העלאת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כחלק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מהמגמה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בזכויותיו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היטהרות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שחיובו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לשיקומו</w:t>
      </w:r>
      <w:r>
        <w:rPr>
          <w:rtl w:val="true"/>
        </w:rPr>
        <w:t xml:space="preserve">" </w:t>
      </w:r>
    </w:p>
    <w:p>
      <w:pPr>
        <w:pStyle w:val="Ruller41"/>
        <w:ind w:end="0"/>
        <w:jc w:val="both"/>
        <w:rPr>
          <w:sz w:val="10"/>
          <w:szCs w:val="16"/>
        </w:rPr>
      </w:pPr>
      <w:r>
        <w:rPr>
          <w:sz w:val="10"/>
          <w:szCs w:val="16"/>
          <w:rtl w:val="true"/>
        </w:rPr>
      </w:r>
    </w:p>
    <w:p>
      <w:pPr>
        <w:pStyle w:val="Ruller41"/>
        <w:ind w:end="0"/>
        <w:jc w:val="both"/>
        <w:rPr>
          <w:sz w:val="8"/>
          <w:szCs w:val="14"/>
        </w:rPr>
      </w:pPr>
      <w:r>
        <w:rPr>
          <w:sz w:val="8"/>
          <w:szCs w:val="1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rFonts w:ascii="Times New Roman" w:hAnsi="Times New Roman" w:cs="Times New Roman"/>
        </w:rPr>
      </w:pPr>
      <w:r>
        <w:rPr>
          <w:rtl w:val="true"/>
        </w:rPr>
        <w:t>בנסיבות העניין</w:t>
      </w:r>
      <w:r>
        <w:rPr>
          <w:rtl w:val="true"/>
        </w:rPr>
        <w:t xml:space="preserve">, </w:t>
      </w:r>
      <w:r>
        <w:rPr>
          <w:rtl w:val="true"/>
        </w:rPr>
        <w:t>לא שוכנענו כי במקרה שלפנינו מוצדקת התערבות בית משפט זה</w:t>
      </w:r>
      <w:r>
        <w:rPr>
          <w:rFonts w:ascii="Times New Roman" w:hAnsi="Times New Roman" w:cs="Times New Roman"/>
          <w:rtl w:val="true"/>
        </w:rPr>
        <w:t xml:space="preserve"> בשיעור הפיצוי שנפסק על ידי בית המשפט המחוזי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בית המשפט המחוזי הנכבד התחשב במצבו הכלכלי של המערער כשלא השית עליו קנס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בציינו כך</w:t>
      </w:r>
      <w:r>
        <w:rPr>
          <w:rFonts w:cs="Times New Roman" w:ascii="Times New Roman" w:hAnsi="Times New Roman"/>
          <w:rtl w:val="true"/>
        </w:rPr>
        <w:t>:</w:t>
      </w:r>
    </w:p>
    <w:p>
      <w:pPr>
        <w:pStyle w:val="Ruller41"/>
        <w:ind w:end="0"/>
        <w:jc w:val="both"/>
        <w:rPr>
          <w:rFonts w:ascii="Times New Roman" w:hAnsi="Times New Roman" w:cs="Times New Roman"/>
          <w:sz w:val="4"/>
          <w:szCs w:val="10"/>
        </w:rPr>
      </w:pPr>
      <w:r>
        <w:rPr>
          <w:rFonts w:cs="Times New Roman" w:ascii="Times New Roman" w:hAnsi="Times New Roman"/>
          <w:sz w:val="4"/>
          <w:szCs w:val="10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40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רלבנטי</w:t>
      </w:r>
      <w:r>
        <w:rPr>
          <w:rtl w:val="true"/>
        </w:rPr>
        <w:t xml:space="preserve">) </w:t>
      </w:r>
      <w:r>
        <w:rPr>
          <w:rtl w:val="true"/>
        </w:rPr>
        <w:t>ובהתחשב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שפסקנו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"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לצד האמור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הנכבד קבע כי יכולותיו הכלכליות של העבריין אינן מהוות שיקול בקביעת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שיעור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הפיצוי</w:t>
      </w:r>
      <w:r>
        <w:rPr>
          <w:rtl w:val="true"/>
        </w:rPr>
        <w:t xml:space="preserve"> לטובת משפחת המנוח</w:t>
      </w:r>
      <w:r>
        <w:rPr>
          <w:rtl w:val="true"/>
        </w:rPr>
        <w:t xml:space="preserve">. </w:t>
      </w:r>
      <w:r>
        <w:rPr>
          <w:rtl w:val="true"/>
        </w:rPr>
        <w:t>ואכן סכום הפיצוי נתון לשיקול דעת בית המשפט ואין הוא מוגבל לסכום שנקצב על</w:t>
      </w:r>
      <w:r>
        <w:rPr>
          <w:rtl w:val="true"/>
        </w:rPr>
        <w:t>-</w:t>
      </w:r>
      <w:r>
        <w:rPr>
          <w:rtl w:val="true"/>
        </w:rPr>
        <w:t>ידי הצדדים</w:t>
      </w:r>
      <w:r>
        <w:rPr>
          <w:rtl w:val="true"/>
        </w:rPr>
        <w:t xml:space="preserve">, </w:t>
      </w:r>
      <w:r>
        <w:rPr>
          <w:rtl w:val="true"/>
        </w:rPr>
        <w:t xml:space="preserve">גם אם בחרו </w:t>
      </w:r>
      <w:r>
        <w:rPr>
          <w:rtl w:val="true"/>
        </w:rPr>
        <w:t>"</w:t>
      </w:r>
      <w:r>
        <w:rPr>
          <w:rtl w:val="true"/>
        </w:rPr>
        <w:t>לוותר</w:t>
      </w:r>
      <w:r>
        <w:rPr>
          <w:rtl w:val="true"/>
        </w:rPr>
        <w:t xml:space="preserve">"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 xml:space="preserve">אם נאמר אחרת </w:t>
      </w:r>
      <w:r>
        <w:rPr>
          <w:rtl w:val="true"/>
        </w:rPr>
        <w:t>–</w:t>
      </w:r>
      <w:r>
        <w:rPr>
          <w:rtl w:val="true"/>
        </w:rPr>
        <w:t xml:space="preserve"> יאוין כוחו של בית המשפט לפי </w:t>
      </w:r>
      <w:hyperlink r:id="rId3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sz w:val="28"/>
            <w:sz w:val="28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ובנושא זה כמו גם בשאלות של ביטול תלונה והפסקת הליכים </w:t>
      </w:r>
      <w:r>
        <w:rPr>
          <w:rtl w:val="true"/>
        </w:rPr>
        <w:t>–</w:t>
      </w:r>
      <w:r>
        <w:rPr>
          <w:rtl w:val="true"/>
        </w:rPr>
        <w:t xml:space="preserve"> אין רשויות האכיפה ובתי המשפט תלויים ברצונם הבלעדי של הצדדים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עניין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שחאדה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>
          <w:sz w:val="12"/>
          <w:szCs w:val="18"/>
        </w:rPr>
      </w:pPr>
      <w:r>
        <w:rPr>
          <w:sz w:val="12"/>
          <w:szCs w:val="18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b/>
          <w:bCs/>
        </w:rPr>
      </w:pPr>
      <w:r>
        <w:rPr>
          <w:rtl w:val="true"/>
        </w:rPr>
        <w:t>בשולי הדברים</w:t>
      </w:r>
      <w:r>
        <w:rPr>
          <w:rtl w:val="true"/>
        </w:rPr>
        <w:t xml:space="preserve">, </w:t>
      </w:r>
      <w:r>
        <w:rPr>
          <w:rtl w:val="true"/>
        </w:rPr>
        <w:t>אציין כי טענת המערער לפיה אין ביכולתו לשלם את הפיצוי שהושת עליו</w:t>
      </w:r>
      <w:r>
        <w:rPr>
          <w:rtl w:val="true"/>
        </w:rPr>
        <w:t xml:space="preserve">, </w:t>
      </w:r>
      <w:r>
        <w:rPr>
          <w:rtl w:val="true"/>
        </w:rPr>
        <w:t>איננה מתיישבת עם העובדה שהמערער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הזמין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את מותו של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המנוח</w:t>
      </w:r>
      <w:r>
        <w:rPr>
          <w:rFonts w:cs="Times New Roman" w:ascii="Times New Roman" w:hAnsi="Times New Roman"/>
          <w:sz w:val="22"/>
          <w:rtl w:val="true"/>
        </w:rPr>
        <w:t xml:space="preserve">, 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והיה נכון לשלם בעבור ביצוע מעשה העבירה </w:t>
      </w:r>
      <w:r>
        <w:rPr>
          <w:rFonts w:cs="Times New Roman" w:ascii="Times New Roman" w:hAnsi="Times New Roman"/>
          <w:sz w:val="22"/>
          <w:rtl w:val="true"/>
        </w:rPr>
        <w:t>(</w:t>
      </w:r>
      <w:r>
        <w:rPr>
          <w:rFonts w:ascii="Times New Roman" w:hAnsi="Times New Roman" w:cs="Times New Roman"/>
          <w:sz w:val="22"/>
          <w:sz w:val="22"/>
          <w:rtl w:val="true"/>
        </w:rPr>
        <w:t>הירי</w:t>
      </w:r>
      <w:r>
        <w:rPr>
          <w:rFonts w:cs="Times New Roman" w:ascii="Times New Roman" w:hAnsi="Times New Roman"/>
          <w:sz w:val="22"/>
          <w:rtl w:val="true"/>
        </w:rPr>
        <w:t>)</w:t>
      </w:r>
      <w:r>
        <w:rPr>
          <w:rFonts w:cs="Times New Roman" w:ascii="Times New Roman" w:hAnsi="Times New Roman"/>
          <w:i/>
          <w:iCs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סך של </w:t>
      </w:r>
      <w:r>
        <w:rPr>
          <w:rFonts w:cs="Times New Roman" w:ascii="Times New Roman" w:hAnsi="Times New Roman"/>
          <w:sz w:val="22"/>
        </w:rPr>
        <w:t>150,000</w:t>
      </w:r>
      <w:r>
        <w:rPr>
          <w:rFonts w:cs="Times New Roman" w:ascii="Times New Roman" w:hAnsi="Times New Roman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ש</w:t>
      </w:r>
      <w:r>
        <w:rPr>
          <w:rFonts w:cs="Times New Roman" w:ascii="Times New Roman" w:hAnsi="Times New Roman"/>
          <w:sz w:val="22"/>
          <w:rtl w:val="true"/>
        </w:rPr>
        <w:t>"</w:t>
      </w:r>
      <w:r>
        <w:rPr>
          <w:rFonts w:ascii="Times New Roman" w:hAnsi="Times New Roman" w:cs="Times New Roman"/>
          <w:sz w:val="22"/>
          <w:sz w:val="22"/>
          <w:rtl w:val="true"/>
        </w:rPr>
        <w:t>ח</w:t>
      </w:r>
      <w:r>
        <w:rPr>
          <w:b/>
          <w:bCs/>
          <w:rtl w:val="true"/>
        </w:rPr>
        <w:t xml:space="preserve">. </w:t>
      </w:r>
    </w:p>
    <w:p>
      <w:pPr>
        <w:pStyle w:val="Ruller41"/>
        <w:ind w:end="0"/>
        <w:jc w:val="both"/>
        <w:rPr>
          <w:b/>
          <w:bCs/>
          <w:sz w:val="10"/>
          <w:szCs w:val="16"/>
        </w:rPr>
      </w:pPr>
      <w:r>
        <w:rPr>
          <w:b/>
          <w:bCs/>
          <w:sz w:val="10"/>
          <w:szCs w:val="16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זאת ועוד </w:t>
      </w:r>
      <w:r>
        <w:rPr>
          <w:rtl w:val="true"/>
        </w:rPr>
        <w:t>–</w:t>
      </w:r>
      <w:r>
        <w:rPr>
          <w:rtl w:val="true"/>
        </w:rPr>
        <w:t xml:space="preserve"> אחרת</w:t>
      </w:r>
      <w:r>
        <w:rPr>
          <w:rtl w:val="true"/>
        </w:rPr>
        <w:t xml:space="preserve">. </w:t>
      </w:r>
      <w:r>
        <w:rPr>
          <w:rtl w:val="true"/>
        </w:rPr>
        <w:t xml:space="preserve">לאחר שבחנו הדברים גם לגופם </w:t>
      </w:r>
      <w:r>
        <w:rPr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הגענו למסקנה כי בית משפט המחוזי הנכבד ערך איזון ראוי בין כלל השיקולים לקולא ולחומרא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וגזר הדין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אשר יצא מלפניו שיקלל כדבעי את כלל הנסיבות הצריכות לעניין</w:t>
      </w:r>
      <w:r>
        <w:rPr>
          <w:rtl w:val="true"/>
        </w:rPr>
        <w:t xml:space="preserve">, </w:t>
      </w:r>
      <w:r>
        <w:rPr>
          <w:rtl w:val="true"/>
        </w:rPr>
        <w:t>ומכאן שאין עילה להתערבות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sz w:val="20"/>
          <w:szCs w:val="26"/>
        </w:rPr>
      </w:pPr>
      <w:r>
        <w:rPr>
          <w:sz w:val="20"/>
          <w:szCs w:val="26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sz w:val="28"/>
          <w:sz w:val="28"/>
          <w:rtl w:val="true"/>
        </w:rPr>
        <w:t>נוכח כל האמור לעיל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לא מצאנו כי יש לשנות מגזר דינו של בית המשפט המחוזי הנכבד</w:t>
      </w:r>
      <w:r>
        <w:rPr>
          <w:rtl w:val="true"/>
        </w:rPr>
        <w:t xml:space="preserve">, </w:t>
      </w:r>
      <w:r>
        <w:rPr>
          <w:rtl w:val="true"/>
        </w:rPr>
        <w:t xml:space="preserve">ועל כן החלטנו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לדחות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sz w:val="18"/>
          <w:szCs w:val="24"/>
        </w:rPr>
      </w:pPr>
      <w:r>
        <w:rPr>
          <w:sz w:val="1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8.5.2018</w:t>
      </w:r>
      <w:r>
        <w:rPr>
          <w:rtl w:val="true"/>
        </w:rPr>
        <w:t xml:space="preserve">). 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>
          <w:sz w:val="8"/>
          <w:szCs w:val="14"/>
        </w:rPr>
      </w:pPr>
      <w:r>
        <w:rPr>
          <w:sz w:val="8"/>
          <w:szCs w:val="14"/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</w:t>
      </w:r>
      <w:r>
        <w:rPr>
          <w:sz w:val="16"/>
          <w:rtl w:val="true"/>
        </w:rPr>
        <w:t xml:space="preserve"> </w:t>
      </w:r>
      <w:r>
        <w:rPr>
          <w:sz w:val="16"/>
        </w:rPr>
        <w:t>17052890</w:t>
      </w:r>
      <w:r>
        <w:rPr>
          <w:sz w:val="16"/>
          <w:rtl w:val="true"/>
        </w:rPr>
        <w:t>_</w:t>
      </w:r>
      <w:r>
        <w:rPr>
          <w:sz w:val="16"/>
        </w:rPr>
        <w:t>K05.doc</w:t>
      </w:r>
      <w:r>
        <w:rPr>
          <w:sz w:val="16"/>
          <w:rtl w:val="true"/>
        </w:rPr>
        <w:t xml:space="preserve">  </w:t>
      </w:r>
      <w:r>
        <w:rPr>
          <w:sz w:val="16"/>
          <w:sz w:val="16"/>
          <w:rtl w:val="true"/>
        </w:rPr>
        <w:t>שח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</w:t>
      </w:r>
      <w:hyperlink r:id="rId36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ג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קרא </w:t>
      </w:r>
      <w:r>
        <w:rPr>
          <w:rFonts w:cs="David" w:ascii="David" w:hAnsi="David"/>
          <w:color w:val="000000"/>
          <w:szCs w:val="22"/>
        </w:rPr>
        <w:t>54678313-5289/17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8"/>
      <w:footerReference w:type="default" r:id="rId3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Arimo">
    <w:altName w:val="arial"/>
    <w:charset w:val="00" w:characterSet="windows-1252"/>
    <w:family w:val="auto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5289/17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אחמד חסארמה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1191"/>
        </w:tabs>
        <w:ind w:start="284" w:hanging="0"/>
      </w:pPr>
      <w:rPr>
        <w:b w:val="false"/>
        <w:bCs w:val="false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b w:val="false"/>
      <w:bCs w:val="false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rFonts w:cs="FrankRuehl"/>
      <w:b w:val="false"/>
      <w:bCs w:val="false"/>
      <w:sz w:val="28"/>
      <w:szCs w:val="2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288287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77" TargetMode="External"/><Relationship Id="rId6" Type="http://schemas.openxmlformats.org/officeDocument/2006/relationships/hyperlink" Target="http://www.nevo.co.il/law/70301/144.a.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298" TargetMode="External"/><Relationship Id="rId9" Type="http://schemas.openxmlformats.org/officeDocument/2006/relationships/hyperlink" Target="http://www.nevo.co.il/law/70301/499.a.1" TargetMode="External"/><Relationship Id="rId10" Type="http://schemas.openxmlformats.org/officeDocument/2006/relationships/hyperlink" Target="http://www.nevo.co.il/law/70301/77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77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case/20288287" TargetMode="External"/><Relationship Id="rId15" Type="http://schemas.openxmlformats.org/officeDocument/2006/relationships/hyperlink" Target="http://www.nevo.co.il/law/70301/499.a.1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298" TargetMode="External"/><Relationship Id="rId18" Type="http://schemas.openxmlformats.org/officeDocument/2006/relationships/hyperlink" Target="http://www.nevo.co.il/law/70301/29" TargetMode="External"/><Relationship Id="rId19" Type="http://schemas.openxmlformats.org/officeDocument/2006/relationships/hyperlink" Target="http://www.nevo.co.il/law/70301/144.a.;144.b" TargetMode="External"/><Relationship Id="rId20" Type="http://schemas.openxmlformats.org/officeDocument/2006/relationships/hyperlink" Target="http://www.nevo.co.il/law/70301/29" TargetMode="External"/><Relationship Id="rId21" Type="http://schemas.openxmlformats.org/officeDocument/2006/relationships/hyperlink" Target="http://www.nevo.co.il/case/5580773" TargetMode="External"/><Relationship Id="rId22" Type="http://schemas.openxmlformats.org/officeDocument/2006/relationships/hyperlink" Target="http://www.nevo.co.il/case/5604052" TargetMode="External"/><Relationship Id="rId23" Type="http://schemas.openxmlformats.org/officeDocument/2006/relationships/hyperlink" Target="http://www.nevo.co.il/case/5593885" TargetMode="External"/><Relationship Id="rId24" Type="http://schemas.openxmlformats.org/officeDocument/2006/relationships/hyperlink" Target="http://www.nevo.co.il/case/5569233" TargetMode="External"/><Relationship Id="rId25" Type="http://schemas.openxmlformats.org/officeDocument/2006/relationships/hyperlink" Target="http://www.nevo.co.il/case/22790629" TargetMode="External"/><Relationship Id="rId26" Type="http://schemas.openxmlformats.org/officeDocument/2006/relationships/hyperlink" Target="http://www.nevo.co.il/case/5580943" TargetMode="External"/><Relationship Id="rId27" Type="http://schemas.openxmlformats.org/officeDocument/2006/relationships/hyperlink" Target="http://www.nevo.co.il/case/5685874" TargetMode="External"/><Relationship Id="rId28" Type="http://schemas.openxmlformats.org/officeDocument/2006/relationships/hyperlink" Target="http://www.nevo.co.il/case/5581520" TargetMode="External"/><Relationship Id="rId29" Type="http://schemas.openxmlformats.org/officeDocument/2006/relationships/hyperlink" Target="http://www.nevo.co.il/law/70301/77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case/5868564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77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court.gov.il/" TargetMode="External"/><Relationship Id="rId37" Type="http://schemas.openxmlformats.org/officeDocument/2006/relationships/hyperlink" Target="http://www.nevo.co.il/advertisements/nevo-100.doc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2018-05-10T06:17:00Z</dcterms:created>
  <dc:creator> </dc:creator>
  <dc:description/>
  <cp:keywords/>
  <dc:language>en-IL</dc:language>
  <cp:lastModifiedBy>orly</cp:lastModifiedBy>
  <cp:lastPrinted>2018-05-06T16:31:00Z</cp:lastPrinted>
  <dcterms:modified xsi:type="dcterms:W3CDTF">2018-05-10T06:17:00Z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אחמד חסארמה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ישראל;עלי חסארמה ז#ל בני משפחתו כפר בענה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20288287:2;5580773;5604052;5593885;5569233;22790629;5580943;5685874;5581520;5868564</vt:lpwstr>
  </property>
  <property fmtid="{D5CDD505-2E9C-101B-9397-08002B2CF9AE}" pid="9" name="CITY">
    <vt:lpwstr/>
  </property>
  <property fmtid="{D5CDD505-2E9C-101B-9397-08002B2CF9AE}" pid="10" name="DATE">
    <vt:lpwstr>20180508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ג' קרא;ע' גרוסקופף;ח' מלצר</vt:lpwstr>
  </property>
  <property fmtid="{D5CDD505-2E9C-101B-9397-08002B2CF9AE}" pid="14" name="LAWLISTTMP1">
    <vt:lpwstr>70301/499.a.1;298;029:2;144.a;144.b;077:2</vt:lpwstr>
  </property>
  <property fmtid="{D5CDD505-2E9C-101B-9397-08002B2CF9AE}" pid="15" name="LAWYER">
    <vt:lpwstr>עידית פרג'ון;מיכאל כרמל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דיון פלילי</vt:lpwstr>
  </property>
  <property fmtid="{D5CDD505-2E9C-101B-9397-08002B2CF9AE}" pid="27" name="NOSE110">
    <vt:lpwstr/>
  </property>
  <property fmtid="{D5CDD505-2E9C-101B-9397-08002B2CF9AE}" pid="28" name="NOSE12">
    <vt:lpwstr>דיון פלילי</vt:lpwstr>
  </property>
  <property fmtid="{D5CDD505-2E9C-101B-9397-08002B2CF9AE}" pid="29" name="NOSE13">
    <vt:lpwstr>עונשין</vt:lpwstr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18;18;77</vt:lpwstr>
  </property>
  <property fmtid="{D5CDD505-2E9C-101B-9397-08002B2CF9AE}" pid="37" name="NOSE21">
    <vt:lpwstr>ערעור</vt:lpwstr>
  </property>
  <property fmtid="{D5CDD505-2E9C-101B-9397-08002B2CF9AE}" pid="38" name="NOSE210">
    <vt:lpwstr/>
  </property>
  <property fmtid="{D5CDD505-2E9C-101B-9397-08002B2CF9AE}" pid="39" name="NOSE22">
    <vt:lpwstr>ערעור</vt:lpwstr>
  </property>
  <property fmtid="{D5CDD505-2E9C-101B-9397-08002B2CF9AE}" pid="40" name="NOSE23">
    <vt:lpwstr>פיצויים והוצאות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504;504;1447</vt:lpwstr>
  </property>
  <property fmtid="{D5CDD505-2E9C-101B-9397-08002B2CF9AE}" pid="48" name="NOSE31">
    <vt:lpwstr>אי-התערבות במידת העונש</vt:lpwstr>
  </property>
  <property fmtid="{D5CDD505-2E9C-101B-9397-08002B2CF9AE}" pid="49" name="NOSE310">
    <vt:lpwstr/>
  </property>
  <property fmtid="{D5CDD505-2E9C-101B-9397-08002B2CF9AE}" pid="50" name="NOSE32">
    <vt:lpwstr>על חיוב בפיצוי</vt:lpwstr>
  </property>
  <property fmtid="{D5CDD505-2E9C-101B-9397-08002B2CF9AE}" pid="51" name="NOSE33">
    <vt:lpwstr>פיצויו של מי שניזוק על-ידי העבירה</vt:lpwstr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17039;17833;9011</vt:lpwstr>
  </property>
  <property fmtid="{D5CDD505-2E9C-101B-9397-08002B2CF9AE}" pid="59" name="PADIDATE">
    <vt:lpwstr>20180510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5289</vt:lpwstr>
  </property>
  <property fmtid="{D5CDD505-2E9C-101B-9397-08002B2CF9AE}" pid="65" name="PROCYEAR">
    <vt:lpwstr>17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410120180508</vt:lpwstr>
  </property>
  <property fmtid="{D5CDD505-2E9C-101B-9397-08002B2CF9AE}" pid="69" name="TYPE_N_DATE">
    <vt:lpwstr>41020180508</vt:lpwstr>
  </property>
  <property fmtid="{D5CDD505-2E9C-101B-9397-08002B2CF9AE}" pid="70" name="VOLUME">
    <vt:lpwstr/>
  </property>
  <property fmtid="{D5CDD505-2E9C-101B-9397-08002B2CF9AE}" pid="71" name="WORDNUMPAGES">
    <vt:lpwstr>8</vt:lpwstr>
  </property>
</Properties>
</file>