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5300/20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37417-03-20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באומגרט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25.6.2023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לקר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מתקיימים 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 המצבים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 אי שפיות מהותית בעת המעשה והן אי כשירות דיונית בעת ניהול ההליך 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 תהא התוצאה הפסקת הליכים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למעט במקרה בו מתקיימים ארבעה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תנאים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מצטברים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שנקבעו בהלכת אשכר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המובילים לזיכוי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כזאת לא נמצא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בדין הורה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על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 האשפוז המרבית שנקבעה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בחוק ביחס </w:t>
      </w:r>
      <w:r>
        <w:rPr>
          <w:rFonts w:ascii="Times New Roman" w:hAnsi="Times New Roman" w:cs="Times New Roman"/>
          <w:spacing w:val="0"/>
          <w:szCs w:val="26"/>
          <w:rtl w:val="true"/>
        </w:rPr>
        <w:t>לביצוע עבירת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בירור האשמה – הפסקת ההליך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מחלת נפש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יכולת לעמוד לדין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שפיות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ניסיון לרצח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חולי נפש – אשפוז כפוי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החלטת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בגדרה הורה על הפסקת ההליכים נגד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בגדרם יוחסו למערער עבירות ניסיון לרצח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גיסתו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משנקבע כי אינו מסוגל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על מתן צו אשפוז עבורו לתקופה מרבית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להורות על זיכויו או לחלופין על הפחתת תקופת האשפוז המרבית שנקבעה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ראשית נדחו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המערער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כשל בייצוג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משלא הובאה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 הסנגור הקודם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לגוף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התרשם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הבחירה במסלול של הפסקת הליכים ואשפוז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נעשתה באופן מחושב ושקול מצד סנגורו הקודם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 ההגנה שנבחר מהווה בחירה סבירה וראויה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 למעלה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שאינו מאפשר לקבל טענת כשל בייצוג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לא נמצא </w:t>
      </w:r>
      <w:r>
        <w:rPr>
          <w:rFonts w:ascii="Times New Roman" w:hAnsi="Times New Roman" w:cs="Times New Roman"/>
          <w:spacing w:val="0"/>
          <w:szCs w:val="26"/>
          <w:rtl w:val="true"/>
        </w:rPr>
        <w:t>ממש בטענות המערער ביחס לאי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מינוי אפוטרופוס עבורו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 שנגרם לו עיוות דין בהליך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בשל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מיוצג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סנגור בערכאה קמא אשר עשה עבודתו נאמנה למען האינטרסים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מתעורר שום חשש לעיוות 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המערער ביחס להפסקת ההליכים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ואשפוזו הכפוי </w:t>
      </w:r>
      <w:r>
        <w:rPr>
          <w:rFonts w:ascii="Times New Roman" w:hAnsi="Times New Roman" w:cs="Times New Roman"/>
          <w:spacing w:val="0"/>
          <w:szCs w:val="26"/>
          <w:rtl w:val="true"/>
        </w:rPr>
        <w:t>לתקופה המרבית הקבועה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שתי הוראות חוק עיקריות נועדו להתמודד עם מצב שבו ניצב עניינו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לפני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– ההוראה המהותית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העוסקת במצבו הנפשי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בעת ביצוע 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מעוגנת בסעיף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ח 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ולפיה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שפיות הדעת בעת ביצוע העבירה מהווה סייג לאחריות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וההוראה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המתמקדת במצבו הנפשי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בעת ניהול ההליך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בסעיף </w:t>
      </w:r>
      <w:r>
        <w:rPr>
          <w:rFonts w:cs="Times New Roman" w:ascii="Times New Roman" w:hAnsi="Times New Roman"/>
          <w:spacing w:val="0"/>
          <w:szCs w:val="26"/>
        </w:rPr>
        <w:t>170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סדר הדין הפלילי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ולפיה לא ינוהל הליך פלילי נגד 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אשר לא מסוגל לעמוד לדין בשל מחלתו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שהליך לפי ההוראה המהותית מתמקד במידת אחריותו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לעבירה הפלילית ומוביל לזיכוי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הליך שמתקיים לפי ההוראה הדיונית מתייחס רק לאפשרות לקיום משפט לבירור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ומוביל להפסקת הליכים בשלב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שהיה והנאשם ישוחרר מאשפוז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היועץ המשפטי לממשלה רשאי להורות כי יועמד לדין מחדש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שבו מתקיימים שני המצבים יחדיו – הן אי שפיות מהותית בעת המעשה והן אי כשירות דיונית בעת ניהול ההליך הפלילי – נקבע בהלכת אשקר כי ככלל תהא התוצאה הפסקת הליכים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במקרה בו מתקיימים ארבעה תנאים 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בו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יזוכה מאחריות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 מחוות הדעת שהוגשו בענייננו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ענייננו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שבו מתקיימים שני המצבים יחדיו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שלא מתקיימים התנאים המצטברים המובילים לזיכוי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לפי הלכת אשקר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בפרט ביחס לתנאי השני שלפיו על הסניגור להצהיר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 ביצע את מעשה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נכון עשה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הורה על הפסקת הליכים לפי סעיף </w:t>
      </w:r>
      <w:r>
        <w:rPr>
          <w:rFonts w:cs="Times New Roman" w:ascii="Times New Roman" w:hAnsi="Times New Roman"/>
          <w:spacing w:val="0"/>
          <w:szCs w:val="26"/>
        </w:rPr>
        <w:t>170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סדר הדין הפלילי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מתן צו אשפוז עבור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 אשר הופסקו ההליכים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להשתכנע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ראיות לכאורה כי הנאשם עשה את מעשה העבירה שבו הואשם בכתב האישום או שעשה מעשה עבירה אחר המבוסס על אותן עובדות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[...]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 בראיות הנוגעות ליסוד הפיזי שבעבירה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שנדרש להוכיח את יסודות המחשבה הפלילית והאשמה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האשפוז המרבית תהיה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כתקופת המאסר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למעט במקרים נדירים ביותר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טיפול בחולי נפש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זה מכבר כי על מנת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ימיר את סעיף העבירה המיוחס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נפש 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 כי הנסיבות העובדתיות ילמדו באופן מובהק כי סעיף האישום הנבחר איננו מתאים להפסקת ההליכים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 כי נסיבות ענייננו אינן צולחות משוכה גבוהה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משההתרחשות העובדתית מלמדת היטב על ראיות לכאורה לביצוע עבירת ניסיון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עשה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נתן צו אשפוז עבור המערער לתקופה מרבית של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כתקופת המאסר המרבית בעבירת ניסיון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עובדות מעשה העבירה מדברות בעד עצמן ומלמדות על חומרת מעשיו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דקר פעם אחר פעם את המתלוננת – גיסתו – נעל אותה בבית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ניהל אחריה מרדף אלים תוך שהוא ממשיך ודוקר אותה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מתעלם מתחינותיה כי יחוס על חייה ומלווה את מעשיו בהתבטאויות אשר יש בהן כדי לבטא את רצונו לגרום למותה באופן שאינו משתמע לשני פנים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לגרום למותה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לשקילת שיקולים שעניינם אחריות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אשמה ונסיבותיו האישיות של המערער בקביעת 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החלטת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באומגרט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37417-03-20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16.6.2020</w:t>
      </w:r>
      <w:r>
        <w:rPr>
          <w:rtl w:val="true"/>
        </w:rPr>
        <w:t xml:space="preserve">, </w:t>
      </w:r>
      <w:r>
        <w:rPr>
          <w:rtl w:val="true"/>
        </w:rPr>
        <w:t>בגדרה הורה על הפסקת ההליכים נגד המערער משנקבע כי אינו מסוגל לעמוד לדין</w:t>
      </w:r>
      <w:r>
        <w:rPr>
          <w:rtl w:val="true"/>
        </w:rPr>
        <w:t xml:space="preserve">, </w:t>
      </w:r>
      <w:r>
        <w:rPr>
          <w:rtl w:val="true"/>
        </w:rPr>
        <w:t xml:space="preserve">וכן על מתן צו אשפוז עבורו לתקופה מרבית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בתמצית יתואר</w:t>
      </w:r>
      <w:r>
        <w:rPr>
          <w:rtl w:val="true"/>
        </w:rPr>
        <w:t xml:space="preserve">, </w:t>
      </w:r>
      <w:r>
        <w:rPr>
          <w:rtl w:val="true"/>
        </w:rPr>
        <w:t xml:space="preserve">כי לפי כתב האישום המערער התגורר יחד עם אחיו וגיסתו </w:t>
      </w:r>
      <w:r>
        <w:rPr>
          <w:rtl w:val="true"/>
        </w:rPr>
        <w:t>–</w:t>
      </w:r>
      <w:r>
        <w:rPr>
          <w:rtl w:val="true"/>
        </w:rPr>
        <w:t xml:space="preserve"> המתלוננת</w:t>
      </w:r>
      <w:r>
        <w:rPr>
          <w:rtl w:val="true"/>
        </w:rPr>
        <w:t xml:space="preserve">, </w:t>
      </w:r>
      <w:r>
        <w:rPr>
          <w:rtl w:val="true"/>
        </w:rPr>
        <w:t>ושלושת ילדיהם הקטינים של אחיו וגיסתו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התגלע סכסוך בין המערער לבין אחיו וגיסתו</w:t>
      </w:r>
      <w:r>
        <w:rPr>
          <w:rtl w:val="true"/>
        </w:rPr>
        <w:t xml:space="preserve">, </w:t>
      </w:r>
      <w:r>
        <w:rPr>
          <w:rtl w:val="true"/>
        </w:rPr>
        <w:t>על רקע תשלומים הנוגעים לאחזקת הבית ואיומים שהמערער הפנה כלפיהם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1.3.2020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8:30</w:t>
      </w:r>
      <w:r>
        <w:rPr>
          <w:rtl w:val="true"/>
        </w:rPr>
        <w:t xml:space="preserve"> </w:t>
      </w:r>
      <w:r>
        <w:rPr>
          <w:rtl w:val="true"/>
        </w:rPr>
        <w:t>המערער והמתלוננת שהו לבדם בדירה</w:t>
      </w:r>
      <w:r>
        <w:rPr>
          <w:rtl w:val="true"/>
        </w:rPr>
        <w:t xml:space="preserve">. </w:t>
      </w:r>
      <w:r>
        <w:rPr>
          <w:rtl w:val="true"/>
        </w:rPr>
        <w:t>האחרונה פנתה למערער ושאלה האם הוא לא עובד היום</w:t>
      </w:r>
      <w:r>
        <w:rPr>
          <w:rtl w:val="true"/>
        </w:rPr>
        <w:t xml:space="preserve">. </w:t>
      </w:r>
      <w:r>
        <w:rPr>
          <w:rtl w:val="true"/>
        </w:rPr>
        <w:t xml:space="preserve">לכך השיב בכעס 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בגללך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הכיסא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הכיסא</w:t>
      </w:r>
      <w:r>
        <w:rPr>
          <w:rtl w:val="true"/>
        </w:rPr>
        <w:t xml:space="preserve">". </w:t>
      </w:r>
      <w:r>
        <w:rPr>
          <w:rtl w:val="true"/>
        </w:rPr>
        <w:t>המתלוננת ניסתה להרגיעו</w:t>
      </w:r>
      <w:r>
        <w:rPr>
          <w:rtl w:val="true"/>
        </w:rPr>
        <w:t xml:space="preserve">, </w:t>
      </w:r>
      <w:r>
        <w:rPr>
          <w:rtl w:val="true"/>
        </w:rPr>
        <w:t xml:space="preserve">ואילו הוא בתגובה איים בפגיעה שלא כדין בגופה בכוונה להפחידה 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</w:t>
      </w:r>
      <w:r>
        <w:rPr>
          <w:rtl w:val="true"/>
        </w:rPr>
        <w:t xml:space="preserve">". </w:t>
      </w:r>
      <w:r>
        <w:rPr>
          <w:rtl w:val="true"/>
        </w:rPr>
        <w:t>המערער הלך לחדרו</w:t>
      </w:r>
      <w:r>
        <w:rPr>
          <w:rtl w:val="true"/>
        </w:rPr>
        <w:t xml:space="preserve">, </w:t>
      </w:r>
      <w:r>
        <w:rPr>
          <w:rtl w:val="true"/>
        </w:rPr>
        <w:t>והמתלוננת נכנסה לחדר העבודה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תמותי</w:t>
      </w:r>
      <w:r>
        <w:rPr>
          <w:rtl w:val="true"/>
        </w:rPr>
        <w:t xml:space="preserve">",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התקיפה</w:t>
      </w:r>
      <w:r>
        <w:rPr>
          <w:rtl w:val="true"/>
        </w:rPr>
        <w:t xml:space="preserve">, </w:t>
      </w:r>
      <w:r>
        <w:rPr>
          <w:rtl w:val="true"/>
        </w:rPr>
        <w:t>המתלוננת תפסה את להב הסכין וניסתה להדוף את המערער תוך שהיא מתחננת שיעזוב אותה ויפסיק לדקור אותה</w:t>
      </w:r>
      <w:r>
        <w:rPr>
          <w:rtl w:val="true"/>
        </w:rPr>
        <w:t xml:space="preserve">. </w:t>
      </w:r>
      <w:r>
        <w:rPr>
          <w:rtl w:val="true"/>
        </w:rPr>
        <w:t>המערער אחז בחולצתה וידה והיא הורידה את החולצה דרך השרוול</w:t>
      </w:r>
      <w:r>
        <w:rPr>
          <w:rtl w:val="true"/>
        </w:rPr>
        <w:t xml:space="preserve">, </w:t>
      </w:r>
      <w:r>
        <w:rPr>
          <w:rtl w:val="true"/>
        </w:rPr>
        <w:t>והצליחה לצאת מחדר העבודה לכיוון המטבח</w:t>
      </w:r>
      <w:r>
        <w:rPr>
          <w:rtl w:val="true"/>
        </w:rPr>
        <w:t xml:space="preserve">. </w:t>
      </w:r>
      <w:r>
        <w:rPr>
          <w:rtl w:val="true"/>
        </w:rPr>
        <w:t>משכשלה המתלוננת לצאת מהבית</w:t>
      </w:r>
      <w:r>
        <w:rPr>
          <w:rtl w:val="true"/>
        </w:rPr>
        <w:t xml:space="preserve">, </w:t>
      </w:r>
      <w:r>
        <w:rPr>
          <w:rtl w:val="true"/>
        </w:rPr>
        <w:t>אשר דלתו ננעלה כאמור בידי המערער</w:t>
      </w:r>
      <w:r>
        <w:rPr>
          <w:rtl w:val="true"/>
        </w:rPr>
        <w:t xml:space="preserve">, </w:t>
      </w:r>
      <w:r>
        <w:rPr>
          <w:rtl w:val="true"/>
        </w:rPr>
        <w:t>הוא הוסיף ודקר אותה בגבה ובידיה מספר פעמים בכוונה לגרום למותה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עדיין</w:t>
      </w:r>
      <w:r>
        <w:rPr>
          <w:rtl w:val="true"/>
        </w:rPr>
        <w:t xml:space="preserve">".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פציעות</w:t>
      </w:r>
      <w:r>
        <w:rPr>
          <w:rtl w:val="true"/>
        </w:rPr>
        <w:t xml:space="preserve">,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בסנטר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 xml:space="preserve">,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בסמוך לאחר מעצרו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נשלח להסתכלות פסיכיאטרית אשר סוכמה בחוות דעת מיום </w:t>
      </w:r>
      <w:r>
        <w:rPr/>
        <w:t>25.3.2020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בחוות דעת נוספת מיום </w:t>
      </w:r>
      <w:r>
        <w:rPr/>
        <w:t>11.6.2020</w:t>
      </w:r>
      <w:r>
        <w:rPr>
          <w:rtl w:val="true"/>
        </w:rPr>
        <w:t xml:space="preserve">. </w:t>
      </w:r>
      <w:r>
        <w:rPr>
          <w:rtl w:val="true"/>
        </w:rPr>
        <w:t>בחוות הדעת פורט כי המערער סובל ממחלה נפשית של סכיזופרניה פרנואידית</w:t>
      </w:r>
      <w:r>
        <w:rPr>
          <w:rtl w:val="true"/>
        </w:rPr>
        <w:t xml:space="preserve">, </w:t>
      </w:r>
      <w:r>
        <w:rPr>
          <w:rtl w:val="true"/>
        </w:rPr>
        <w:t>וכי בעת ביצוע המעשים היה שרוי במצב פסיכוטי הלוצינטורי פעיל</w:t>
      </w:r>
      <w:r>
        <w:rPr>
          <w:rtl w:val="true"/>
        </w:rPr>
        <w:t xml:space="preserve">, </w:t>
      </w:r>
      <w:r>
        <w:rPr>
          <w:rtl w:val="true"/>
        </w:rPr>
        <w:t>לא הבדיל בין רע לטוב</w:t>
      </w:r>
      <w:r>
        <w:rPr>
          <w:rtl w:val="true"/>
        </w:rPr>
        <w:t xml:space="preserve">, </w:t>
      </w:r>
      <w:r>
        <w:rPr>
          <w:rtl w:val="true"/>
        </w:rPr>
        <w:t>בין מותר לאסור</w:t>
      </w:r>
      <w:r>
        <w:rPr>
          <w:rtl w:val="true"/>
        </w:rPr>
        <w:t xml:space="preserve">, </w:t>
      </w:r>
      <w:r>
        <w:rPr>
          <w:rtl w:val="true"/>
        </w:rPr>
        <w:t>פעל על פי תכנים פסיכוטיים ולא יכול היה להימנע מהמעשים המיוחסים לו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כי גם בעת הזו המערער מצוי במצב פסיכוטי פעיל וכי הוא אינו יכול לשאת באחריות על המעשים המיוחסים לו</w:t>
      </w:r>
      <w:r>
        <w:rPr>
          <w:rtl w:val="true"/>
        </w:rPr>
        <w:t xml:space="preserve">. </w:t>
      </w:r>
      <w:r>
        <w:rPr>
          <w:rtl w:val="true"/>
        </w:rPr>
        <w:t>עוד הודגש כי במצבו הנוכחי הוא מהווה סכנה לעצמו ולבני משפחתו ועל כן זקוק להמשך אשפוז וטיפול פסיכיאטרי בבית חולים לבריאות נפש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שבית המשפט המחוזי עיין בתיק החקירה</w:t>
      </w:r>
      <w:r>
        <w:rPr>
          <w:rtl w:val="true"/>
        </w:rPr>
        <w:t xml:space="preserve">, </w:t>
      </w:r>
      <w:r>
        <w:rPr>
          <w:rtl w:val="true"/>
        </w:rPr>
        <w:t>ובפרט בהודעת המתלוננת ובהודאת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ישנן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לכאורה</w:t>
      </w:r>
      <w:r>
        <w:rPr>
          <w:rtl w:val="true"/>
        </w:rPr>
        <w:t xml:space="preserve"> לביצוע המעשים</w:t>
      </w:r>
      <w:r>
        <w:rPr>
          <w:rtl w:val="true"/>
        </w:rPr>
        <w:t xml:space="preserve">. </w:t>
      </w:r>
      <w:r>
        <w:rPr>
          <w:rtl w:val="true"/>
        </w:rPr>
        <w:t>על קביעה זו לא חלקה ההגנה מטעם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הורה אפוא על הפסקת ההליכים בעניינו של המערער מכוח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), </w:t>
      </w:r>
      <w:r>
        <w:rPr>
          <w:rtl w:val="true"/>
        </w:rPr>
        <w:t>משנקבע כי המערער אינו מסוגל לעמוד לדין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המערער יוחזק באשפוז על פי צו אשפוז למשך תקופה מרבית של 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שנה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החלטת בית המשפט המחוזי שגויה ויש להורות על זיכויו או לחלופין על הפחתת תקופת האשפוז המרבית שנקבעה בעניינו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אילו בית המשפט המחוזי היה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בוחן לעומק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tl w:val="true"/>
        </w:rPr>
        <w:t xml:space="preserve"> הראיות</w:t>
      </w:r>
      <w:r>
        <w:rPr>
          <w:rtl w:val="true"/>
        </w:rPr>
        <w:t xml:space="preserve">, </w:t>
      </w:r>
      <w:r>
        <w:rPr>
          <w:rtl w:val="true"/>
        </w:rPr>
        <w:t>ולא רק את בחינת קיומן של ראיות לכאורה</w:t>
      </w:r>
      <w:r>
        <w:rPr>
          <w:rtl w:val="true"/>
        </w:rPr>
        <w:t xml:space="preserve">, </w:t>
      </w:r>
      <w:r>
        <w:rPr>
          <w:rtl w:val="true"/>
        </w:rPr>
        <w:t>אזי לא היה מייחס לו עבירת ניסיון לרצח אלא עבירה קלה הימנה מאחר שלא התכוון להמית את המתלוננת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נטען כי ייתכן והיה נכון להורות על זיכויו המלא מאחריות למעשיו</w:t>
      </w:r>
      <w:r>
        <w:rPr>
          <w:rtl w:val="true"/>
        </w:rPr>
        <w:t xml:space="preserve">, </w:t>
      </w:r>
      <w:r>
        <w:rPr>
          <w:rtl w:val="true"/>
        </w:rPr>
        <w:t>ולא רק על הפסקת הליכים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הנוכחי של המערער טוען כי לא נעשה בירור מעמיק של הראיות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כתוצאה מהתנהלות סנגורו הקודם אשר ייצגו בבית המשפט המחוזי</w:t>
      </w:r>
      <w:r>
        <w:rPr>
          <w:rtl w:val="true"/>
        </w:rPr>
        <w:t xml:space="preserve">. </w:t>
      </w:r>
      <w:r>
        <w:rPr>
          <w:rtl w:val="true"/>
        </w:rPr>
        <w:t>עוד הוא מלין על כך שלא מונה לו אפוטרופו</w:t>
      </w:r>
      <w:r>
        <w:rPr>
          <w:rtl w:val="true"/>
        </w:rPr>
        <w:t>ס</w:t>
      </w:r>
      <w:r>
        <w:rPr>
          <w:rtl w:val="true"/>
        </w:rPr>
        <w:t xml:space="preserve"> כבר כאשר הוכר על ידי רשויות הרווחה כמתמודד נפש</w:t>
      </w:r>
      <w:r>
        <w:rPr>
          <w:rtl w:val="true"/>
        </w:rPr>
        <w:t xml:space="preserve">, </w:t>
      </w:r>
      <w:r>
        <w:rPr>
          <w:rtl w:val="true"/>
        </w:rPr>
        <w:t xml:space="preserve">ומטעם זה נפגע </w:t>
      </w:r>
      <w:r>
        <w:rPr>
          <w:rtl w:val="true"/>
        </w:rPr>
        <w:t>"</w:t>
      </w:r>
      <w:r>
        <w:rPr>
          <w:rtl w:val="true"/>
        </w:rPr>
        <w:t>בירור האמת</w:t>
      </w:r>
      <w:r>
        <w:rPr>
          <w:rtl w:val="true"/>
        </w:rPr>
        <w:t xml:space="preserve">" </w:t>
      </w:r>
      <w:r>
        <w:rPr>
          <w:rtl w:val="true"/>
        </w:rPr>
        <w:t>בחקירותיו במשטרה ובהליך בבית משפט קמא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שגה כאשר השית עליו </w:t>
      </w:r>
      <w:r>
        <w:rPr>
          <w:rtl w:val="true"/>
        </w:rPr>
        <w:t>"</w:t>
      </w:r>
      <w:r>
        <w:rPr>
          <w:rtl w:val="true"/>
        </w:rPr>
        <w:t>עונש מקסימלי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 xml:space="preserve">בדמות תקופת אשפוז מרבית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ואילו היה מקום לקצוב תקופת אשפוז מרבית קצרה יותר לנוכח נסיבותיו האישיות ומאחר שישנם גורמי מקצוע אשר אינם מייחסים לו </w:t>
      </w:r>
      <w:r>
        <w:rPr>
          <w:rtl w:val="true"/>
        </w:rPr>
        <w:t>"</w:t>
      </w:r>
      <w:r>
        <w:rPr>
          <w:rtl w:val="true"/>
        </w:rPr>
        <w:t>סכנה לציבור כלל וכלל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החלטת בית המשפט המחוזי בדין יסודה ויש לדחות את הערעור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לנוכח הסכמת הצדדים באשר לעובדותיו של כתב האישום ולאחר שבית המשפט המחוזי התרשם מהראיות הלכאוריות שהונחו לפניו</w:t>
      </w:r>
      <w:r>
        <w:rPr>
          <w:rtl w:val="true"/>
        </w:rPr>
        <w:t xml:space="preserve">, </w:t>
      </w:r>
      <w:r>
        <w:rPr>
          <w:rtl w:val="true"/>
        </w:rPr>
        <w:t>נקבע דבר קיומן של ראיות לכאורה מספיקות להתקיימות עבירת ניסיון לרצח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בשלב זה בית המשפט בוחן את התגבשות היסוד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</w:t>
      </w:r>
      <w:r>
        <w:rPr>
          <w:rtl w:val="true"/>
        </w:rPr>
        <w:t xml:space="preserve"> של העבירה מבלי לבחון את מחשבתו הפלילית של הנאשם</w:t>
      </w:r>
      <w:r>
        <w:rPr>
          <w:rtl w:val="true"/>
        </w:rPr>
        <w:t xml:space="preserve">. </w:t>
      </w:r>
      <w:r>
        <w:rPr>
          <w:rtl w:val="true"/>
        </w:rPr>
        <w:t>כאשר בענייננו</w:t>
      </w:r>
      <w:r>
        <w:rPr>
          <w:rtl w:val="true"/>
        </w:rPr>
        <w:t xml:space="preserve">, </w:t>
      </w:r>
      <w:r>
        <w:rPr>
          <w:rtl w:val="true"/>
        </w:rPr>
        <w:t>נסיבות המעשה מלמדות בבירור כי מדובר בניסיון לרצח</w:t>
      </w:r>
      <w:r>
        <w:rPr>
          <w:rtl w:val="true"/>
        </w:rPr>
        <w:t xml:space="preserve">, </w:t>
      </w:r>
      <w:r>
        <w:rPr>
          <w:rtl w:val="true"/>
        </w:rPr>
        <w:t>עת המערער דקר דקירות מסכנות חיים את המתלוננת תוך שהוא מבטא את כוונתו להמיתה</w:t>
      </w:r>
      <w:r>
        <w:rPr>
          <w:rtl w:val="true"/>
        </w:rPr>
        <w:t xml:space="preserve">. </w:t>
      </w:r>
      <w:r>
        <w:rPr>
          <w:rtl w:val="true"/>
        </w:rPr>
        <w:t xml:space="preserve">עוד הובהר כי אין לזכות את המערער מאחר שלא התקיימו התנאים שנקבעו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8601/15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5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tl w:val="true"/>
        </w:rPr>
        <w:t xml:space="preserve">)).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>
          <w:rtl w:val="true"/>
        </w:rPr>
        <w:t xml:space="preserve">הצהרת הסנגור 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tl w:val="true"/>
        </w:rPr>
        <w:t xml:space="preserve"> את מעשה העבירה</w:t>
      </w:r>
      <w:r>
        <w:rPr>
          <w:rtl w:val="true"/>
        </w:rPr>
        <w:t xml:space="preserve">. </w:t>
      </w:r>
      <w:r>
        <w:rPr>
          <w:rtl w:val="true"/>
        </w:rPr>
        <w:t xml:space="preserve">גם ביחס לתקופת האשפוז נטען כי נכון עשה בית המשפט המחוזי אשר הורה על תקופת אשפוז מרבית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מאחר שהחריג הקבוע בחוק חל במקרים נדירים ומצומצמים ביותר</w:t>
      </w:r>
      <w:r>
        <w:rPr>
          <w:rtl w:val="true"/>
        </w:rPr>
        <w:t xml:space="preserve">, </w:t>
      </w:r>
      <w:r>
        <w:rPr>
          <w:rtl w:val="true"/>
        </w:rPr>
        <w:t>אשר אינם מתגבשים בעניינו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בהחלטת בית המשפט המחוזי</w:t>
      </w:r>
      <w:r>
        <w:rPr>
          <w:rtl w:val="true"/>
        </w:rPr>
        <w:t xml:space="preserve">, </w:t>
      </w:r>
      <w:r>
        <w:rPr>
          <w:rtl w:val="true"/>
        </w:rPr>
        <w:t>בחוות הדעת הפסיכיאטריות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בטענות הצדדים כפי שנכתבו בהודעת הערעור ובתגובת המשיבה ונשמעו 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אתייחס תחילה לטענות המערער בדבר </w:t>
      </w:r>
      <w:r>
        <w:rPr>
          <w:rtl w:val="true"/>
        </w:rPr>
        <w:t>"</w:t>
      </w:r>
      <w:r>
        <w:rPr>
          <w:rtl w:val="true"/>
        </w:rPr>
        <w:t>כשל בייצוג</w:t>
      </w:r>
      <w:r>
        <w:rPr>
          <w:rtl w:val="true"/>
        </w:rPr>
        <w:t xml:space="preserve">".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יש להידרש במשורה לטענות אלו</w:t>
      </w:r>
      <w:r>
        <w:rPr>
          <w:rtl w:val="true"/>
        </w:rPr>
        <w:t xml:space="preserve">, </w:t>
      </w:r>
      <w:r>
        <w:rPr>
          <w:rtl w:val="true"/>
        </w:rPr>
        <w:t xml:space="preserve">והן תתקבלנה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עיוות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 xml:space="preserve">המבחן לבחינה זו הוא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>-</w:t>
      </w:r>
      <w:r>
        <w:rPr>
          <w:rtl w:val="true"/>
        </w:rPr>
        <w:t>תוצאתי</w:t>
      </w:r>
      <w:r>
        <w:rPr>
          <w:rtl w:val="true"/>
        </w:rPr>
        <w:t xml:space="preserve"> שלפיו </w:t>
      </w:r>
      <w:r>
        <w:rPr>
          <w:rtl w:val="true"/>
        </w:rPr>
        <w:t>אלמלא</w:t>
      </w:r>
      <w:r>
        <w:rPr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 </w:t>
      </w:r>
      <w:r>
        <w:rPr>
          <w:rtl w:val="true"/>
        </w:rPr>
        <w:t>הכושל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תוצאת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משתנה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 xml:space="preserve">בפסיקה נקבע מעין </w:t>
      </w:r>
      <w:r>
        <w:rPr>
          <w:rtl w:val="true"/>
        </w:rPr>
        <w:t>"</w:t>
      </w:r>
      <w:r>
        <w:rPr>
          <w:rtl w:val="true"/>
        </w:rPr>
        <w:t>תנאי סף</w:t>
      </w:r>
      <w:r>
        <w:rPr>
          <w:rtl w:val="true"/>
        </w:rPr>
        <w:t xml:space="preserve">" </w:t>
      </w:r>
      <w:r>
        <w:rPr>
          <w:rtl w:val="true"/>
        </w:rPr>
        <w:t>לבחינת טענת כשל בייצוג והוא כי יש להציג לבית המשפט את עמדת הסנגור הקודם</w:t>
      </w:r>
      <w:r>
        <w:rPr>
          <w:rtl w:val="true"/>
        </w:rPr>
        <w:t xml:space="preserve">, </w:t>
      </w:r>
      <w:r>
        <w:rPr>
          <w:rtl w:val="true"/>
        </w:rPr>
        <w:t>אשר ממנה ניתן ללמוד האם אכן יש ממש בטענות המערער על אודות כשל בייצוג</w:t>
      </w:r>
      <w:r>
        <w:rPr>
          <w:rtl w:val="true"/>
        </w:rPr>
        <w:t xml:space="preserve">, </w:t>
      </w:r>
      <w:r>
        <w:rPr>
          <w:rtl w:val="true"/>
        </w:rPr>
        <w:t xml:space="preserve">אם לאו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</w:t>
      </w:r>
      <w:r>
        <w:rPr/>
        <w:t>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במשתמע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איני מוצא ממש בטענות המערער ביחס לאי</w:t>
      </w:r>
      <w:r>
        <w:rPr>
          <w:rtl w:val="true"/>
        </w:rPr>
        <w:t>-</w:t>
      </w:r>
      <w:r>
        <w:rPr>
          <w:rtl w:val="true"/>
        </w:rPr>
        <w:t>מינוי אפוטרופוס עבורו</w:t>
      </w:r>
      <w:r>
        <w:rPr>
          <w:rtl w:val="true"/>
        </w:rPr>
        <w:t xml:space="preserve">, </w:t>
      </w:r>
      <w:r>
        <w:rPr>
          <w:rtl w:val="true"/>
        </w:rPr>
        <w:t>ולכך שנגרם לו עיוות דין בהליך בבית המשפט המחוזי בשל כך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היה מיוצג על</w:t>
      </w:r>
      <w:r>
        <w:rPr>
          <w:rtl w:val="true"/>
        </w:rPr>
        <w:t>-</w:t>
      </w:r>
      <w:r>
        <w:rPr>
          <w:rtl w:val="true"/>
        </w:rPr>
        <w:t>ידי סנגור בערכאה קמא אשר עשה עבודתו נאמנה למען האינטרסים של המערער</w:t>
      </w:r>
      <w:r>
        <w:rPr>
          <w:rtl w:val="true"/>
        </w:rPr>
        <w:t xml:space="preserve">, </w:t>
      </w:r>
      <w:r>
        <w:rPr>
          <w:rtl w:val="true"/>
        </w:rPr>
        <w:t>ולא מתעורר שום חשש לעיוות 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 xml:space="preserve">אפנה לדון בטענות המערער ביחס להפסקת ההליכים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ואשפוזו הכפוי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אפרט תחילה במידת מה את המסגרת הנורמטיבית הרלוונטית לענייננו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שתי הוראות חוק עיקריות נועדו להתמודד עם מצב שבו ניצב עניינו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לפני בית המשפט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המהותית</w:t>
      </w:r>
      <w:r>
        <w:rPr>
          <w:rtl w:val="true"/>
        </w:rPr>
        <w:t xml:space="preserve">, </w:t>
      </w:r>
      <w:r>
        <w:rPr>
          <w:rtl w:val="true"/>
        </w:rPr>
        <w:t>העוסקת במצבו הנפשי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</w:t>
      </w:r>
      <w:r>
        <w:rPr>
          <w:rFonts w:ascii="Century" w:hAnsi="Century" w:cs="Century"/>
          <w:sz w:val="22"/>
          <w:sz w:val="22"/>
          <w:rtl w:val="true"/>
        </w:rPr>
        <w:t>ש בעת ביצוע המעשים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מעוגנת </w:t>
      </w:r>
      <w:hyperlink r:id="rId3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ולפיה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שפיות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סייג</w:t>
      </w:r>
      <w:r>
        <w:rPr>
          <w:rtl w:val="true"/>
        </w:rPr>
        <w:t xml:space="preserve"> </w:t>
      </w:r>
      <w:r>
        <w:rPr>
          <w:rtl w:val="true"/>
        </w:rPr>
        <w:t>לאחריות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36-26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7.3.2018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וההוראה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המתמקדת במצבו הנפשי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Fonts w:ascii="Century" w:hAnsi="Century" w:cs="Century"/>
          <w:sz w:val="22"/>
          <w:sz w:val="22"/>
          <w:rtl w:val="true"/>
        </w:rPr>
        <w:t>פש בעת ניהול ההליך הפלילי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כאמור </w:t>
      </w:r>
      <w:hyperlink r:id="rId3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170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4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ולפיה לא ינוהל </w:t>
      </w:r>
      <w:r>
        <w:rPr>
          <w:rFonts w:ascii="Century" w:hAnsi="Century" w:cs="Century"/>
          <w:sz w:val="22"/>
          <w:sz w:val="22"/>
          <w:rtl w:val="true"/>
        </w:rPr>
        <w:t>הליך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פלילי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נגד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נאשם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חולה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נפש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אשר לא </w:t>
      </w:r>
      <w:r>
        <w:rPr>
          <w:rFonts w:ascii="Century" w:hAnsi="Century" w:cs="Century"/>
          <w:sz w:val="22"/>
          <w:sz w:val="22"/>
          <w:rtl w:val="true"/>
        </w:rPr>
        <w:t>מסוגל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לעמוד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לדין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מחלתו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בהרחבה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2531/19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</w:rPr>
        <w:t>.2021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מלבד ההבדל ביחס למיקום על ציר זמן ההליך הפלילי</w:t>
      </w:r>
      <w:r>
        <w:rPr>
          <w:rtl w:val="true"/>
        </w:rPr>
        <w:t xml:space="preserve">, </w:t>
      </w:r>
      <w:r>
        <w:rPr>
          <w:rtl w:val="true"/>
        </w:rPr>
        <w:t>ישנה משמעות מעשית שונה ליישום כל אחת מהוראות חוק אלו באשר לאופן סיום ההליך הפלילי נגד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בעוד שהליך לפי ההוראה המהותית מתמקד במידת אחריותו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לעבירה הפלילית ומוביל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לזיכוי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וחנון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3.2.2015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הליך שמתקיים לפי ההוראה הדיונית מתייחס רק לאפשרות לקיום משפט לבירור אשמתו</w:t>
      </w:r>
      <w:r>
        <w:rPr>
          <w:rtl w:val="true"/>
        </w:rPr>
        <w:t xml:space="preserve">, </w:t>
      </w:r>
      <w:r>
        <w:rPr>
          <w:rtl w:val="true"/>
        </w:rPr>
        <w:t xml:space="preserve">ומוביל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להפסקת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הליכים</w:t>
      </w:r>
      <w:r>
        <w:rPr>
          <w:rtl w:val="true"/>
        </w:rPr>
        <w:t xml:space="preserve"> בשלב זה</w:t>
      </w:r>
      <w:r>
        <w:rPr>
          <w:rtl w:val="true"/>
        </w:rPr>
        <w:t xml:space="preserve">, </w:t>
      </w:r>
      <w:r>
        <w:rPr>
          <w:rtl w:val="true"/>
        </w:rPr>
        <w:t>כך שהיה והנאשם ישוחרר מאשפוז</w:t>
      </w:r>
      <w:r>
        <w:rPr>
          <w:rtl w:val="true"/>
        </w:rPr>
        <w:t xml:space="preserve">, </w:t>
      </w:r>
      <w:r>
        <w:rPr>
          <w:rtl w:val="true"/>
        </w:rPr>
        <w:t xml:space="preserve">היועץ המשפטי לממשלה רשאי להורות כי יועמד לדין מחדש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אשקר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  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לנפקויות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הבא</w:t>
      </w:r>
      <w:r>
        <w:rPr>
          <w:rtl w:val="true"/>
        </w:rPr>
        <w:t xml:space="preserve">, </w:t>
      </w:r>
      <w:r>
        <w:rPr>
          <w:rtl w:val="true"/>
        </w:rPr>
        <w:t xml:space="preserve">שתי הוראות החוק מובילות </w:t>
      </w:r>
      <w:hyperlink r:id="rId45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ההוראה המהותית וזיכוי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מנחות כי בית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יצווה</w:t>
      </w:r>
      <w:r>
        <w:rPr>
          <w:rtl w:val="true"/>
        </w:rPr>
        <w:t xml:space="preserve"> על אשפוזו הכפוי או על קבלת טיפול מרפאתי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טיפול בחולי נפש</w:t>
      </w:r>
      <w:r>
        <w:rPr>
          <w:rtl w:val="true"/>
        </w:rPr>
        <w:t xml:space="preserve">), </w:t>
      </w:r>
      <w:r>
        <w:rPr>
          <w:rtl w:val="true"/>
        </w:rPr>
        <w:t xml:space="preserve">ואילו ההוראה הדיונית והפסקת ההליכים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מאפשרים</w:t>
      </w:r>
      <w:r>
        <w:rPr>
          <w:rtl w:val="true"/>
        </w:rPr>
        <w:t xml:space="preserve"> לבית המשפט להורות על אשפוזו הכפוי או על קבלת טיפול מרפאתי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טיפול בחולי נפש</w:t>
      </w:r>
      <w:r>
        <w:rPr>
          <w:rtl w:val="true"/>
        </w:rPr>
        <w:t xml:space="preserve">). </w:t>
      </w:r>
      <w:r>
        <w:rPr>
          <w:rtl w:val="true"/>
        </w:rPr>
        <w:t>בין כך ובין כך</w:t>
      </w:r>
      <w:r>
        <w:rPr>
          <w:rtl w:val="true"/>
        </w:rPr>
        <w:t xml:space="preserve">, </w:t>
      </w:r>
      <w:r>
        <w:rPr>
          <w:rtl w:val="true"/>
        </w:rPr>
        <w:t xml:space="preserve">תקופת האשפוז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המרבית</w:t>
      </w:r>
      <w:r>
        <w:rPr>
          <w:rtl w:val="true"/>
        </w:rPr>
        <w:t xml:space="preserve"> תהיה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כתקופת המאסר המרבית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נדירים ביותר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כמפורט לעיל בהרחבה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כאשר לא זיכה אותו מאחריות פלילית למעשיו או לחלופין כאשר לא ייחס לו עבירה אחרת קלה מעבירת ניסיון לרצח</w:t>
      </w:r>
      <w:r>
        <w:rPr>
          <w:rtl w:val="true"/>
        </w:rPr>
        <w:t xml:space="preserve">. </w:t>
      </w:r>
      <w:r>
        <w:rPr>
          <w:rtl w:val="true"/>
        </w:rPr>
        <w:t>אף נטען כי ממילא היה על בית המשפט המחוזי לקצוב עבורו תקופת אשפוז מרבית הקצרה מתקופת המאסר המרבית בגין עבירת ניסיון לרצח</w:t>
      </w:r>
      <w:r>
        <w:rPr>
          <w:rtl w:val="true"/>
        </w:rPr>
        <w:t xml:space="preserve">. </w:t>
      </w:r>
      <w:r>
        <w:rPr>
          <w:rtl w:val="true"/>
        </w:rPr>
        <w:t>כפי שאפרט להלן</w:t>
      </w:r>
      <w:r>
        <w:rPr>
          <w:rtl w:val="true"/>
        </w:rPr>
        <w:t xml:space="preserve">, </w:t>
      </w:r>
      <w:r>
        <w:rPr>
          <w:rtl w:val="true"/>
        </w:rPr>
        <w:t>בשלוש טענות אלו אין ממש ודינן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ביחס לסיווג סיום ההליך </w:t>
      </w:r>
      <w:r>
        <w:rPr>
          <w:rtl w:val="true"/>
        </w:rPr>
        <w:t>–</w:t>
      </w:r>
      <w:r>
        <w:rPr>
          <w:rtl w:val="true"/>
        </w:rPr>
        <w:t xml:space="preserve"> זיכוי או הפסקת הליכים</w:t>
      </w:r>
      <w:r>
        <w:rPr>
          <w:rtl w:val="true"/>
        </w:rPr>
        <w:t xml:space="preserve">. </w:t>
      </w:r>
      <w:r>
        <w:rPr>
          <w:rtl w:val="true"/>
        </w:rPr>
        <w:t>בעניינו של המערער</w:t>
      </w:r>
      <w:r>
        <w:rPr>
          <w:rtl w:val="true"/>
        </w:rPr>
        <w:t xml:space="preserve">, </w:t>
      </w:r>
      <w:r>
        <w:rPr>
          <w:rtl w:val="true"/>
        </w:rPr>
        <w:t>הוגשו כאמור שתי חוות דעת פסיכיאטריות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מהן עולה הן כי בעת ביצוע המעשים המיוחסים לו הוא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היה שרוי במצב פסיכוטי הלוצינטורי פעיל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Century"/>
          <w:sz w:val="22"/>
          <w:sz w:val="22"/>
          <w:rtl w:val="true"/>
        </w:rPr>
        <w:t>לא היה יכול להימנע מהמעשים שבהם הוא מואשם ולכן לא אחראי על מעשיו באותו עת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הן כי במועד ניהול ההליך הפלילי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עדיין שרוי במצב פסיכוטי פרנואידי פעיל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Century"/>
          <w:sz w:val="22"/>
          <w:sz w:val="22"/>
          <w:rtl w:val="true"/>
        </w:rPr>
        <w:t>לא מסוגל לעמוד לדין ולעקוב אחרי הליכי משפט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במצב דברים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האכסניה המתאימה לבירור סיווג סיום ההליך היא לפי הלכ</w:t>
      </w:r>
      <w:r>
        <w:rPr>
          <w:rtl w:val="true"/>
        </w:rPr>
        <w:t xml:space="preserve">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נכון עשה בית המשפט המחוזי אשר הורה על הפסקת הליכים לפי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שלא מתקיימים התנאים המצטברים המובילים לזיכוי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לפי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בפרט ביחס לתנאי השני שלפיו על הסניגור להצהיר כי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בעוד שלפני בית המשפט המחוזי הסנגור הבהיר והדגיש ב</w:t>
      </w:r>
      <w:r>
        <w:rPr>
          <w:rtl w:val="true"/>
        </w:rPr>
        <w:t>"</w:t>
      </w:r>
      <w:r>
        <w:rPr>
          <w:rtl w:val="true"/>
        </w:rPr>
        <w:t>רחל בתך הקטנה</w:t>
      </w:r>
      <w:r>
        <w:rPr>
          <w:rtl w:val="true"/>
        </w:rPr>
        <w:t xml:space="preserve">"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מדגיש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כלשהי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16.6.2020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7-4</w:t>
      </w:r>
      <w:r>
        <w:rPr>
          <w:rtl w:val="true"/>
        </w:rPr>
        <w:t xml:space="preserve">). </w:t>
      </w:r>
      <w:r>
        <w:rPr>
          <w:rtl w:val="true"/>
        </w:rPr>
        <w:t>מדובר בעמדה מקצועית וסבירה מצד הסנגור המתעקש על כך שהמערער לא יודה במעשה העבירה שיוחס לו</w:t>
      </w:r>
      <w:r>
        <w:rPr>
          <w:rtl w:val="true"/>
        </w:rPr>
        <w:t xml:space="preserve">, </w:t>
      </w:r>
      <w:r>
        <w:rPr>
          <w:rtl w:val="true"/>
        </w:rPr>
        <w:t xml:space="preserve">גם אילו ייתכן שההשלכה של בחירה זו היא סיום ההליך בדרך של הפסקת הליכים ולא בזיכויו מאחריות פלילית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הואיל ואין הסכמה בין התביעה</w:t>
      </w:r>
      <w:r>
        <w:rPr>
          <w:rtl w:val="true"/>
        </w:rPr>
        <w:t xml:space="preserve">, </w:t>
      </w:r>
      <w:r>
        <w:rPr>
          <w:rtl w:val="true"/>
        </w:rPr>
        <w:t xml:space="preserve">ההגנה ובית המשפט ביחס למצב העובדתי של התרחשות מעשה העבירה </w:t>
      </w:r>
      <w:r>
        <w:rPr>
          <w:rtl w:val="true"/>
        </w:rPr>
        <w:t>–</w:t>
      </w:r>
      <w:r>
        <w:rPr>
          <w:rtl w:val="true"/>
        </w:rPr>
        <w:t xml:space="preserve"> אין מקום להורות על זיכויו של המערער מהעבירה שיוחסה לו כי אם להורות רק על הפסקת הליכים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 xml:space="preserve">לעבירה אשר יוחסה למערער </w:t>
      </w:r>
      <w:r>
        <w:rPr>
          <w:rtl w:val="true"/>
        </w:rPr>
        <w:t>–</w:t>
      </w:r>
      <w:r>
        <w:rPr>
          <w:rtl w:val="true"/>
        </w:rPr>
        <w:t xml:space="preserve"> עבירת ניסיון לרצח</w:t>
      </w:r>
      <w:r>
        <w:rPr>
          <w:rtl w:val="true"/>
        </w:rPr>
        <w:t xml:space="preserve">. </w:t>
      </w:r>
      <w:r>
        <w:rPr>
          <w:rtl w:val="true"/>
        </w:rPr>
        <w:t>בצדק טוען בא</w:t>
      </w:r>
      <w:r>
        <w:rPr>
          <w:rtl w:val="true"/>
        </w:rPr>
        <w:t>-</w:t>
      </w:r>
      <w:r>
        <w:rPr>
          <w:rtl w:val="true"/>
        </w:rPr>
        <w:t>כוח המערער כי לקביעת העבירה אשר תיוחס למערער</w:t>
      </w:r>
      <w:r>
        <w:rPr>
          <w:rtl w:val="true"/>
        </w:rPr>
        <w:t xml:space="preserve">, </w:t>
      </w:r>
      <w:r>
        <w:rPr>
          <w:rtl w:val="true"/>
        </w:rPr>
        <w:t>ישנה השפעה מעשית ומשמעותית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ביחס לתקופת האשפוז המרבית אשר תהא כתקופת המאסר המרבית בעבירת ניסיון לרצח</w:t>
      </w:r>
      <w:r>
        <w:rPr>
          <w:rtl w:val="true"/>
        </w:rPr>
        <w:t xml:space="preserve">; </w:t>
      </w:r>
      <w:r>
        <w:rPr>
          <w:rtl w:val="true"/>
        </w:rPr>
        <w:t>הסדרי הפיקוח השונים החלים על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בעבירות רצח או ניסיון לרצח לבין נאשם בעבירות אחרות</w:t>
      </w:r>
      <w:r>
        <w:rPr>
          <w:rtl w:val="true"/>
        </w:rPr>
        <w:t xml:space="preserve">, </w:t>
      </w:r>
      <w:r>
        <w:rPr>
          <w:rtl w:val="true"/>
        </w:rPr>
        <w:t>קלות מהן</w:t>
      </w:r>
      <w:r>
        <w:rPr>
          <w:rtl w:val="true"/>
        </w:rPr>
        <w:t xml:space="preserve">; </w:t>
      </w:r>
      <w:r>
        <w:rPr>
          <w:rtl w:val="true"/>
        </w:rPr>
        <w:t xml:space="preserve">ואף בשל ההיבטים החברתיים הנלווים לעבירה כזו או אחרת המיוחסת לנאשם </w:t>
      </w:r>
      <w:r>
        <w:rPr>
          <w:rtl w:val="true"/>
        </w:rPr>
        <w:t>(</w:t>
      </w:r>
      <w:r>
        <w:rPr>
          <w:rtl w:val="true"/>
        </w:rPr>
        <w:t xml:space="preserve">דברי ההסבר להצעת 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668</w:t>
      </w:r>
      <w:r>
        <w:rPr>
          <w:rtl w:val="true"/>
        </w:rPr>
        <w:t xml:space="preserve">, </w:t>
      </w:r>
      <w:r>
        <w:rPr/>
        <w:t>668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לצורך מתן צו אשפוז עבור נאשם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חולה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נפש אשר הופסקו ההליכים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בית המשפט להשתכנע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המבוסס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שבכתב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המדובר ב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הנוגעות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שבעבירה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מבלי שנדרש להוכיח את יסודות המחשבה הפלילית והאשמה </w:t>
      </w:r>
      <w:r>
        <w:rPr>
          <w:rFonts w:cs="Century" w:ascii="Century" w:hAnsi="Century"/>
          <w:rtl w:val="true"/>
        </w:rPr>
        <w:t>(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3083/17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</w:rPr>
        <w:t>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עובדות התרחשות מעשה העבירה בענייננו אינן מותירות ספק בכך שישנן די והותר ראיות לכאורה לביצוע עבירת ניסיון לרצח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במשך דקות ארוכות המערער דקר שוב ושוב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בעודו צועק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 צריכה למות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צריך להרוג אותך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לרצוח אותך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וזאת תוך שהמתלוננת זועקת ומתחננת על חייה ללא הועיל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ניסיונות המתלוננת לחמוק מתקיפת המערער כשלו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בעודו דוקר אותה שוב ושוב בפלג גופה העליון והיא נואשת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אוחזת בלהב הסכין על מנת לעצור בעדו מלהמשיך ולדקור 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המשיך ואחז בחולצתה ובידה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היא מנסה להדוף אותו כדי להיחלץ מידיו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כתוצאה ממאבק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נותרה עירומה בפלג גופה העליון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כשהצליחה לצאת מהחדר לעבר המטבח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נתקלה בדלת הבית הנעולה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המערער השיגה והמשיך לדקור אותה על מנת למנוע ממנה לצאת מהבית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אשר הצליחה למלט נפשה אל חצר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זעקה לעזרה בעוד המערער בעקבותיה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סכינו בידו והוא קורא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תמותי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איך את לא מתה עדיין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רק לאחר שאדם אחר שמע את זעקות העזרה של המתלוננת וחצץ בינה לבין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חדל ממעשיו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למתלוננת נגרמו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דקירות וחתכים לרבות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למול התרחשות עובדתית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ליתן משקל לדברי המערער כי ביסוד הנפשי שמאחורי מעשיו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התכוון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לרצוח את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גם שעל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מדבריו של המערער כאמור במהלך אירוע הניסיון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מתקבל רושם אחר וברור אף ביחס ליסוד הנפשי שנלווה למעשיו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זה מכבר כי על מנת שבית המשפט ימיר את סעיף העבירה המיוחס לנאשם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חולה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נפש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ילמדו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מובהק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הנבחר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להפסקת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ניכר כי נסיבות ענייננו אינן צולחות משוכה גבוהה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משההתרחשות העובדתית מלמדת היטב על ראיות לכאורה לביצוע עבירת ניסיון לרצח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מן המקובץ אף עולה כי בדין ניתן צו אשפוז לתקופה מרבית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 כתקופת המאסר המרבית בעבירת ניסיון לרצח</w:t>
      </w:r>
      <w:r>
        <w:rPr>
          <w:rtl w:val="true"/>
        </w:rPr>
        <w:t xml:space="preserve">, </w:t>
      </w:r>
      <w:r>
        <w:rPr>
          <w:rtl w:val="true"/>
        </w:rPr>
        <w:t>הואיל ולא מדובר בכך ש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מקילות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המצדיק קביעת תקופת אשפוז מרבית קצרה יותר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" 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tl w:val="true"/>
        </w:rPr>
        <w:t xml:space="preserve">", </w:t>
      </w:r>
      <w:r>
        <w:rPr>
          <w:rtl w:val="true"/>
        </w:rPr>
        <w:t>כהגדרת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וטכני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במיעוטם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).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?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 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פרופורציה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בשקלול האמור</w:t>
      </w:r>
      <w:r>
        <w:rPr>
          <w:rtl w:val="true"/>
        </w:rPr>
        <w:t xml:space="preserve">, </w:t>
      </w:r>
      <w:r>
        <w:rPr>
          <w:rtl w:val="true"/>
        </w:rPr>
        <w:t xml:space="preserve">נכון עשה בית המשפט המחוזי אשר פסע בדרך הכלל שלפי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ונתן צו אשפוז עבור המערער לתקופה מרבית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 כתקופת המאסר המרבית בעבירת ניסיון לרצח</w:t>
      </w:r>
      <w:r>
        <w:rPr>
          <w:rtl w:val="true"/>
        </w:rPr>
        <w:t xml:space="preserve">. </w:t>
      </w:r>
      <w:r>
        <w:rPr>
          <w:rtl w:val="true"/>
        </w:rPr>
        <w:t>עובדות מעשה העבירה מדברות בעד עצמן ומלמדות על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דקר פעם אחר פעם את המתלוננת </w:t>
      </w:r>
      <w:r>
        <w:rPr>
          <w:rtl w:val="true"/>
        </w:rPr>
        <w:t>–</w:t>
      </w:r>
      <w:r>
        <w:rPr>
          <w:rtl w:val="true"/>
        </w:rPr>
        <w:t xml:space="preserve"> גיסתו </w:t>
      </w:r>
      <w:r>
        <w:rPr>
          <w:rtl w:val="true"/>
        </w:rPr>
        <w:t>–</w:t>
      </w:r>
      <w:r>
        <w:rPr>
          <w:rtl w:val="true"/>
        </w:rPr>
        <w:t xml:space="preserve"> נעל אותה בבית</w:t>
      </w:r>
      <w:r>
        <w:rPr>
          <w:rtl w:val="true"/>
        </w:rPr>
        <w:t xml:space="preserve">, </w:t>
      </w:r>
      <w:r>
        <w:rPr>
          <w:rtl w:val="true"/>
        </w:rPr>
        <w:t>ניהל אחריה מרדף אלים תוך שהוא ממשיך ודוקר אותה</w:t>
      </w:r>
      <w:r>
        <w:rPr>
          <w:rtl w:val="true"/>
        </w:rPr>
        <w:t xml:space="preserve">, </w:t>
      </w:r>
      <w:r>
        <w:rPr>
          <w:rtl w:val="true"/>
        </w:rPr>
        <w:t>מתעלם מתחינותיה כי יחוס על חייה ומלווה את מעשיו בהתבטאויות אשר יש בהן כדי לבטא את רצונו לגרום למותה באופן שאינו משתמע לשני פנים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במטרה לגרום למותה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 מקום לשקילת שיקולים שעניינם אחריות</w:t>
      </w:r>
      <w:r>
        <w:rPr>
          <w:rtl w:val="true"/>
        </w:rPr>
        <w:t xml:space="preserve">, </w:t>
      </w:r>
      <w:r>
        <w:rPr>
          <w:rtl w:val="true"/>
        </w:rPr>
        <w:t>אשמה ונסיבותיו האישיות של המערער בקביעת תקופת האשפוז המרבית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כשמה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tl w:val="true"/>
        </w:rPr>
        <w:t>-</w:t>
      </w:r>
      <w:r>
        <w:rPr>
          <w:rtl w:val="true"/>
        </w:rPr>
        <w:t>חורין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אציע לחבריי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נדחה</w:t>
      </w:r>
      <w:r>
        <w:rPr>
          <w:rFonts w:ascii="Century" w:hAnsi="Century" w:cs="Century"/>
          <w:sz w:val="22"/>
          <w:sz w:val="22"/>
          <w:rtl w:val="true"/>
        </w:rPr>
        <w:t xml:space="preserve"> את הערעור על כל חלקיו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9.7.2023</w:t>
      </w:r>
      <w:r>
        <w:rPr>
          <w:rtl w:val="true"/>
        </w:rPr>
        <w:t xml:space="preserve">). </w:t>
      </w:r>
      <w:bookmarkEnd w:id="18"/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20053000</w:t>
      </w:r>
      <w:r>
        <w:rPr>
          <w:sz w:val="16"/>
          <w:rtl w:val="true"/>
        </w:rPr>
        <w:t>_</w:t>
      </w:r>
      <w:r>
        <w:rPr>
          <w:sz w:val="16"/>
        </w:rPr>
        <w:t>J23.docx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54678313-5300/20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5300/20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4873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70.a" TargetMode="External"/><Relationship Id="rId9" Type="http://schemas.openxmlformats.org/officeDocument/2006/relationships/hyperlink" Target="http://www.nevo.co.il/law/70314" TargetMode="External"/><Relationship Id="rId10" Type="http://schemas.openxmlformats.org/officeDocument/2006/relationships/hyperlink" Target="http://www.nevo.co.il/law/70314/15" TargetMode="External"/><Relationship Id="rId11" Type="http://schemas.openxmlformats.org/officeDocument/2006/relationships/hyperlink" Target="http://www.nevo.co.il/law/70314/15.a" TargetMode="External"/><Relationship Id="rId12" Type="http://schemas.openxmlformats.org/officeDocument/2006/relationships/hyperlink" Target="http://www.nevo.co.il/law/70314/15.b" TargetMode="External"/><Relationship Id="rId13" Type="http://schemas.openxmlformats.org/officeDocument/2006/relationships/hyperlink" Target="http://www.nevo.co.il/law/70314/15.d1" TargetMode="External"/><Relationship Id="rId14" Type="http://schemas.openxmlformats.org/officeDocument/2006/relationships/hyperlink" Target="http://www.nevo.co.il/law/70314/15.d1.2" TargetMode="External"/><Relationship Id="rId15" Type="http://schemas.openxmlformats.org/officeDocument/2006/relationships/hyperlink" Target="http://www.nevo.co.il/law/70314/15.d1.2a" TargetMode="External"/><Relationship Id="rId16" Type="http://schemas.openxmlformats.org/officeDocument/2006/relationships/hyperlink" Target="http://www.nevo.co.il/law/70314/2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0314" TargetMode="External"/><Relationship Id="rId21" Type="http://schemas.openxmlformats.org/officeDocument/2006/relationships/hyperlink" Target="http://www.nevo.co.il/case/26548735" TargetMode="External"/><Relationship Id="rId22" Type="http://schemas.openxmlformats.org/officeDocument/2006/relationships/hyperlink" Target="http://www.nevo.co.il/law/70301/305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law/74903/170.a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0314/15.a" TargetMode="External"/><Relationship Id="rId28" Type="http://schemas.openxmlformats.org/officeDocument/2006/relationships/hyperlink" Target="http://www.nevo.co.il/law/70314" TargetMode="External"/><Relationship Id="rId29" Type="http://schemas.openxmlformats.org/officeDocument/2006/relationships/hyperlink" Target="http://www.nevo.co.il/case/20798593" TargetMode="External"/><Relationship Id="rId30" Type="http://schemas.openxmlformats.org/officeDocument/2006/relationships/hyperlink" Target="http://www.nevo.co.il/case/29558792" TargetMode="External"/><Relationship Id="rId31" Type="http://schemas.openxmlformats.org/officeDocument/2006/relationships/hyperlink" Target="http://www.nevo.co.il/case/28396294" TargetMode="External"/><Relationship Id="rId32" Type="http://schemas.openxmlformats.org/officeDocument/2006/relationships/hyperlink" Target="http://www.nevo.co.il/law/74903/170.a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70314/15.a" TargetMode="External"/><Relationship Id="rId35" Type="http://schemas.openxmlformats.org/officeDocument/2006/relationships/hyperlink" Target="http://www.nevo.co.il/law/70314" TargetMode="External"/><Relationship Id="rId36" Type="http://schemas.openxmlformats.org/officeDocument/2006/relationships/hyperlink" Target="http://www.nevo.co.il/law/70301/34h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1651517" TargetMode="External"/><Relationship Id="rId39" Type="http://schemas.openxmlformats.org/officeDocument/2006/relationships/hyperlink" Target="http://www.nevo.co.il/law/74903/170.a" TargetMode="External"/><Relationship Id="rId40" Type="http://schemas.openxmlformats.org/officeDocument/2006/relationships/hyperlink" Target="http://www.nevo.co.il/law/74903" TargetMode="External"/><Relationship Id="rId41" Type="http://schemas.openxmlformats.org/officeDocument/2006/relationships/hyperlink" Target="http://www.nevo.co.il/case/25608107" TargetMode="External"/><Relationship Id="rId42" Type="http://schemas.openxmlformats.org/officeDocument/2006/relationships/hyperlink" Target="http://www.nevo.co.il/case/6887645" TargetMode="External"/><Relationship Id="rId43" Type="http://schemas.openxmlformats.org/officeDocument/2006/relationships/hyperlink" Target="http://www.nevo.co.il/law/70314/21" TargetMode="External"/><Relationship Id="rId44" Type="http://schemas.openxmlformats.org/officeDocument/2006/relationships/hyperlink" Target="http://www.nevo.co.il/law/70314" TargetMode="External"/><Relationship Id="rId45" Type="http://schemas.openxmlformats.org/officeDocument/2006/relationships/hyperlink" Target="http://www.nevo.co.il/law/70314/15" TargetMode="External"/><Relationship Id="rId46" Type="http://schemas.openxmlformats.org/officeDocument/2006/relationships/hyperlink" Target="http://www.nevo.co.il/law/70314" TargetMode="External"/><Relationship Id="rId47" Type="http://schemas.openxmlformats.org/officeDocument/2006/relationships/hyperlink" Target="http://www.nevo.co.il/law/70314/15.b" TargetMode="External"/><Relationship Id="rId48" Type="http://schemas.openxmlformats.org/officeDocument/2006/relationships/hyperlink" Target="http://www.nevo.co.il/law/70314/15.a" TargetMode="External"/><Relationship Id="rId49" Type="http://schemas.openxmlformats.org/officeDocument/2006/relationships/hyperlink" Target="http://www.nevo.co.il/law/70314/15.d1" TargetMode="External"/><Relationship Id="rId50" Type="http://schemas.openxmlformats.org/officeDocument/2006/relationships/hyperlink" Target="http://www.nevo.co.il/law/70314" TargetMode="External"/><Relationship Id="rId51" Type="http://schemas.openxmlformats.org/officeDocument/2006/relationships/hyperlink" Target="http://www.nevo.co.il/law/74903/170.a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law/70314" TargetMode="External"/><Relationship Id="rId54" Type="http://schemas.openxmlformats.org/officeDocument/2006/relationships/hyperlink" Target="http://www.nevo.co.il/case/22524554" TargetMode="External"/><Relationship Id="rId55" Type="http://schemas.openxmlformats.org/officeDocument/2006/relationships/hyperlink" Target="http://www.nevo.co.il/case/29334315" TargetMode="External"/><Relationship Id="rId56" Type="http://schemas.openxmlformats.org/officeDocument/2006/relationships/hyperlink" Target="http://www.nevo.co.il/law/70314/15.d1.2" TargetMode="External"/><Relationship Id="rId57" Type="http://schemas.openxmlformats.org/officeDocument/2006/relationships/hyperlink" Target="http://www.nevo.co.il/law/70314" TargetMode="External"/><Relationship Id="rId58" Type="http://schemas.openxmlformats.org/officeDocument/2006/relationships/hyperlink" Target="http://www.nevo.co.il/law/70314/15.d1.2a" TargetMode="External"/><Relationship Id="rId59" Type="http://schemas.openxmlformats.org/officeDocument/2006/relationships/hyperlink" Target="http://www.nevo.co.il/law/70314/15.d1.2" TargetMode="External"/><Relationship Id="rId60" Type="http://schemas.openxmlformats.org/officeDocument/2006/relationships/hyperlink" Target="http://www.nevo.co.il/law/70314" TargetMode="External"/><Relationship Id="rId61" Type="http://schemas.openxmlformats.org/officeDocument/2006/relationships/hyperlink" Target="https://supreme.court.gov.il/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2023-07-10T10:48:00Z</dcterms:created>
  <dc:creator>h4</dc:creator>
  <dc:description/>
  <cp:keywords/>
  <dc:language>en-IL</dc:language>
  <cp:lastModifiedBy>h1</cp:lastModifiedBy>
  <cp:lastPrinted>2023-07-09T07:02:00Z</cp:lastPrinted>
  <dcterms:modified xsi:type="dcterms:W3CDTF">2023-07-10T10:48:00Z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26548735:2;20798593;29558792;28396294;21651517;25608107;6887645;22524554;29334315</vt:lpwstr>
  </property>
  <property fmtid="{D5CDD505-2E9C-101B-9397-08002B2CF9AE}" pid="9" name="CITY">
    <vt:lpwstr/>
  </property>
  <property fmtid="{D5CDD505-2E9C-101B-9397-08002B2CF9AE}" pid="10" name="DATE">
    <vt:lpwstr>20230709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שטיין;ח' כבוב</vt:lpwstr>
  </property>
  <property fmtid="{D5CDD505-2E9C-101B-9397-08002B2CF9AE}" pid="14" name="LAWLISTTMP1">
    <vt:lpwstr>70301/305.1;192;034h</vt:lpwstr>
  </property>
  <property fmtid="{D5CDD505-2E9C-101B-9397-08002B2CF9AE}" pid="15" name="LAWLISTTMP2">
    <vt:lpwstr>74903/170.a:4</vt:lpwstr>
  </property>
  <property fmtid="{D5CDD505-2E9C-101B-9397-08002B2CF9AE}" pid="16" name="LAWLISTTMP3">
    <vt:lpwstr>70314/015.a:3;021;015;015.b;015.d1;015.d1.2:2;015.d1.2a</vt:lpwstr>
  </property>
  <property fmtid="{D5CDD505-2E9C-101B-9397-08002B2CF9AE}" pid="17" name="LAWYER">
    <vt:lpwstr>עידית פרג'ון;מתן לקר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דיון פלילי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18;18;77;77;18</vt:lpwstr>
  </property>
  <property fmtid="{D5CDD505-2E9C-101B-9397-08002B2CF9AE}" pid="39" name="NOSE21">
    <vt:lpwstr>בירור האשמה</vt:lpwstr>
  </property>
  <property fmtid="{D5CDD505-2E9C-101B-9397-08002B2CF9AE}" pid="40" name="NOSE210">
    <vt:lpwstr/>
  </property>
  <property fmtid="{D5CDD505-2E9C-101B-9397-08002B2CF9AE}" pid="41" name="NOSE22">
    <vt:lpwstr>מחלת נפש</vt:lpwstr>
  </property>
  <property fmtid="{D5CDD505-2E9C-101B-9397-08002B2CF9AE}" pid="42" name="NOSE23">
    <vt:lpwstr>הגנות</vt:lpwstr>
  </property>
  <property fmtid="{D5CDD505-2E9C-101B-9397-08002B2CF9AE}" pid="43" name="NOSE24">
    <vt:lpwstr>עבירות</vt:lpwstr>
  </property>
  <property fmtid="{D5CDD505-2E9C-101B-9397-08002B2CF9AE}" pid="44" name="NOSE25">
    <vt:lpwstr>חולי נפש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449;483;1431;1443;470</vt:lpwstr>
  </property>
  <property fmtid="{D5CDD505-2E9C-101B-9397-08002B2CF9AE}" pid="50" name="NOSE31">
    <vt:lpwstr>הפסקת ההליך</vt:lpwstr>
  </property>
  <property fmtid="{D5CDD505-2E9C-101B-9397-08002B2CF9AE}" pid="51" name="NOSE310">
    <vt:lpwstr/>
  </property>
  <property fmtid="{D5CDD505-2E9C-101B-9397-08002B2CF9AE}" pid="52" name="NOSE32">
    <vt:lpwstr>אי-יכולת לעמוד לדין</vt:lpwstr>
  </property>
  <property fmtid="{D5CDD505-2E9C-101B-9397-08002B2CF9AE}" pid="53" name="NOSE33">
    <vt:lpwstr>אי-שפיות</vt:lpwstr>
  </property>
  <property fmtid="{D5CDD505-2E9C-101B-9397-08002B2CF9AE}" pid="54" name="NOSE34">
    <vt:lpwstr>ניסיון לרצח</vt:lpwstr>
  </property>
  <property fmtid="{D5CDD505-2E9C-101B-9397-08002B2CF9AE}" pid="55" name="NOSE35">
    <vt:lpwstr>אשפוז כפוי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3565;3733;8667;8867;3652</vt:lpwstr>
  </property>
  <property fmtid="{D5CDD505-2E9C-101B-9397-08002B2CF9AE}" pid="61" name="PADIDATE">
    <vt:lpwstr>20230709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5300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410120230709</vt:lpwstr>
  </property>
  <property fmtid="{D5CDD505-2E9C-101B-9397-08002B2CF9AE}" pid="71" name="TYPE_N_DATE">
    <vt:lpwstr>41020230709</vt:lpwstr>
  </property>
  <property fmtid="{D5CDD505-2E9C-101B-9397-08002B2CF9AE}" pid="72" name="VOLUME">
    <vt:lpwstr/>
  </property>
  <property fmtid="{D5CDD505-2E9C-101B-9397-08002B2CF9AE}" pid="73" name="WORDNUMPAGES">
    <vt:lpwstr>13</vt:lpwstr>
  </property>
</Properties>
</file>