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6"/>
          <w:szCs w:val="30"/>
        </w:rPr>
      </w:pPr>
      <w:r>
        <w:rPr>
          <w:rFonts w:cs="Miriam"/>
          <w:b/>
          <w:bCs/>
          <w:sz w:val="26"/>
          <w:szCs w:val="3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5330/20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6181/20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8"/>
          <w:szCs w:val="32"/>
        </w:rPr>
      </w:pPr>
      <w:r>
        <w:rPr>
          <w:rFonts w:cs="Miriam"/>
          <w:b/>
          <w:bCs/>
          <w:sz w:val="28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24"/>
          <w:szCs w:val="30"/>
        </w:rPr>
      </w:pPr>
      <w:r>
        <w:rPr>
          <w:rFonts w:cs="Miriam"/>
          <w:b/>
          <w:bCs/>
          <w:sz w:val="24"/>
          <w:szCs w:val="30"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  <w:sz w:val="28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5330/20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סמיר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ענבתאוי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  <w:sz w:val="28"/>
              </w:rPr>
            </w:pPr>
            <w:r>
              <w:rPr>
                <w:rFonts w:ascii="David;Times New Roman" w:hAnsi="David;Times New Roman"/>
                <w:sz w:val="28"/>
                <w:sz w:val="28"/>
                <w:rtl w:val="true"/>
              </w:rPr>
              <w:t>המשיבה בע</w:t>
            </w:r>
            <w:r>
              <w:rPr>
                <w:rFonts w:cs="David;Times New Roman" w:ascii="David;Times New Roman" w:hAnsi="David;Times New Roman"/>
                <w:sz w:val="28"/>
                <w:rtl w:val="true"/>
              </w:rPr>
              <w:t>"</w:t>
            </w:r>
            <w:r>
              <w:rPr>
                <w:rFonts w:ascii="David;Times New Roman" w:hAnsi="David;Times New Roman"/>
                <w:sz w:val="28"/>
                <w:sz w:val="28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sz w:val="28"/>
              </w:rPr>
              <w:t>5330/20</w:t>
            </w:r>
            <w:r>
              <w:rPr>
                <w:rFonts w:cs="David;Times New Roman" w:ascii="David;Times New Roman" w:hAnsi="David;Times New Roman"/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18"/>
          <w:szCs w:val="24"/>
        </w:rPr>
      </w:pPr>
      <w:r>
        <w:rPr>
          <w:rFonts w:cs="Miriam"/>
          <w:b/>
          <w:bCs/>
          <w:sz w:val="18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  <w:sz w:val="28"/>
              </w:rPr>
            </w:pPr>
            <w:r>
              <w:rPr>
                <w:rFonts w:ascii="David;Times New Roman" w:hAnsi="David;Times New Roman"/>
                <w:sz w:val="28"/>
                <w:sz w:val="28"/>
                <w:rtl w:val="true"/>
              </w:rPr>
              <w:t>המערערת ב</w:t>
            </w:r>
            <w:r>
              <w:rPr>
                <w:rFonts w:ascii="David;Times New Roman" w:hAnsi="David;Times New Roman"/>
                <w:sz w:val="28"/>
                <w:sz w:val="28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sz w:val="28"/>
                <w:rtl w:val="true"/>
              </w:rPr>
              <w:t>"</w:t>
            </w:r>
            <w:r>
              <w:rPr>
                <w:rFonts w:ascii="David;Times New Roman" w:hAnsi="David;Times New Roman"/>
                <w:sz w:val="28"/>
                <w:sz w:val="28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sz w:val="28"/>
              </w:rPr>
              <w:t>6181/20</w:t>
            </w:r>
            <w:r>
              <w:rPr>
                <w:rFonts w:cs="David;Times New Roman" w:ascii="David;Times New Roman" w:hAnsi="David;Times New Roman"/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  <w:sz w:val="28"/>
              </w:rPr>
            </w:pPr>
            <w:r>
              <w:rPr>
                <w:rFonts w:ascii="David;Times New Roman" w:hAnsi="David;Times New Roman"/>
                <w:sz w:val="28"/>
                <w:sz w:val="28"/>
                <w:rtl w:val="true"/>
              </w:rPr>
              <w:t>המשיב</w:t>
            </w:r>
            <w:r>
              <w:rPr>
                <w:rFonts w:ascii="David;Times New Roman" w:hAnsi="David;Times New Roman"/>
                <w:sz w:val="28"/>
                <w:sz w:val="28"/>
                <w:rtl w:val="true"/>
              </w:rPr>
              <w:t>ים ב</w:t>
            </w:r>
            <w:r>
              <w:rPr>
                <w:rFonts w:ascii="David;Times New Roman" w:hAnsi="David;Times New Roman"/>
                <w:sz w:val="28"/>
                <w:sz w:val="28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sz w:val="28"/>
                <w:rtl w:val="true"/>
              </w:rPr>
              <w:t>"</w:t>
            </w:r>
            <w:r>
              <w:rPr>
                <w:rFonts w:ascii="David;Times New Roman" w:hAnsi="David;Times New Roman"/>
                <w:sz w:val="28"/>
                <w:sz w:val="28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sz w:val="28"/>
              </w:rPr>
              <w:t>6181/20</w:t>
            </w:r>
            <w:r>
              <w:rPr>
                <w:rFonts w:cs="David;Times New Roman" w:ascii="David;Times New Roman" w:hAnsi="David;Times New Roman"/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סובחי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חג</w:t>
            </w:r>
            <w:r>
              <w:rPr>
                <w:sz w:val="28"/>
                <w:rtl w:val="true"/>
              </w:rPr>
              <w:t>'</w:t>
            </w:r>
            <w:r>
              <w:rPr>
                <w:sz w:val="28"/>
                <w:sz w:val="28"/>
                <w:rtl w:val="true"/>
              </w:rPr>
              <w:t>יר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  <w:sz w:val="28"/>
              </w:rPr>
            </w:pPr>
            <w:r>
              <w:rPr>
                <w:rFonts w:cs="David;Times New Roman" w:ascii="David;Times New Roman" w:hAnsi="David;Times New Roman"/>
                <w:sz w:val="28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</w:t>
            </w:r>
            <w:r>
              <w:rPr>
                <w:sz w:val="28"/>
                <w:rtl w:val="true"/>
              </w:rPr>
              <w:t>'</w:t>
            </w:r>
            <w:r>
              <w:rPr>
                <w:sz w:val="28"/>
                <w:sz w:val="28"/>
                <w:rtl w:val="true"/>
              </w:rPr>
              <w:t>נאן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סבית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31"/>
        <w:spacing w:lineRule="auto" w:line="240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6"/>
                <w:sz w:val="26"/>
                <w:szCs w:val="26"/>
                <w:rtl w:val="true"/>
              </w:rPr>
              <w:t>ערעור</w:t>
            </w:r>
            <w:r>
              <w:rPr>
                <w:sz w:val="26"/>
                <w:sz w:val="26"/>
                <w:szCs w:val="26"/>
                <w:rtl w:val="true"/>
              </w:rPr>
              <w:t>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גזר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דינו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המחוזי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מיום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18.6</w:t>
            </w:r>
            <w:r>
              <w:rPr>
                <w:sz w:val="26"/>
                <w:szCs w:val="26"/>
              </w:rPr>
              <w:t>.2020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ומיום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20.7.2020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6"/>
                  <w:szCs w:val="26"/>
                  <w:u w:val="single"/>
                </w:rPr>
                <w:t>14456-01-19</w:t>
              </w:r>
            </w:hyperlink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6"/>
                <w:sz w:val="26"/>
                <w:szCs w:val="26"/>
                <w:rtl w:val="true"/>
              </w:rPr>
              <w:t>שנית</w:t>
            </w:r>
            <w:r>
              <w:rPr>
                <w:sz w:val="26"/>
                <w:sz w:val="26"/>
                <w:szCs w:val="26"/>
                <w:rtl w:val="true"/>
              </w:rPr>
              <w:t>נו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כב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טובי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</w:t>
            </w:r>
            <w:r>
              <w:rPr>
                <w:rtl w:val="true"/>
              </w:rPr>
              <w:t>(</w:t>
            </w:r>
            <w:r>
              <w:rPr/>
              <w:t>1.11.2020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5530/20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אוסאמה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חטיב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6181/20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והמשיבה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5330/20</w:t>
            </w:r>
            <w:r>
              <w:rPr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מירי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קולומבוס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6181/20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מסרי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6181/20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חורי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למבוגרים</w:t>
            </w:r>
            <w:r>
              <w:rPr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הגב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וייס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ערעור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5330/20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חומרת העונש שהושת עליו וקיבל את ערעור המדינה על קולת עונשם של המשיבים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6181/20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כולם הורשעו בעבירות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חריגה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עמידה על הצורך בהחמרת הענישה בעבירות הנדונות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סמיר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5330/20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והמשיבים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6181/20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סובחי וג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אחמד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הלאל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סמיר הורשע בעבירה של החזקה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נשיאה והובלה של נשק וכן בעבירה של עסקה אחרת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בשל כך נדון סמיר לעונש של </w:t>
      </w:r>
      <w:r>
        <w:rPr>
          <w:rFonts w:cs="Times New Roman" w:ascii="Times New Roman" w:hAnsi="Times New Roman"/>
          <w:spacing w:val="0"/>
          <w:szCs w:val="26"/>
        </w:rPr>
        <w:t>28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ולמאסרים 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סובחי וג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נאן הורשעו בעבירה של החזקה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נשיאה והובלה של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אחד מהם נדון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לריצוי בעבודות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וקנס בסך </w:t>
      </w:r>
      <w:r>
        <w:rPr>
          <w:rFonts w:cs="Times New Roman" w:ascii="Times New Roman" w:hAnsi="Times New Roman"/>
          <w:spacing w:val="0"/>
          <w:szCs w:val="26"/>
        </w:rPr>
        <w:t>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₪; </w:t>
      </w:r>
      <w:r>
        <w:rPr>
          <w:rFonts w:ascii="Times New Roman" w:hAnsi="Times New Roman" w:cs="Times New Roman"/>
          <w:spacing w:val="0"/>
          <w:szCs w:val="26"/>
          <w:rtl w:val="true"/>
        </w:rPr>
        <w:t>אחמד הורשע בסיוע לעבירה של החזקה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נשיאה והובלה של נשק ונדון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לריצוי בעבודות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מותנה וקנס בסך </w:t>
      </w:r>
      <w:r>
        <w:rPr>
          <w:rFonts w:cs="Times New Roman" w:ascii="Times New Roman" w:hAnsi="Times New Roman"/>
          <w:spacing w:val="0"/>
          <w:szCs w:val="26"/>
        </w:rPr>
        <w:t>3,000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הלאל הורשע בסיוע לעבירה של עסקה אחרת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שבערעור הועמד בהסכמת הצדדים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קרא ובהסכמת המשנה לנשיאה מלצר והשופט 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5330/20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6181/20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המדינה בא בגדר המקרים החריגים בהם יש להתערב בעונש שקבעה הערכאה הדיונית בשל טעות מהותית בגזר הדין או חריגה חריפה ממדיניות הענישה הראויה או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בלב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עומדת החומרה היתרה לביצוע עבירות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 הסכנה הממשית הגלומה בעבירות אלה לשלום הציבור ולביטחונו ועל הצורך במיגורן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זה על הצורך בהחמרת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עונשם של המעורבים בעבירות בנשק הוא מאסר ממושך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הם נעדרים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גם אם מדובר בבגירים צעירים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החומרה היתרה בעבירות אלו והסיכון הגבוה לשלום הציבור ניתן משקל רב יותר לאינטרס הציבורי ולשיקולי ההרתעה מאשר לנסיבות אישיות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גישה זו מיושמת גם במקרים שבהם נרכש הנשק למטרת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הגנה 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הבנה כי זמינות נשק בלתי חוקי מעודדת שימוש בו לביצוע עבירות ונושאת עמה פוטנציאל גבוה לפגיעה ממשית וקשה בביטחון הציבור ובשלומו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הודגשה החשיבות בענישה מוחשית לכל חוליה בשרשרת של עבירת הסחר בנשק תוך מתן משקל לנסיבות הרלוונטיות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העובדתיות כמו גם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לעקרון אחידות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בחינת עניינם של המשיבים ושל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מעלה כי יש לדחות את ערעורו של סמיר על חומרת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חלקו של סמיר בפרשה הוא המרכזי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כמי שקישר בין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נאן והלאל ואיפשר את ביצוע העסקה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למתווך בעסקאות בנשק תפקיד מרכזי בביצוען ובאפשרות להשלמת העסקה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עונשו של הלאל קל מעונשו של סמיר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אף שהלאל נטל חלק משמעותי בביצוע העסקה ולחובתו עמד עבר פלילי משמעותי מזה של סמיר בעבירות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שהוא הורשע כמסייע ועונשו נקבע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לראות בעונשו קנה מידה מכריע בקביעת עונשו של סמיר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השיקולים ביחס לעובדות הנוגעות לביצוע העבירות וביחס לנסיבות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עברו הפלילי הרלוונטי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הודאתו וחרטתו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ביטוי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ושירות המבחן לא בא בהמלצה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לא נמצא כי יש בטענותיו של סמיר ביחס לנסיבותיו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לתקופה שהייתו באיזוק אלקטרוני ולקשייו הכלכליים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הרף התחתון במתחם העונש שנקבע בעניינם של סובחי וג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שהועמד על </w:t>
      </w:r>
      <w:r>
        <w:rPr>
          <w:rFonts w:cs="Times New Roman" w:ascii="Times New Roman" w:hAnsi="Times New Roman"/>
          <w:spacing w:val="0"/>
          <w:szCs w:val="26"/>
        </w:rPr>
        <w:t>36-9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צריך להיות עונש שניתן לרצות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היה מקום לקבוע מתחמי ענישה נפרדים לכל אחד מהם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מעורבותו של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נאן היתה גדולה ומשמעותית מזו של סובחי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 יוזם עסקת הנשק ומי שהנשק נועד לצרכיו ולאור העובדה כי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נאן הוא זה שעמד בקשר רציף עם סמיר לשם מימושה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נכון להעמיד את מתחם העונש בעניינו של סובחי על </w:t>
      </w:r>
      <w:r>
        <w:rPr>
          <w:rFonts w:cs="Times New Roman" w:ascii="Times New Roman" w:hAnsi="Times New Roman"/>
          <w:spacing w:val="0"/>
          <w:szCs w:val="26"/>
        </w:rPr>
        <w:t>10-36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 מאסר ושל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נאן על </w:t>
      </w:r>
      <w:r>
        <w:rPr>
          <w:rFonts w:cs="Times New Roman" w:ascii="Times New Roman" w:hAnsi="Times New Roman"/>
          <w:spacing w:val="0"/>
          <w:szCs w:val="26"/>
        </w:rPr>
        <w:t>36-14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 סובחי וג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נאן חורג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וממדיניות הענישה הראויה בעבירות החזקה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הובלה ונשיאה של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 בענישה מחמירה בעבירות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חיוני גם בעבירות של החזקת נשק שלא כדין שלא לוו בעבירות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נכון היה ליתן משקל לגילו הצעיר של סובחי ולהעדר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ככלל אין בנסיבות אלו כדי להצדיק הימנעות ממאסר ממשי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אין בהמלצת שירות המבחן כדי להצדיק עונש שניתן לרצותו בעבודות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ההליך הטיפולי מצוי בהתחלה ולאור חומרת העבירות אין מקום להעדפת שיקולי שיקום תוך הימנעות מהטלת עונש מאסר ממשי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בעניינו של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נאן לא היה מקום להימנע מהשתת עונש מאסר לריצוי מאחורי סורג ובריח בהעדר המלצה טיפולית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ושינוי חיובי בגישתו אינו מצדיק ענישה ללא מאסר של ממש בייחוד בהיותו מי שיזם את עסקת הנשק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הסברים של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הגנה 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בהם כדי לפטור נאשם מענישה ממשית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עונשיהם של סובחי וג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נאן אינם משקפים כראוי את עקרון אחידות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עונשיהם חורגים במידה ניכרת מן הענישה הראויה ומצדיקים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ובהתאם לכלל כי אין ערכאת הערעור ממצה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להעמיד את עונשיהם בתחתית מתחמי הענישה ולדון את סובחי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ואת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נאן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 לשאר רכיבי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81"/>
        <w:ind w:end="0"/>
        <w:jc w:val="center"/>
        <w:rPr>
          <w:rFonts w:ascii="Times New Roman" w:hAnsi="Times New Roman" w:cs="Times New Roman"/>
          <w:color w:val="0000FF"/>
          <w:spacing w:val="0"/>
          <w:szCs w:val="24"/>
          <w:u w:val="single"/>
        </w:rPr>
      </w:pPr>
      <w:r>
        <w:rPr>
          <w:rFonts w:cs="Times New Roman"/>
          <w:color w:val="0000FF"/>
          <w:spacing w:val="0"/>
          <w:szCs w:val="24"/>
          <w:u w:val="single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ind w:end="0"/>
        <w:jc w:val="start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14456-01-19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18.6.2020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/>
        <w:t>0</w:t>
      </w:r>
      <w:r>
        <w:rPr/>
        <w:t>.</w:t>
      </w:r>
      <w:r>
        <w:rPr/>
        <w:t>7</w:t>
      </w:r>
      <w:r>
        <w:rPr/>
        <w:t>.2020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5330/20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 xml:space="preserve">המערער </w:t>
      </w:r>
      <w:r>
        <w:rPr>
          <w:rFonts w:ascii="FrankRuehl" w:hAnsi="FrankRuehl" w:cs="FrankRuehl"/>
          <w:sz w:val="28"/>
          <w:sz w:val="28"/>
          <w:rtl w:val="true"/>
        </w:rPr>
        <w:t>או</w:t>
      </w:r>
      <w:r>
        <w:rPr>
          <w:rFonts w:ascii="Miriam" w:hAnsi="Miriam" w:cs="Miriam"/>
          <w:szCs w:val="24"/>
          <w:rtl w:val="true"/>
        </w:rPr>
        <w:t xml:space="preserve"> סמיר</w:t>
      </w:r>
      <w:r>
        <w:rPr>
          <w:rtl w:val="true"/>
        </w:rPr>
        <w:t xml:space="preserve">) </w:t>
      </w:r>
      <w:r>
        <w:rPr>
          <w:rtl w:val="true"/>
        </w:rPr>
        <w:t>והמשיבים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6181/20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 xml:space="preserve">המשיבים </w:t>
      </w:r>
      <w:r>
        <w:rPr>
          <w:rFonts w:ascii="FrankRuehl" w:hAnsi="FrankRuehl" w:cs="FrankRuehl"/>
          <w:sz w:val="28"/>
          <w:sz w:val="28"/>
          <w:rtl w:val="true"/>
        </w:rPr>
        <w:t>או</w:t>
      </w:r>
      <w:r>
        <w:rPr>
          <w:rFonts w:ascii="Miriam" w:hAnsi="Miriam" w:cs="Miriam"/>
          <w:szCs w:val="24"/>
          <w:rtl w:val="true"/>
        </w:rPr>
        <w:t xml:space="preserve"> סובחי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Miriam" w:hAnsi="Miriam" w:cs="Miriam"/>
          <w:szCs w:val="24"/>
          <w:rtl w:val="true"/>
        </w:rPr>
        <w:t>ג</w:t>
      </w:r>
      <w:r>
        <w:rPr>
          <w:rFonts w:cs="Miriam" w:ascii="Miriam" w:hAnsi="Miriam"/>
          <w:szCs w:val="24"/>
          <w:rtl w:val="true"/>
        </w:rPr>
        <w:t>'</w:t>
      </w:r>
      <w:r>
        <w:rPr>
          <w:rFonts w:ascii="Miriam" w:hAnsi="Miriam" w:cs="Miriam"/>
          <w:szCs w:val="24"/>
          <w:rtl w:val="true"/>
        </w:rPr>
        <w:t>נאן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 xml:space="preserve">יחד עם שני נאשמים נוספים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אחמד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Miriam" w:hAnsi="Miriam" w:cs="Miriam"/>
          <w:szCs w:val="24"/>
          <w:rtl w:val="true"/>
        </w:rPr>
        <w:t>הלאל</w:t>
      </w:r>
      <w:r>
        <w:rPr>
          <w:rtl w:val="true"/>
        </w:rPr>
        <w:t xml:space="preserve">) </w:t>
      </w:r>
      <w:r>
        <w:rPr>
          <w:rtl w:val="true"/>
        </w:rPr>
        <w:t>בעבירות בנשק</w:t>
      </w:r>
      <w:r>
        <w:rPr>
          <w:rtl w:val="true"/>
        </w:rPr>
        <w:t xml:space="preserve">, </w:t>
      </w:r>
      <w:r>
        <w:rPr>
          <w:rtl w:val="true"/>
        </w:rPr>
        <w:t>על פי הודאתם בכתב אישום מאוחד מתוקן בשנית במסגרת הסדר טיעון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5330/20</w:t>
      </w:r>
      <w:r>
        <w:rPr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6181/20</w:t>
      </w:r>
      <w:r>
        <w:rPr>
          <w:rtl w:val="true"/>
        </w:rPr>
        <w:t xml:space="preserve"> </w:t>
      </w:r>
      <w:r>
        <w:rPr>
          <w:rtl w:val="true"/>
        </w:rPr>
        <w:t>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8"/>
          <w:szCs w:val="24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בשנית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18.12.2018</w:t>
      </w:r>
      <w:r>
        <w:rPr>
          <w:rtl w:val="true"/>
        </w:rPr>
        <w:t xml:space="preserve"> </w:t>
      </w:r>
      <w:r>
        <w:rPr>
          <w:rtl w:val="true"/>
        </w:rPr>
        <w:t>פנה ג</w:t>
      </w:r>
      <w:r>
        <w:rPr>
          <w:rtl w:val="true"/>
        </w:rPr>
        <w:t>'</w:t>
      </w:r>
      <w:r>
        <w:rPr>
          <w:rtl w:val="true"/>
        </w:rPr>
        <w:t>נאן לסמיר ואמר לו כי הוא מעוניין ברכישת אקדח תופי</w:t>
      </w:r>
      <w:r>
        <w:rPr>
          <w:rtl w:val="true"/>
        </w:rPr>
        <w:t xml:space="preserve">. </w:t>
      </w:r>
      <w:r>
        <w:rPr>
          <w:rtl w:val="true"/>
        </w:rPr>
        <w:t xml:space="preserve">לפיכך פנה סמיר להלאל וביום </w:t>
      </w:r>
      <w:r>
        <w:rPr/>
        <w:t>19.12.2018</w:t>
      </w:r>
      <w:r>
        <w:rPr>
          <w:rtl w:val="true"/>
        </w:rPr>
        <w:t xml:space="preserve"> </w:t>
      </w:r>
      <w:r>
        <w:rPr>
          <w:rtl w:val="true"/>
        </w:rPr>
        <w:t>עדכן את ג</w:t>
      </w:r>
      <w:r>
        <w:rPr>
          <w:rtl w:val="true"/>
        </w:rPr>
        <w:t>'</w:t>
      </w:r>
      <w:r>
        <w:rPr>
          <w:rtl w:val="true"/>
        </w:rPr>
        <w:t>נאן כי סיכם עם הלאל</w:t>
      </w:r>
      <w:r>
        <w:rPr>
          <w:rtl w:val="true"/>
        </w:rPr>
        <w:t xml:space="preserve">, </w:t>
      </w:r>
      <w:r>
        <w:rPr>
          <w:rtl w:val="true"/>
        </w:rPr>
        <w:t>שהאחרון יסייע לו באספקת האקדח לג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eastAsia="Arial TUR;Arial" w:cs="Arial TUR;Arial"/>
          <w:rtl w:val="true"/>
        </w:rPr>
        <w:t xml:space="preserve"> </w:t>
      </w:r>
      <w:r>
        <w:rPr/>
        <w:t>21-18.12.2018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הניידים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לעסקה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21.12.2018</w:t>
      </w:r>
      <w:r>
        <w:rPr>
          <w:rtl w:val="true"/>
        </w:rPr>
        <w:t xml:space="preserve"> </w:t>
      </w:r>
      <w:r>
        <w:rPr>
          <w:rtl w:val="true"/>
        </w:rPr>
        <w:t>סיכם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להסיעו</w:t>
      </w:r>
      <w:r>
        <w:rPr>
          <w:rtl w:val="true"/>
        </w:rPr>
        <w:t xml:space="preserve">.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והלאל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תופי</w:t>
      </w:r>
      <w:r>
        <w:rPr>
          <w:rtl w:val="true"/>
        </w:rPr>
        <w:t xml:space="preserve">. </w:t>
      </w:r>
      <w:r>
        <w:rPr>
          <w:rtl w:val="true"/>
        </w:rPr>
        <w:t>הלאל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שאיפשרו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למכנסיו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מחזיקים</w:t>
      </w:r>
      <w:r>
        <w:rPr>
          <w:rtl w:val="true"/>
        </w:rPr>
        <w:t xml:space="preserve">,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בידיעתו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ובסיועו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שנסע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בצמוד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עונשיהם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המעורבים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סמיר </w:t>
      </w:r>
      <w:r>
        <w:rPr>
          <w:rtl w:val="true"/>
        </w:rPr>
        <w:t>הורשע בעבירה של</w:t>
      </w:r>
      <w:r>
        <w:rPr>
          <w:rtl w:val="true"/>
        </w:rPr>
        <w:t xml:space="preserve"> החזקה</w:t>
      </w:r>
      <w:r>
        <w:rPr>
          <w:rtl w:val="true"/>
        </w:rPr>
        <w:t xml:space="preserve">, </w:t>
      </w:r>
      <w:r>
        <w:rPr>
          <w:rtl w:val="true"/>
        </w:rPr>
        <w:t>נשיאה והובלה של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>-</w:t>
      </w:r>
      <w:hyperlink r:id="rId11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יחד עם סעיף </w:t>
      </w:r>
      <w:hyperlink r:id="rId12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וכן בעבירה של עסקה אחרת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של כך </w:t>
      </w:r>
      <w:r>
        <w:rPr>
          <w:rtl w:val="true"/>
        </w:rPr>
        <w:t xml:space="preserve">נדון </w:t>
      </w:r>
      <w:r>
        <w:rPr>
          <w:rtl w:val="true"/>
        </w:rPr>
        <w:t>סמיר</w:t>
      </w:r>
      <w:r>
        <w:rPr>
          <w:rtl w:val="true"/>
        </w:rPr>
        <w:t xml:space="preserve"> לעונש של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ולמאסרים מותנים</w:t>
      </w:r>
      <w:r>
        <w:rPr>
          <w:rtl w:val="true"/>
        </w:rPr>
        <w:t xml:space="preserve">: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בגין כל עבירה של סחר בנשק שבה יורשע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בגין כל עבירה של נשיאה</w:t>
      </w:r>
      <w:r>
        <w:rPr>
          <w:rtl w:val="true"/>
        </w:rPr>
        <w:t xml:space="preserve">, </w:t>
      </w:r>
      <w:r>
        <w:rPr>
          <w:rtl w:val="true"/>
        </w:rPr>
        <w:t>החזקה והובלה של נשק שבה יורשע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29.10.2019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8354/19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4.3.2020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18.6.2020</w:t>
      </w:r>
      <w:r>
        <w:rPr>
          <w:rtl w:val="true"/>
        </w:rPr>
        <w:t xml:space="preserve"> </w:t>
      </w:r>
      <w:r>
        <w:rPr>
          <w:rtl w:val="true"/>
        </w:rPr>
        <w:t>נגזר דינו של סמיר וניתנה החלטה להפנות את המשיבים</w:t>
      </w:r>
      <w:r>
        <w:rPr>
          <w:rtl w:val="true"/>
        </w:rPr>
        <w:t xml:space="preserve">, </w:t>
      </w:r>
      <w:r>
        <w:rPr>
          <w:rtl w:val="true"/>
        </w:rPr>
        <w:t>סובחי 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tl w:val="true"/>
        </w:rPr>
        <w:t xml:space="preserve">, </w:t>
      </w:r>
      <w:r>
        <w:rPr>
          <w:rtl w:val="true"/>
        </w:rPr>
        <w:t>לממונה על עבודות השירות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עמד על החומרה היתרה הכרוכה בעבירות הנשק ועל הצורך בענישה מחמירה</w:t>
      </w:r>
      <w:r>
        <w:rPr>
          <w:rtl w:val="true"/>
        </w:rPr>
        <w:t xml:space="preserve">. </w:t>
      </w:r>
      <w:r>
        <w:rPr>
          <w:rtl w:val="true"/>
        </w:rPr>
        <w:t>בהתייחסו לנסיבות ביצוע העבירות ציין בית המשפט את התכנון המוקפד והתיאום בין המעורבים</w:t>
      </w:r>
      <w:r>
        <w:rPr>
          <w:rtl w:val="true"/>
        </w:rPr>
        <w:t xml:space="preserve">, </w:t>
      </w:r>
      <w:r>
        <w:rPr>
          <w:rtl w:val="true"/>
        </w:rPr>
        <w:t>את פוטנציאל הנזק הגדול בשימוש באקדח כמו גם את הזמן הקצר של עבירת ההחזקה</w:t>
      </w:r>
      <w:r>
        <w:rPr>
          <w:rtl w:val="true"/>
        </w:rPr>
        <w:t xml:space="preserve">, </w:t>
      </w:r>
      <w:r>
        <w:rPr>
          <w:rtl w:val="true"/>
        </w:rPr>
        <w:t xml:space="preserve">הנשיאה וההובלה של הנשק </w:t>
      </w:r>
      <w:r>
        <w:rPr>
          <w:rtl w:val="true"/>
        </w:rPr>
        <w:t>–</w:t>
      </w:r>
      <w:r>
        <w:rPr>
          <w:rtl w:val="true"/>
        </w:rPr>
        <w:t xml:space="preserve"> כשעה וחצי מקבלת הנשק ועד למעצרם במחסום המשטרתי </w:t>
      </w:r>
      <w:r>
        <w:rPr>
          <w:rtl w:val="true"/>
        </w:rPr>
        <w:t>–</w:t>
      </w:r>
      <w:r>
        <w:rPr>
          <w:rtl w:val="true"/>
        </w:rPr>
        <w:t xml:space="preserve"> ואת העובדה שלא נתפסו כדורים במחסנית האקדח או אצל מי מהמעורבים והנשק לא היה זמין לשימוש</w:t>
      </w:r>
      <w:r>
        <w:rPr>
          <w:rtl w:val="true"/>
        </w:rPr>
        <w:t xml:space="preserve">. </w:t>
      </w:r>
      <w:r>
        <w:rPr>
          <w:rtl w:val="true"/>
        </w:rPr>
        <w:t>עוד עמד בית המשפט על מדיניות הענישה המחמירה בעבירות נשק ועל עונשו של הלאל</w:t>
      </w:r>
      <w:r>
        <w:rPr>
          <w:rtl w:val="true"/>
        </w:rPr>
        <w:t xml:space="preserve">, </w:t>
      </w:r>
      <w:r>
        <w:rPr>
          <w:rtl w:val="true"/>
        </w:rPr>
        <w:t>כאמת מידה לעונשיהם של יתר המעורבים</w:t>
      </w:r>
      <w:r>
        <w:rPr>
          <w:rtl w:val="true"/>
        </w:rPr>
        <w:t xml:space="preserve">, </w:t>
      </w:r>
      <w:r>
        <w:rPr>
          <w:rtl w:val="true"/>
        </w:rPr>
        <w:t>תוך שציין כי חלקו של הלאל בעסקת הנשק ובהוצאתה לפועל היה מכריע ולחובתו הרשעות בעבירות נשק בגינן ריצה עונשי מאסר</w:t>
      </w:r>
      <w:r>
        <w:rPr>
          <w:rtl w:val="true"/>
        </w:rPr>
        <w:t xml:space="preserve">. </w:t>
      </w:r>
      <w:r>
        <w:rPr>
          <w:rtl w:val="true"/>
        </w:rPr>
        <w:t>לאור כל אלו</w:t>
      </w:r>
      <w:r>
        <w:rPr>
          <w:rtl w:val="true"/>
        </w:rPr>
        <w:t xml:space="preserve">, </w:t>
      </w:r>
      <w:r>
        <w:rPr>
          <w:rtl w:val="true"/>
        </w:rPr>
        <w:t>העמיד בית המשפט את מתחם העונש ההולם בעניינם של סובחי וג</w:t>
      </w:r>
      <w:r>
        <w:rPr>
          <w:rtl w:val="true"/>
        </w:rPr>
        <w:t>'</w:t>
      </w:r>
      <w:r>
        <w:rPr>
          <w:rtl w:val="true"/>
        </w:rPr>
        <w:t xml:space="preserve">נאן על </w:t>
      </w:r>
      <w:r>
        <w:rPr/>
        <w:t>36-9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ובעניינו של סמיר על </w:t>
      </w:r>
      <w:r>
        <w:rPr/>
        <w:t>42-24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עונשיהם של סובחי וג</w:t>
      </w:r>
      <w:r>
        <w:rPr>
          <w:rtl w:val="true"/>
        </w:rPr>
        <w:t>'</w:t>
      </w:r>
      <w:r>
        <w:rPr>
          <w:rtl w:val="true"/>
        </w:rPr>
        <w:t>נאן 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>שקל בית המשפט את הודאתם שניתנה בשלב מוקדם של ההליך</w:t>
      </w:r>
      <w:r>
        <w:rPr>
          <w:rtl w:val="true"/>
        </w:rPr>
        <w:t xml:space="preserve">, </w:t>
      </w:r>
      <w:r>
        <w:rPr>
          <w:rtl w:val="true"/>
        </w:rPr>
        <w:t>את גילם הצעיר ואת העדר העבר הפלילי</w:t>
      </w:r>
      <w:r>
        <w:rPr>
          <w:rtl w:val="true"/>
        </w:rPr>
        <w:t xml:space="preserve">, </w:t>
      </w:r>
      <w:r>
        <w:rPr>
          <w:rtl w:val="true"/>
        </w:rPr>
        <w:t>את העדר דפוסי פעולה וחשיבה עברייניים כעולה מתסקירי שירות המבחן</w:t>
      </w:r>
      <w:r>
        <w:rPr>
          <w:rtl w:val="true"/>
        </w:rPr>
        <w:t xml:space="preserve">, </w:t>
      </w:r>
      <w:r>
        <w:rPr>
          <w:rtl w:val="true"/>
        </w:rPr>
        <w:t>אותם מצא כ</w:t>
      </w:r>
      <w:r>
        <w:rPr>
          <w:rtl w:val="true"/>
        </w:rPr>
        <w:t>"</w:t>
      </w:r>
      <w:r>
        <w:rPr>
          <w:rFonts w:ascii="Miriam" w:hAnsi="Miriam" w:cs="Miriam"/>
          <w:szCs w:val="24"/>
          <w:rtl w:val="true"/>
        </w:rPr>
        <w:t>ח</w:t>
      </w:r>
      <w:r>
        <w:rPr>
          <w:rFonts w:ascii="Miriam" w:hAnsi="Miriam" w:cs="Miriam"/>
          <w:szCs w:val="24"/>
          <w:rtl w:val="true"/>
        </w:rPr>
        <w:t>י</w:t>
      </w:r>
      <w:r>
        <w:rPr>
          <w:rFonts w:ascii="Miriam" w:hAnsi="Miriam" w:cs="Miriam"/>
          <w:szCs w:val="24"/>
          <w:rtl w:val="true"/>
        </w:rPr>
        <w:t>ו</w:t>
      </w:r>
      <w:r>
        <w:rPr>
          <w:rFonts w:ascii="Miriam" w:hAnsi="Miriam" w:cs="Miriam"/>
          <w:szCs w:val="24"/>
          <w:rtl w:val="true"/>
        </w:rPr>
        <w:t>ביים במהותם</w:t>
      </w:r>
      <w:r>
        <w:rPr>
          <w:rtl w:val="true"/>
        </w:rPr>
        <w:t xml:space="preserve">" </w:t>
      </w:r>
      <w:r>
        <w:rPr>
          <w:rtl w:val="true"/>
        </w:rPr>
        <w:t>ואת המלצות שירות המבחן בעניינם</w:t>
      </w:r>
      <w:r>
        <w:rPr>
          <w:rtl w:val="true"/>
        </w:rPr>
        <w:t xml:space="preserve">, </w:t>
      </w:r>
      <w:r>
        <w:rPr>
          <w:rtl w:val="true"/>
        </w:rPr>
        <w:t>כמו גם את עדי האופי וההמלצות שהוגשו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ובייחוד על רקע הזמן הקצר של נשיאת האקדח</w:t>
      </w:r>
      <w:r>
        <w:rPr>
          <w:rtl w:val="true"/>
        </w:rPr>
        <w:t xml:space="preserve">, </w:t>
      </w:r>
      <w:r>
        <w:rPr>
          <w:rtl w:val="true"/>
        </w:rPr>
        <w:t>שלא היה מוכן לשימוש</w:t>
      </w:r>
      <w:r>
        <w:rPr>
          <w:rtl w:val="true"/>
        </w:rPr>
        <w:t xml:space="preserve">, </w:t>
      </w:r>
      <w:r>
        <w:rPr>
          <w:rtl w:val="true"/>
        </w:rPr>
        <w:t>ועל מנת לאפשר להם לפתוח דף חדש</w:t>
      </w:r>
      <w:r>
        <w:rPr>
          <w:rtl w:val="true"/>
        </w:rPr>
        <w:t xml:space="preserve">, </w:t>
      </w:r>
      <w:r>
        <w:rPr>
          <w:rtl w:val="true"/>
        </w:rPr>
        <w:t>החליט בית המשפט כי חרף חומרת העבירות</w:t>
      </w:r>
      <w:r>
        <w:rPr>
          <w:rtl w:val="true"/>
        </w:rPr>
        <w:t xml:space="preserve">, </w:t>
      </w:r>
      <w:r>
        <w:rPr>
          <w:rtl w:val="true"/>
        </w:rPr>
        <w:t>שעל דרך הכלל מביאות לעונשי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 xml:space="preserve">להטיל עליהם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שניתנים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>בכפוף לחוות דעתו של הממונה על עבודות השירות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20.7.2020</w:t>
      </w:r>
      <w:r>
        <w:rPr>
          <w:rtl w:val="true"/>
        </w:rPr>
        <w:t xml:space="preserve">, </w:t>
      </w:r>
      <w:r>
        <w:rPr>
          <w:rtl w:val="true"/>
        </w:rPr>
        <w:t>לאחר שהוגשה חוות דעת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 xml:space="preserve">דן אותם בית המשפט לעונשים שפורטו בפסקה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5330/20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 יש להקל במידה משמעותית בעונש המאסר שנגזר עליו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ייחס משקל ראוי למידת אשמו</w:t>
      </w:r>
      <w:r>
        <w:rPr>
          <w:rtl w:val="true"/>
        </w:rPr>
        <w:t xml:space="preserve">, </w:t>
      </w:r>
      <w:r>
        <w:rPr>
          <w:rtl w:val="true"/>
        </w:rPr>
        <w:t>לחלקו בפרשה ולהיקף מעורבותו</w:t>
      </w:r>
      <w:r>
        <w:rPr>
          <w:rtl w:val="true"/>
        </w:rPr>
        <w:t xml:space="preserve">. </w:t>
      </w:r>
      <w:r>
        <w:rPr>
          <w:rtl w:val="true"/>
        </w:rPr>
        <w:t>כן טען המערער כי מתחם העונש ההולם שנקבע בעניינו חמור מהמקובל בפסיקה ובייחוד לאור עונשו של הלאל</w:t>
      </w:r>
      <w:r>
        <w:rPr>
          <w:rtl w:val="true"/>
        </w:rPr>
        <w:t xml:space="preserve">, </w:t>
      </w:r>
      <w:r>
        <w:rPr>
          <w:rtl w:val="true"/>
        </w:rPr>
        <w:t>שניתן בהסכמת המדינה</w:t>
      </w:r>
      <w:r>
        <w:rPr>
          <w:rtl w:val="true"/>
        </w:rPr>
        <w:t xml:space="preserve">, </w:t>
      </w:r>
      <w:r>
        <w:rPr>
          <w:rtl w:val="true"/>
        </w:rPr>
        <w:t>חרף עברו הפלילי הכולל שתי הרשעות קודמות בעבירות נשק בגינן ריצה עונשי מאסר</w:t>
      </w:r>
      <w:r>
        <w:rPr>
          <w:rtl w:val="true"/>
        </w:rPr>
        <w:t xml:space="preserve">, </w:t>
      </w:r>
      <w:r>
        <w:rPr>
          <w:rtl w:val="true"/>
        </w:rPr>
        <w:t xml:space="preserve">כך שיש להעמיד את מתחם העונש בעניינו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36-12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עוד טען המערער כי בגזר הדין לא ניתן משקל לעובדה כי לא נמצאו כדורים עם האקדח וכי הוא לא היה זמין לשימוש</w:t>
      </w:r>
      <w:r>
        <w:rPr>
          <w:rtl w:val="true"/>
        </w:rPr>
        <w:t xml:space="preserve">, </w:t>
      </w:r>
      <w:r>
        <w:rPr>
          <w:rtl w:val="true"/>
        </w:rPr>
        <w:t>וכן לא ניתן משקל ממשי להודאתו ולחרטתו הכנה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שיקולי אחידות הענישה מחייבים הקלה בעונשו</w:t>
      </w:r>
      <w:r>
        <w:rPr>
          <w:rtl w:val="true"/>
        </w:rPr>
        <w:t xml:space="preserve">, </w:t>
      </w:r>
      <w:r>
        <w:rPr>
          <w:rtl w:val="true"/>
        </w:rPr>
        <w:t>שכן חלקו בפרשה קטן מחלקם של סובחי</w:t>
      </w:r>
      <w:r>
        <w:rPr>
          <w:rtl w:val="true"/>
        </w:rPr>
        <w:t xml:space="preserve">, </w:t>
      </w:r>
      <w:r>
        <w:rPr>
          <w:rtl w:val="true"/>
        </w:rPr>
        <w:t>שנשא את האקדח על גופו</w:t>
      </w:r>
      <w:r>
        <w:rPr>
          <w:rtl w:val="true"/>
        </w:rPr>
        <w:t xml:space="preserve">, </w:t>
      </w:r>
      <w:r>
        <w:rPr>
          <w:rtl w:val="true"/>
        </w:rPr>
        <w:t>ושל ג</w:t>
      </w:r>
      <w:r>
        <w:rPr>
          <w:rtl w:val="true"/>
        </w:rPr>
        <w:t>'</w:t>
      </w:r>
      <w:r>
        <w:rPr>
          <w:rtl w:val="true"/>
        </w:rPr>
        <w:t>נאן שרכש את האקדח ונשא והוביל אותו</w:t>
      </w:r>
      <w:r>
        <w:rPr>
          <w:rtl w:val="true"/>
        </w:rPr>
        <w:t xml:space="preserve">, </w:t>
      </w:r>
      <w:r>
        <w:rPr>
          <w:rtl w:val="true"/>
        </w:rPr>
        <w:t>ובניגוד אליו הם נדונו 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 xml:space="preserve">. </w:t>
      </w:r>
      <w:r>
        <w:rPr>
          <w:rtl w:val="true"/>
        </w:rPr>
        <w:t>המערער סבור כי יש ליתן משקל</w:t>
      </w:r>
      <w:r>
        <w:rPr>
          <w:rtl w:val="true"/>
        </w:rPr>
        <w:t xml:space="preserve">, </w:t>
      </w:r>
      <w:r>
        <w:rPr>
          <w:rtl w:val="true"/>
        </w:rPr>
        <w:t>כנסיבה לקולא</w:t>
      </w:r>
      <w:r>
        <w:rPr>
          <w:rtl w:val="true"/>
        </w:rPr>
        <w:t xml:space="preserve">, </w:t>
      </w:r>
      <w:r>
        <w:rPr>
          <w:rtl w:val="true"/>
        </w:rPr>
        <w:t>לכך שלא נשא את האקדח בפועל וכי קישר בין ג</w:t>
      </w:r>
      <w:r>
        <w:rPr>
          <w:rtl w:val="true"/>
        </w:rPr>
        <w:t>'</w:t>
      </w:r>
      <w:r>
        <w:rPr>
          <w:rtl w:val="true"/>
        </w:rPr>
        <w:t>נאן כקונה לבין הלאל כמוכר</w:t>
      </w:r>
      <w:r>
        <w:rPr>
          <w:rtl w:val="true"/>
        </w:rPr>
        <w:t xml:space="preserve">. </w:t>
      </w:r>
      <w:r>
        <w:rPr>
          <w:rtl w:val="true"/>
        </w:rPr>
        <w:t>כן טען כי לא ניתן משקל לנסיבותיו האישיות והמשפחתיות</w:t>
      </w:r>
      <w:r>
        <w:rPr>
          <w:rtl w:val="true"/>
        </w:rPr>
        <w:t xml:space="preserve">, </w:t>
      </w:r>
      <w:r>
        <w:rPr>
          <w:rtl w:val="true"/>
        </w:rPr>
        <w:t>בכך שהוא מטפל באמו החולה</w:t>
      </w:r>
      <w:r>
        <w:rPr>
          <w:rtl w:val="true"/>
        </w:rPr>
        <w:t xml:space="preserve">, </w:t>
      </w:r>
      <w:r>
        <w:rPr>
          <w:rtl w:val="true"/>
        </w:rPr>
        <w:t>למצבו הסוציואקונומי ולקשיים הכלכליים שהוכבדו בשל משבר הקורונה</w:t>
      </w:r>
      <w:r>
        <w:rPr>
          <w:rtl w:val="true"/>
        </w:rPr>
        <w:t xml:space="preserve">, </w:t>
      </w:r>
      <w:r>
        <w:rPr>
          <w:rtl w:val="true"/>
        </w:rPr>
        <w:t xml:space="preserve">ולכך שלא הפר את תנאי מעצר הבית במשך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ביקשה לדחות את הערעור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המערער הוא המעורב העיקרי בפרשה</w:t>
      </w:r>
      <w:r>
        <w:rPr>
          <w:rtl w:val="true"/>
        </w:rPr>
        <w:t xml:space="preserve">, </w:t>
      </w:r>
      <w:r>
        <w:rPr>
          <w:rtl w:val="true"/>
        </w:rPr>
        <w:t>כמי ששימש כציר שאליו פנה ג</w:t>
      </w:r>
      <w:r>
        <w:rPr>
          <w:rtl w:val="true"/>
        </w:rPr>
        <w:t>'</w:t>
      </w:r>
      <w:r>
        <w:rPr>
          <w:rtl w:val="true"/>
        </w:rPr>
        <w:t>נאן וכמי שידע למי לפנות בעניין והיה שותף לתכנון</w:t>
      </w:r>
      <w:r>
        <w:rPr>
          <w:rtl w:val="true"/>
        </w:rPr>
        <w:t xml:space="preserve">, </w:t>
      </w:r>
      <w:r>
        <w:rPr>
          <w:rtl w:val="true"/>
        </w:rPr>
        <w:t>הגיע למקום העסקה ובהמשך אף התריע בפני ג</w:t>
      </w:r>
      <w:r>
        <w:rPr>
          <w:rtl w:val="true"/>
        </w:rPr>
        <w:t>'</w:t>
      </w:r>
      <w:r>
        <w:rPr>
          <w:rtl w:val="true"/>
        </w:rPr>
        <w:t>נאן על המחסום המשטרתי</w:t>
      </w:r>
      <w:r>
        <w:rPr>
          <w:rtl w:val="true"/>
        </w:rPr>
        <w:t xml:space="preserve">. </w:t>
      </w:r>
      <w:r>
        <w:rPr>
          <w:rtl w:val="true"/>
        </w:rPr>
        <w:t>עוד ציינה כי לחובתו עבר פלילי</w:t>
      </w:r>
      <w:r>
        <w:rPr>
          <w:rtl w:val="true"/>
        </w:rPr>
        <w:t xml:space="preserve">, </w:t>
      </w:r>
      <w:r>
        <w:rPr>
          <w:rtl w:val="true"/>
        </w:rPr>
        <w:t>לרבות הרשעה קודמת בעבירות נשק בגינה ריצה מאסר משמעותי וחרף תהליך שיקום מוצלח</w:t>
      </w:r>
      <w:r>
        <w:rPr>
          <w:rtl w:val="true"/>
        </w:rPr>
        <w:t xml:space="preserve">, </w:t>
      </w:r>
      <w:r>
        <w:rPr>
          <w:rtl w:val="true"/>
        </w:rPr>
        <w:t>חזר לבצע עבירות נשק</w:t>
      </w:r>
      <w:r>
        <w:rPr>
          <w:rtl w:val="true"/>
        </w:rPr>
        <w:t xml:space="preserve">. </w:t>
      </w:r>
      <w:r>
        <w:rPr>
          <w:rtl w:val="true"/>
        </w:rPr>
        <w:t>כמו כן הדגישה כי עונשו נגזר ברף התחתון של מתחם העונש ואינו סוטה ממדיניות הענישה הנוהגת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6181/20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המדינה מערערת על קולת עונשיהם של המשיבים ועותרת להחמרה ממשית בעונשיהם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מחייבת הרשעתם בעבירות חמורות אלו</w:t>
      </w:r>
      <w:r>
        <w:rPr>
          <w:rtl w:val="true"/>
        </w:rPr>
        <w:t xml:space="preserve">, </w:t>
      </w:r>
      <w:r>
        <w:rPr>
          <w:rtl w:val="true"/>
        </w:rPr>
        <w:t xml:space="preserve">שהן בגדר 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 xml:space="preserve">", </w:t>
      </w:r>
      <w:r>
        <w:rPr>
          <w:rtl w:val="true"/>
        </w:rPr>
        <w:t>מאסר ממושך בפועל מאחורי סורג ובריח גם על מי שזו לו הרשעתו הראשונה ורק במקרים חריגים ונדירים ניתן יהיה להסתפק בענישה שאינה כזו</w:t>
      </w:r>
      <w:r>
        <w:rPr>
          <w:rtl w:val="true"/>
        </w:rPr>
        <w:t xml:space="preserve">. </w:t>
      </w:r>
      <w:r>
        <w:rPr>
          <w:rtl w:val="true"/>
        </w:rPr>
        <w:t>עונשיהם של המשיבים אינם מבטאים את חומרת המעשים</w:t>
      </w:r>
      <w:r>
        <w:rPr>
          <w:rtl w:val="true"/>
        </w:rPr>
        <w:t xml:space="preserve">, </w:t>
      </w:r>
      <w:r>
        <w:rPr>
          <w:rtl w:val="true"/>
        </w:rPr>
        <w:t>את מגמת החמרת הענישה במעשים מסוג זה ואת הנזק האינהרנטי והפוטנציאלי</w:t>
      </w:r>
      <w:r>
        <w:rPr>
          <w:rtl w:val="true"/>
        </w:rPr>
        <w:t xml:space="preserve">, </w:t>
      </w:r>
      <w:r>
        <w:rPr>
          <w:rtl w:val="true"/>
        </w:rPr>
        <w:t>לפגיעה בגוף ובנפש ובתחושת הביטחון</w:t>
      </w:r>
      <w:r>
        <w:rPr>
          <w:rtl w:val="true"/>
        </w:rPr>
        <w:t xml:space="preserve">, </w:t>
      </w:r>
      <w:r>
        <w:rPr>
          <w:rtl w:val="true"/>
        </w:rPr>
        <w:t>הנשקף מהם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משקפים עונשיהם של המשיבים מתן משקל יתר לנסיבותיהם האישיות על פני שיקולי הלימה והרתעה ואינם מתיישבים עם יתר העונשים שנגזרו על המעורבים בפרשה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8"/>
          <w:szCs w:val="24"/>
        </w:rPr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עוד טענה המדינה כי מתחם העונש ההולם שנקבע בעניינם של המשיבים נופל מן המתחם הראוי</w:t>
      </w:r>
      <w:r>
        <w:rPr>
          <w:rtl w:val="true"/>
        </w:rPr>
        <w:t xml:space="preserve">, </w:t>
      </w:r>
      <w:r>
        <w:rPr>
          <w:rtl w:val="true"/>
        </w:rPr>
        <w:t>בעיקר ברף תחתון נמוך מדי המאפשר ריצוי המאסר בעבודות שירות והיה נכון להעמידו על שנתיים עד ארבע שנות מאסר</w:t>
      </w:r>
      <w:r>
        <w:rPr>
          <w:rtl w:val="true"/>
        </w:rPr>
        <w:t xml:space="preserve">. </w:t>
      </w:r>
      <w:r>
        <w:rPr>
          <w:rtl w:val="true"/>
        </w:rPr>
        <w:t>המדינה עמדה על חלקו של ג</w:t>
      </w:r>
      <w:r>
        <w:rPr>
          <w:rtl w:val="true"/>
        </w:rPr>
        <w:t>'</w:t>
      </w:r>
      <w:r>
        <w:rPr>
          <w:rtl w:val="true"/>
        </w:rPr>
        <w:t xml:space="preserve">נאן בהיותו </w:t>
      </w:r>
      <w:r>
        <w:rPr>
          <w:rtl w:val="true"/>
        </w:rPr>
        <w:t>"</w:t>
      </w:r>
      <w:r>
        <w:rPr>
          <w:rtl w:val="true"/>
        </w:rPr>
        <w:t>מחולל הפרשה ומי שפעל לקידום העסקה ולביצועה וסובחי הצטרף אליו מסיבה לא ברורה ואף הסכים להחביא את האקדח על גופו</w:t>
      </w:r>
      <w:r>
        <w:rPr>
          <w:rtl w:val="true"/>
        </w:rPr>
        <w:t xml:space="preserve">. </w:t>
      </w:r>
      <w:r>
        <w:rPr>
          <w:rtl w:val="true"/>
        </w:rPr>
        <w:t>להשקפתה בית המשפט קמא שגה בכך שייחס משקל רב למשך נשיאת והחזקת האקדח</w:t>
      </w:r>
      <w:r>
        <w:rPr>
          <w:rtl w:val="true"/>
        </w:rPr>
        <w:t xml:space="preserve">, </w:t>
      </w:r>
      <w:r>
        <w:rPr>
          <w:rtl w:val="true"/>
        </w:rPr>
        <w:t>דבר שהיה תלוי בפעולתה המהירה של המשטרה</w:t>
      </w:r>
      <w:r>
        <w:rPr>
          <w:rtl w:val="true"/>
        </w:rPr>
        <w:t xml:space="preserve">, </w:t>
      </w:r>
      <w:r>
        <w:rPr>
          <w:rtl w:val="true"/>
        </w:rPr>
        <w:t>מה גם שעיקר החומרה טמון בעצם החזקת ונשיאת הנשק</w:t>
      </w:r>
      <w:r>
        <w:rPr>
          <w:rtl w:val="true"/>
        </w:rPr>
        <w:t xml:space="preserve">. </w:t>
      </w:r>
      <w:r>
        <w:rPr>
          <w:rtl w:val="true"/>
        </w:rPr>
        <w:t>כן נטען כי יש ליתן משקל מוגבל בלבד לכך שלא נמצאה תחמושת וכי העבירות שביצעו מגבירות את הסיכון לציבור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סובחי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במכנסיו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בהתייחסה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במהותו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.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המשיבים מצידם ביקשו לדחות את ערעור המדינה ולהותיר את עונשיהם על כנם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סובחי ציין כי התסקיר העדכני מעלה תמונה חיובית המצדיקה המשך ההליך הטיפולי</w:t>
      </w:r>
      <w:r>
        <w:rPr>
          <w:rtl w:val="true"/>
        </w:rPr>
        <w:t xml:space="preserve">, </w:t>
      </w:r>
      <w:r>
        <w:rPr>
          <w:rtl w:val="true"/>
        </w:rPr>
        <w:t>בשל גילו הצעיר והעדר עבר פלילי</w:t>
      </w:r>
      <w:r>
        <w:rPr>
          <w:rtl w:val="true"/>
        </w:rPr>
        <w:t xml:space="preserve">. </w:t>
      </w:r>
      <w:r>
        <w:rPr>
          <w:rtl w:val="true"/>
        </w:rPr>
        <w:t>עוד טען כי חלקו של סובחי דומה לחלקו של אחמד</w:t>
      </w:r>
      <w:r>
        <w:rPr>
          <w:rtl w:val="true"/>
        </w:rPr>
        <w:t xml:space="preserve">, </w:t>
      </w:r>
      <w:r>
        <w:rPr>
          <w:rtl w:val="true"/>
        </w:rPr>
        <w:t>הגם שהאחרון הורשע כמסייע וכן טען כי אמת המידה העונשית צריכה להיגזר מעונשו של הלאל</w:t>
      </w:r>
      <w:r>
        <w:rPr>
          <w:rtl w:val="true"/>
        </w:rPr>
        <w:t xml:space="preserve">, </w:t>
      </w:r>
      <w:r>
        <w:rPr>
          <w:rtl w:val="true"/>
        </w:rPr>
        <w:t>שהיה דמות מרכזית בפרשה ולחובתו עבר פלילי בעבירות נשק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ג</w:t>
      </w:r>
      <w:r>
        <w:rPr>
          <w:rtl w:val="true"/>
        </w:rPr>
        <w:t>'</w:t>
      </w:r>
      <w:r>
        <w:rPr>
          <w:rtl w:val="true"/>
        </w:rPr>
        <w:t>נאן טען באופן דומה והוסיף כי מתחם הענישה שנקבע הוא מתחם ראוי ואין להתערב בו ולחילופין</w:t>
      </w:r>
      <w:r>
        <w:rPr>
          <w:rtl w:val="true"/>
        </w:rPr>
        <w:t xml:space="preserve">, </w:t>
      </w:r>
      <w:r>
        <w:rPr>
          <w:rtl w:val="true"/>
        </w:rPr>
        <w:t>טען כי ככל שיתערב בית משפט זה במתחם העונש</w:t>
      </w:r>
      <w:r>
        <w:rPr>
          <w:rtl w:val="true"/>
        </w:rPr>
        <w:t xml:space="preserve">, </w:t>
      </w:r>
      <w:r>
        <w:rPr>
          <w:rtl w:val="true"/>
        </w:rPr>
        <w:t>יש לסטות ממנו לקולא לאור תסקירי שירות המבחן</w:t>
      </w:r>
      <w:r>
        <w:rPr>
          <w:rtl w:val="true"/>
        </w:rPr>
        <w:t xml:space="preserve">.  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Normal"/>
        <w:ind w:end="0"/>
        <w:jc w:val="both"/>
        <w:rPr>
          <w:rFonts w:ascii="Century" w:hAnsi="Century" w:cs="Miriam"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בתסקירי שירות המבחן שהונחו בפני בית המשפט המחוזי ניתנה המלצה להטיל על סובחי עונש של מאסר לתקופה מירבית שניתן לרצותה בעבודות שירות</w:t>
      </w:r>
      <w:r>
        <w:rPr>
          <w:rtl w:val="true"/>
        </w:rPr>
        <w:t xml:space="preserve">, </w:t>
      </w:r>
      <w:r>
        <w:rPr>
          <w:rtl w:val="true"/>
        </w:rPr>
        <w:t>יחד עם צו מבחן</w:t>
      </w:r>
      <w:r>
        <w:rPr>
          <w:rtl w:val="true"/>
        </w:rPr>
        <w:t xml:space="preserve">. </w:t>
      </w:r>
      <w:r>
        <w:rPr>
          <w:rtl w:val="true"/>
        </w:rPr>
        <w:t>שירות המבחן העריך כי מיצוי הדין עימו עלול לחבל בסיכויי שיקומו בשל חשיפה לאוכלוסיית עוברי 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-</w:t>
      </w:r>
      <w:r>
        <w:rPr>
          <w:rtl w:val="true"/>
        </w:rPr>
        <w:t>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מהתסקירים העדכניים שהונחו לפנינו</w:t>
      </w:r>
      <w:r>
        <w:rPr>
          <w:rtl w:val="true"/>
        </w:rPr>
        <w:t xml:space="preserve">, </w:t>
      </w:r>
      <w:r>
        <w:rPr>
          <w:rtl w:val="true"/>
        </w:rPr>
        <w:t xml:space="preserve">עולה כי סמיר שולב בקבוצות טיפוליות אך עדיין לא שולב בקבוצת טיפול אינטנסיבית </w:t>
      </w:r>
      <w:r>
        <w:rPr>
          <w:rtl w:val="true"/>
        </w:rPr>
        <w:t>(</w:t>
      </w:r>
      <w:r>
        <w:rPr>
          <w:rtl w:val="true"/>
        </w:rPr>
        <w:t xml:space="preserve">תסקיר מיום </w:t>
      </w:r>
      <w:r>
        <w:rPr/>
        <w:t>27.10.2020</w:t>
      </w:r>
      <w:r>
        <w:rPr>
          <w:rtl w:val="true"/>
        </w:rPr>
        <w:t xml:space="preserve">); </w:t>
      </w:r>
      <w:r>
        <w:rPr>
          <w:rtl w:val="true"/>
        </w:rPr>
        <w:t xml:space="preserve">כי סובחי השתלב בהליך טיפולי להתמכרויות אולם זה הסתיים לנוכח מיצויו והמלצת שירות המבחן היא להימנע מהחמרה בעונשו בהעריכו כי המשך שילובו בטיפול יפחית מרמת הסיכון להישנות עבירות </w:t>
      </w:r>
      <w:r>
        <w:rPr>
          <w:rtl w:val="true"/>
        </w:rPr>
        <w:t>(</w:t>
      </w:r>
      <w:r>
        <w:rPr>
          <w:rtl w:val="true"/>
        </w:rPr>
        <w:t xml:space="preserve">תסקיר מיום </w:t>
      </w:r>
      <w:r>
        <w:rPr/>
        <w:t>28.10.2020</w:t>
      </w:r>
      <w:r>
        <w:rPr>
          <w:rtl w:val="true"/>
        </w:rPr>
        <w:t xml:space="preserve">). </w:t>
      </w:r>
      <w:r>
        <w:rPr>
          <w:rtl w:val="true"/>
        </w:rPr>
        <w:t>בעניינו של ג</w:t>
      </w:r>
      <w:r>
        <w:rPr>
          <w:rtl w:val="true"/>
        </w:rPr>
        <w:t>'</w:t>
      </w:r>
      <w:r>
        <w:rPr>
          <w:rtl w:val="true"/>
        </w:rPr>
        <w:t>נאן המליץ שירות המבחן על העדפת ההיבט השיקומי</w:t>
      </w:r>
      <w:r>
        <w:rPr>
          <w:rtl w:val="true"/>
        </w:rPr>
        <w:t xml:space="preserve">, </w:t>
      </w:r>
      <w:r>
        <w:rPr>
          <w:rtl w:val="true"/>
        </w:rPr>
        <w:t xml:space="preserve">לאור שינוי חיובי ביכולתו להתבוננות פנימית להתמודדות ולנטילת אחריות ועל הוספת צו מבחן לעונשו </w:t>
      </w:r>
      <w:r>
        <w:rPr>
          <w:rtl w:val="true"/>
        </w:rPr>
        <w:t>(</w:t>
      </w:r>
      <w:r>
        <w:rPr>
          <w:rtl w:val="true"/>
        </w:rPr>
        <w:t xml:space="preserve">תסקיר מיום </w:t>
      </w:r>
      <w:r>
        <w:rPr/>
        <w:t>28.10.2020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שעיינו בנימוקי הערעורים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בגזרי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בתסקירי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הקודמים והעדכניים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ששמענו את טענות הצדדים בדיון ואת דברי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נציגת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הגענו לכלל מסקנה כי יש לקבל את ערעור המדינה על קולת עונשיהם של המשיבים </w:t>
      </w:r>
      <w:r>
        <w:rPr>
          <w:rFonts w:cs="Century" w:ascii="Century" w:hAnsi="Century"/>
          <w:rtl w:val="true"/>
        </w:rPr>
        <w:t>(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181/20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ולדחות את ערעור המערער על חומרת עונשו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5330/20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זאת משום ששוכנענו כי ערעור המדינה בא בגדר אותם </w:t>
      </w:r>
      <w:r>
        <w:rPr>
          <w:rFonts w:ascii="Century" w:hAnsi="Century" w:cs="Century"/>
          <w:rtl w:val="true"/>
        </w:rPr>
        <w:t>מקרים חריגים בהם</w:t>
      </w:r>
      <w:r>
        <w:rPr>
          <w:rFonts w:ascii="Century" w:hAnsi="Century" w:cs="Century"/>
          <w:rtl w:val="true"/>
        </w:rPr>
        <w:t xml:space="preserve"> יש מקום להתערב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 שקבעה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בשל </w:t>
      </w:r>
      <w:r>
        <w:rPr>
          <w:rFonts w:ascii="Century" w:hAnsi="Century" w:cs="Century"/>
          <w:rtl w:val="true"/>
        </w:rPr>
        <w:t xml:space="preserve">טעות מהותית בגזר הדין או </w:t>
      </w:r>
      <w:r>
        <w:rPr>
          <w:rFonts w:ascii="Century" w:hAnsi="Century" w:cs="Century"/>
          <w:rtl w:val="true"/>
        </w:rPr>
        <w:t>חריגה חריפה</w:t>
      </w:r>
      <w:r>
        <w:rPr>
          <w:rFonts w:ascii="Century" w:hAnsi="Century" w:cs="Century"/>
          <w:rtl w:val="true"/>
        </w:rPr>
        <w:t xml:space="preserve"> ממדיניות הענישה הראויה או הנוהגת </w:t>
      </w:r>
      <w:r>
        <w:rPr>
          <w:rFonts w:cs="Century" w:ascii="Century" w:hAnsi="Century"/>
          <w:rtl w:val="true"/>
        </w:rPr>
        <w:t>(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55/20</w:t>
        </w:r>
      </w:hyperlink>
      <w:r>
        <w:rPr>
          <w:rFonts w:cs="Arial TUR;Arial" w:ascii="Arial TUR;Arial" w:hAnsi="Arial TUR;Arial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רושרוש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פיסקה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19.7.2020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9168/18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 xml:space="preserve">קשור </w:t>
      </w:r>
      <w:r>
        <w:rPr>
          <w:rFonts w:ascii="Miriam" w:hAnsi="Miriam" w:cs="Miriam"/>
          <w:szCs w:val="24"/>
          <w:rtl w:val="true"/>
        </w:rPr>
        <w:t>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26.2.2019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שערעור המערער אינו מגלה עילה כאמור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בלב הדברים</w:t>
      </w:r>
      <w:r>
        <w:rPr>
          <w:rtl w:val="true"/>
        </w:rPr>
        <w:t xml:space="preserve">, </w:t>
      </w:r>
      <w:r>
        <w:rPr>
          <w:rtl w:val="true"/>
        </w:rPr>
        <w:t>עומדת החומרה היתרה הנודעת לביצוע עבירות בנשק</w:t>
      </w:r>
      <w:r>
        <w:rPr>
          <w:rtl w:val="true"/>
        </w:rPr>
        <w:t xml:space="preserve">, </w:t>
      </w:r>
      <w:r>
        <w:rPr>
          <w:rtl w:val="true"/>
        </w:rPr>
        <w:t>לסוגיהן</w:t>
      </w:r>
      <w:r>
        <w:rPr>
          <w:rtl w:val="true"/>
        </w:rPr>
        <w:t xml:space="preserve">. </w:t>
      </w:r>
      <w:r>
        <w:rPr>
          <w:rtl w:val="true"/>
        </w:rPr>
        <w:t>בית משפט זה חזר ועמד בפסיקתו</w:t>
      </w:r>
      <w:r>
        <w:rPr>
          <w:rtl w:val="true"/>
        </w:rPr>
        <w:t xml:space="preserve">, </w:t>
      </w:r>
      <w:r>
        <w:rPr>
          <w:rtl w:val="true"/>
        </w:rPr>
        <w:t>לרבות בשנים האחרונות</w:t>
      </w:r>
      <w:r>
        <w:rPr>
          <w:rtl w:val="true"/>
        </w:rPr>
        <w:t xml:space="preserve">, </w:t>
      </w:r>
      <w:r>
        <w:rPr>
          <w:rtl w:val="true"/>
        </w:rPr>
        <w:t>על הסכנה הממשית הגלומה בעבירות אלה לשלום הציבור ולביטחונו ועל הצורך האקוטי במיגורן</w:t>
      </w:r>
      <w:r>
        <w:rPr>
          <w:rtl w:val="true"/>
        </w:rPr>
        <w:t xml:space="preserve">, </w:t>
      </w:r>
      <w:r>
        <w:rPr>
          <w:rtl w:val="true"/>
        </w:rPr>
        <w:t>ובכלל זה על הצורך בהחמרת הענישה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עונשם של המעורבים בעבירות בנשק הוא מאסר ממושך לריצוי בפועל</w:t>
      </w:r>
      <w:r>
        <w:rPr>
          <w:rtl w:val="true"/>
        </w:rPr>
        <w:t xml:space="preserve">, </w:t>
      </w:r>
      <w:r>
        <w:rPr>
          <w:rtl w:val="true"/>
        </w:rPr>
        <w:t xml:space="preserve">אף אם הם נעדרים עבר פלילי מכל סוג שהוא וזו להם העבירה הראשונה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אזברגה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 xml:space="preserve">)), </w:t>
      </w:r>
      <w:r>
        <w:rPr>
          <w:rtl w:val="true"/>
        </w:rPr>
        <w:t>וכך גם אם מדובר בבגירים צעירים</w:t>
      </w:r>
      <w:r>
        <w:rPr>
          <w:rtl w:val="true"/>
        </w:rPr>
        <w:t xml:space="preserve">, </w:t>
      </w:r>
      <w:r>
        <w:rPr>
          <w:rtl w:val="true"/>
        </w:rPr>
        <w:t xml:space="preserve">במקרים המתאימים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בראנסי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עניין בראנסי</w:t>
      </w:r>
      <w:r>
        <w:rPr>
          <w:rtl w:val="true"/>
        </w:rPr>
        <w:t xml:space="preserve">)).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 xml:space="preserve">בשל החומרה היתרה שבעבירות אלו והסיכון הגבוה שיש בהן לשלום הציבור ניתן משקל רב יותר לאינטרס הציבורי ולשיקולי ההרתעה מאשר לנסיבותיו האישיות של הנאשם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>עניין</w:t>
      </w:r>
      <w:r>
        <w:rPr>
          <w:rFonts w:ascii="Miriam" w:hAnsi="Miriam" w:cs="Miriam"/>
          <w:szCs w:val="24"/>
          <w:rtl w:val="true"/>
        </w:rPr>
        <w:t xml:space="preserve"> בראנסי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 xml:space="preserve">גישה מחמירה זו מיושמת גם במקרים שבהם נרכש הנשק למטרת </w:t>
      </w:r>
      <w:r>
        <w:rPr>
          <w:rtl w:val="true"/>
        </w:rPr>
        <w:t>'</w:t>
      </w:r>
      <w:r>
        <w:rPr>
          <w:rtl w:val="true"/>
        </w:rPr>
        <w:t>הגנה עצמית</w:t>
      </w:r>
      <w:r>
        <w:rPr>
          <w:rtl w:val="true"/>
        </w:rPr>
        <w:t xml:space="preserve">', </w:t>
      </w:r>
      <w:r>
        <w:rPr>
          <w:rtl w:val="true"/>
        </w:rPr>
        <w:t xml:space="preserve">מתוך הבנה כי זמינות נשק בלתי חוקי מעודדת שימוש בו לביצוע עבירות ונושאת עמה פוטנציאל גבוה לפגיעה ממשית וקשה בביטחון הציבור ובשלומו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סובח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 דינו של השופט </w:t>
      </w:r>
      <w:r>
        <w:rPr>
          <w:rFonts w:ascii="Miriam" w:hAnsi="Miriam" w:cs="Miriam"/>
          <w:szCs w:val="24"/>
          <w:rtl w:val="true"/>
        </w:rPr>
        <w:t>מ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מזוז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))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בחינת עניינם של המשיבים ושל המערער לאור כללים מנחים אלו</w:t>
      </w:r>
      <w:r>
        <w:rPr>
          <w:rtl w:val="true"/>
        </w:rPr>
        <w:t xml:space="preserve">, </w:t>
      </w:r>
      <w:r>
        <w:rPr>
          <w:rtl w:val="true"/>
        </w:rPr>
        <w:t>מעלה מספר מסקנות</w:t>
      </w:r>
      <w:r>
        <w:rPr>
          <w:rtl w:val="true"/>
        </w:rPr>
        <w:t xml:space="preserve">. </w:t>
      </w:r>
      <w:r>
        <w:rPr>
          <w:rtl w:val="true"/>
        </w:rPr>
        <w:t>המסקנה הראשונה היא כי יש לדחות את ערעורו של סמיר על חומרת עונשו</w:t>
      </w:r>
      <w:r>
        <w:rPr>
          <w:rtl w:val="true"/>
        </w:rPr>
        <w:t xml:space="preserve">. </w:t>
      </w:r>
      <w:r>
        <w:rPr>
          <w:rtl w:val="true"/>
        </w:rPr>
        <w:t>חלקו של סמיר בפרשה הוא המרכזי והמשמעותי ביותר</w:t>
      </w:r>
      <w:r>
        <w:rPr>
          <w:rtl w:val="true"/>
        </w:rPr>
        <w:t xml:space="preserve">, </w:t>
      </w:r>
      <w:r>
        <w:rPr>
          <w:rtl w:val="true"/>
        </w:rPr>
        <w:t>כמי שקישר בין ג</w:t>
      </w:r>
      <w:r>
        <w:rPr>
          <w:rtl w:val="true"/>
        </w:rPr>
        <w:t>'</w:t>
      </w:r>
      <w:r>
        <w:rPr>
          <w:rtl w:val="true"/>
        </w:rPr>
        <w:t>נאן והלאל ואיפשר את ביצוע העסקה מתחילתה ועד סופה</w:t>
      </w:r>
      <w:r>
        <w:rPr>
          <w:rtl w:val="true"/>
        </w:rPr>
        <w:t xml:space="preserve">, </w:t>
      </w:r>
      <w:r>
        <w:rPr>
          <w:rtl w:val="true"/>
        </w:rPr>
        <w:t>דבר שבא לידי ביטוי גם בסעיפי העבירות שיוחסו לו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הטענה כי חלקו בפרשה הסתכם בתיווך ולכן אין להחמיר עמו </w:t>
      </w:r>
      <w:r>
        <w:rPr>
          <w:rtl w:val="true"/>
        </w:rPr>
        <w:t>–</w:t>
      </w:r>
      <w:r>
        <w:rPr>
          <w:rtl w:val="true"/>
        </w:rPr>
        <w:t xml:space="preserve"> דינה להידחות</w:t>
      </w:r>
      <w:r>
        <w:rPr>
          <w:rtl w:val="true"/>
        </w:rPr>
        <w:t xml:space="preserve">, </w:t>
      </w:r>
      <w:r>
        <w:rPr>
          <w:rtl w:val="true"/>
        </w:rPr>
        <w:t>וכפי שכבר ציין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למתווך בעסקאות בנשק תפקיד מרכזי בביצוען ובאפשרות להשלמת העסקה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) </w:t>
      </w:r>
      <w:r>
        <w:rPr>
          <w:rtl w:val="true"/>
        </w:rPr>
        <w:t>והדברים נכונים גם ביחס לסמיר</w:t>
      </w:r>
      <w:r>
        <w:rPr>
          <w:rtl w:val="true"/>
        </w:rPr>
        <w:t xml:space="preserve">. </w:t>
      </w:r>
      <w:r>
        <w:rPr>
          <w:rtl w:val="true"/>
        </w:rPr>
        <w:t>אמנם עונשו של הלאל</w:t>
      </w:r>
      <w:r>
        <w:rPr>
          <w:rtl w:val="true"/>
        </w:rPr>
        <w:t xml:space="preserve">, </w:t>
      </w:r>
      <w:r>
        <w:rPr>
          <w:rtl w:val="true"/>
        </w:rPr>
        <w:t xml:space="preserve">שהועמד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קל מעונשו של סמיר</w:t>
      </w:r>
      <w:r>
        <w:rPr>
          <w:rtl w:val="true"/>
        </w:rPr>
        <w:t xml:space="preserve">, </w:t>
      </w:r>
      <w:r>
        <w:rPr>
          <w:rtl w:val="true"/>
        </w:rPr>
        <w:t>אולם יש לזכור כי אף שהלאל נטל חלק משמעותי בביצוע העסקה ולחובתו עמד עבר פלילי משמעותי מזה של סמיר בעבירות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הרי שהוא הורשע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כמסייע</w:t>
      </w:r>
      <w:r>
        <w:rPr>
          <w:rtl w:val="true"/>
        </w:rPr>
        <w:t xml:space="preserve"> ועונשו נקבע בין הצדדים במסגרת הסדר טיעון שנערך בשל קשיים ראייתיים</w:t>
      </w:r>
      <w:r>
        <w:rPr>
          <w:rtl w:val="true"/>
        </w:rPr>
        <w:t xml:space="preserve">, </w:t>
      </w:r>
      <w:r>
        <w:rPr>
          <w:rtl w:val="true"/>
        </w:rPr>
        <w:t>הסכמה שאושרה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בערעור לבית משפט זה לאחר שבית המשפט קמא דן אותו לעונש כבד יותר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אין לראות בעונשו קנה מידה מכריע בקביעת עונשו של סמיר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8439/17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שמאילוב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3.4.2019</w:t>
      </w:r>
      <w:r>
        <w:rPr>
          <w:rtl w:val="true"/>
        </w:rPr>
        <w:t xml:space="preserve">)).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מכלול השיקולים הרלוונטיים ביחס לעובדות הנוגעות לביצוע העבירות וביחס 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לרבות עברו הפלילי הרלוונטי</w:t>
      </w:r>
      <w:r>
        <w:rPr>
          <w:rtl w:val="true"/>
        </w:rPr>
        <w:t xml:space="preserve">, </w:t>
      </w:r>
      <w:r>
        <w:rPr>
          <w:rtl w:val="true"/>
        </w:rPr>
        <w:t>הודאתו וחרטתו</w:t>
      </w:r>
      <w:r>
        <w:rPr>
          <w:rtl w:val="true"/>
        </w:rPr>
        <w:t xml:space="preserve">, </w:t>
      </w:r>
      <w:r>
        <w:rPr>
          <w:rtl w:val="true"/>
        </w:rPr>
        <w:t>קיבל ביטוי בגזר דינו של בית המשפט קמא</w:t>
      </w:r>
      <w:r>
        <w:rPr>
          <w:rtl w:val="true"/>
        </w:rPr>
        <w:t xml:space="preserve">, </w:t>
      </w:r>
      <w:r>
        <w:rPr>
          <w:rtl w:val="true"/>
        </w:rPr>
        <w:t>ולכך יש להוסיף כי שירות המבחן לא בא בהמלצה בעניינו</w:t>
      </w:r>
      <w:r>
        <w:rPr>
          <w:rtl w:val="true"/>
        </w:rPr>
        <w:t xml:space="preserve">. </w:t>
      </w:r>
      <w:r>
        <w:rPr>
          <w:rtl w:val="true"/>
        </w:rPr>
        <w:t>כך גם לא מצאתי כי יש בטענותיו של המערער ביחס לנסיבותיו האישיות</w:t>
      </w:r>
      <w:r>
        <w:rPr>
          <w:rtl w:val="true"/>
        </w:rPr>
        <w:t xml:space="preserve">, </w:t>
      </w:r>
      <w:r>
        <w:rPr>
          <w:rtl w:val="true"/>
        </w:rPr>
        <w:t>לתקופה שהייתו באיזוק אלקטרוני ולקשייו הכלכליים</w:t>
      </w:r>
      <w:r>
        <w:rPr>
          <w:rtl w:val="true"/>
        </w:rPr>
        <w:t xml:space="preserve">, </w:t>
      </w:r>
      <w:r>
        <w:rPr>
          <w:rtl w:val="true"/>
        </w:rPr>
        <w:t>כדי להצדיק הקלה בעונשו</w:t>
      </w:r>
      <w:r>
        <w:rPr>
          <w:rtl w:val="true"/>
        </w:rPr>
        <w:t xml:space="preserve">. </w:t>
      </w:r>
      <w:r>
        <w:rPr>
          <w:rtl w:val="true"/>
        </w:rPr>
        <w:t>עוד יצוין כי בפתח הודעת הערעור הפנה המערער את ערעורו גם כלפי עונשי המאסר המותנים</w:t>
      </w:r>
      <w:r>
        <w:rPr>
          <w:rtl w:val="true"/>
        </w:rPr>
        <w:t xml:space="preserve">, </w:t>
      </w:r>
      <w:r>
        <w:rPr>
          <w:rtl w:val="true"/>
        </w:rPr>
        <w:t>אולם בהמשך לא הובא כל נימוק תומך ועתירתו בסופה של הודעת הערעור היתה כי נתערב בעונש המאסר בפועל ונותיר על כנו את העונש המותנה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בנסיבות העניין לא מצאנו כי יש הצדקה להתערב בעונשי המאסר המותנים שהוטלו על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המסקנה השניה היא כי </w:t>
      </w:r>
      <w:r>
        <w:rPr>
          <w:rtl w:val="true"/>
        </w:rPr>
        <w:t>הרף התחתון במתחם העונש שנקבע בעניינם של סובחי 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tl w:val="true"/>
        </w:rPr>
        <w:t xml:space="preserve">, </w:t>
      </w:r>
      <w:r>
        <w:rPr>
          <w:rtl w:val="true"/>
        </w:rPr>
        <w:t xml:space="preserve">שהועמד כזכור על </w:t>
      </w:r>
      <w:r>
        <w:rPr/>
        <w:t>36-9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צריך להיות עונש שניתן לרצותו מאחורי סורג ובריח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אף היה מקום לקבוע מתחמי ענישה נפרדים לכל אחד מהם</w:t>
      </w:r>
      <w:r>
        <w:rPr>
          <w:rtl w:val="true"/>
        </w:rPr>
        <w:t xml:space="preserve">, </w:t>
      </w:r>
      <w:r>
        <w:rPr>
          <w:rtl w:val="true"/>
        </w:rPr>
        <w:t>שכן מידת מעורבותו של ג</w:t>
      </w:r>
      <w:r>
        <w:rPr>
          <w:rtl w:val="true"/>
        </w:rPr>
        <w:t>'</w:t>
      </w:r>
      <w:r>
        <w:rPr>
          <w:rtl w:val="true"/>
        </w:rPr>
        <w:t>נאן היתה גדולה ומשמעותית מזו של סובחי</w:t>
      </w:r>
      <w:r>
        <w:rPr>
          <w:rtl w:val="true"/>
        </w:rPr>
        <w:t xml:space="preserve">, </w:t>
      </w:r>
      <w:r>
        <w:rPr>
          <w:rtl w:val="true"/>
        </w:rPr>
        <w:t xml:space="preserve">בהיותו יוזם עסקת הנשק ומי שהנשק נועד לצרכיו </w:t>
      </w:r>
      <w:r>
        <w:rPr>
          <w:rtl w:val="true"/>
        </w:rPr>
        <w:t>(</w:t>
      </w:r>
      <w:r>
        <w:rPr>
          <w:rtl w:val="true"/>
        </w:rPr>
        <w:t>כשעל פי טענתו דובר בהגנה עצמית לעסקו של אביו</w:t>
      </w:r>
      <w:r>
        <w:rPr>
          <w:rtl w:val="true"/>
        </w:rPr>
        <w:t xml:space="preserve">) </w:t>
      </w:r>
      <w:r>
        <w:rPr>
          <w:rtl w:val="true"/>
        </w:rPr>
        <w:t>ולאור העובדה כי ג</w:t>
      </w:r>
      <w:r>
        <w:rPr>
          <w:rtl w:val="true"/>
        </w:rPr>
        <w:t>'</w:t>
      </w:r>
      <w:r>
        <w:rPr>
          <w:rtl w:val="true"/>
        </w:rPr>
        <w:t>נאן הוא זה שעמד בקשר רציף עם סמיר לשם מימושה</w:t>
      </w:r>
      <w:r>
        <w:rPr>
          <w:rtl w:val="true"/>
        </w:rPr>
        <w:t xml:space="preserve">. </w:t>
      </w:r>
      <w:r>
        <w:rPr>
          <w:rtl w:val="true"/>
        </w:rPr>
        <w:t xml:space="preserve">לפיכך נכון היה להעמיד את מתחם העונש בעניינו של סובחי על </w:t>
      </w:r>
      <w:r>
        <w:rPr/>
        <w:t>10-36</w:t>
      </w:r>
      <w:r>
        <w:rPr>
          <w:rtl w:val="true"/>
        </w:rPr>
        <w:t xml:space="preserve"> </w:t>
      </w:r>
      <w:r>
        <w:rPr>
          <w:rtl w:val="true"/>
        </w:rPr>
        <w:t>חודש מאסר ואילו בעניינו של ג</w:t>
      </w:r>
      <w:r>
        <w:rPr>
          <w:rtl w:val="true"/>
        </w:rPr>
        <w:t>'</w:t>
      </w:r>
      <w:r>
        <w:rPr>
          <w:rtl w:val="true"/>
        </w:rPr>
        <w:t xml:space="preserve">נאן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36-14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ולא כפי שנקבע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ולבטח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סובח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מזוז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 </w:t>
      </w:r>
      <w:r>
        <w:rPr>
          <w:rtl w:val="true"/>
        </w:rPr>
        <w:t>ולהעדר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והמלצתו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3725/19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זידאן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(</w:t>
      </w:r>
      <w:r>
        <w:rPr/>
        <w:t>27.1.2020</w:t>
      </w:r>
      <w:r>
        <w:rPr>
          <w:rtl w:val="true"/>
        </w:rPr>
        <w:t xml:space="preserve">)).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'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8"/>
          <w:szCs w:val="34"/>
        </w:rPr>
      </w:pPr>
      <w:r>
        <w:rPr>
          <w:sz w:val="28"/>
          <w:szCs w:val="3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tl w:val="true"/>
        </w:rPr>
        <w:t xml:space="preserve">.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כמסייע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sz w:val="28"/>
          <w:szCs w:val="34"/>
        </w:rPr>
      </w:pPr>
      <w:r>
        <w:rPr>
          <w:sz w:val="28"/>
          <w:szCs w:val="3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עונשיהם של סובחי וג</w:t>
      </w:r>
      <w:r>
        <w:rPr>
          <w:rtl w:val="true"/>
        </w:rPr>
        <w:t>'</w:t>
      </w:r>
      <w:r>
        <w:rPr>
          <w:rtl w:val="true"/>
        </w:rPr>
        <w:t>נאן חורגים במידה ניכרת מן הענישה הראויה ומצדיקים התערבותנו בערעור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ובהתאם לכלל כי אין ערכאת הערעור ממצה את הדין</w:t>
      </w:r>
      <w:r>
        <w:rPr>
          <w:rtl w:val="true"/>
        </w:rPr>
        <w:t xml:space="preserve">, </w:t>
      </w:r>
      <w:r>
        <w:rPr>
          <w:rtl w:val="true"/>
        </w:rPr>
        <w:t>ראינו להעמיד את עונשיהם בתחתית מתחמי הענישה ולדון את סובחי 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ואת ג</w:t>
      </w:r>
      <w:r>
        <w:rPr>
          <w:rtl w:val="true"/>
        </w:rPr>
        <w:t>'</w:t>
      </w:r>
      <w:r>
        <w:rPr>
          <w:rtl w:val="true"/>
        </w:rPr>
        <w:t>נאן 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בנוסף לשאר רכיבי הענישה </w:t>
      </w:r>
      <w:r>
        <w:rPr>
          <w:rtl w:val="true"/>
        </w:rPr>
        <w:t>(</w:t>
      </w:r>
      <w:r>
        <w:rPr>
          <w:rtl w:val="true"/>
        </w:rPr>
        <w:t>למעט צו המבחן שהוטל סובחי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8"/>
          <w:szCs w:val="34"/>
        </w:rPr>
      </w:pPr>
      <w:r>
        <w:rPr>
          <w:rFonts w:cs="FrankRuehl" w:ascii="Arial TUR;Arial" w:hAnsi="Arial TUR;Arial"/>
          <w:spacing w:val="10"/>
          <w:sz w:val="28"/>
          <w:szCs w:val="3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ascii="Arial TUR;Arial" w:hAnsi="Arial TUR;Arial" w:cs="Arial TUR;Arial"/>
          <w:sz w:val="22"/>
          <w:sz w:val="22"/>
          <w:rtl w:val="true"/>
        </w:rPr>
        <w:t>סוף דבר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ערעור המערער ב</w:t>
      </w:r>
      <w:r>
        <w:rPr>
          <w:rFonts w:ascii="Arial TUR;Arial" w:hAnsi="Arial TUR;Arial" w:cs="Arial TUR;Arial"/>
          <w:sz w:val="22"/>
          <w:sz w:val="22"/>
          <w:rtl w:val="true"/>
        </w:rPr>
        <w:t>ע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 </w:t>
      </w:r>
      <w:r>
        <w:rPr>
          <w:rFonts w:cs="Arial TUR;Arial" w:ascii="Arial TUR;Arial" w:hAnsi="Arial TUR;Arial"/>
          <w:sz w:val="22"/>
        </w:rPr>
        <w:t>5330/20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נדחה וערעור המדינה ב</w:t>
      </w:r>
      <w:r>
        <w:rPr>
          <w:rFonts w:ascii="Arial TUR;Arial" w:hAnsi="Arial TUR;Arial" w:cs="Arial TUR;Arial"/>
          <w:sz w:val="22"/>
          <w:sz w:val="22"/>
          <w:rtl w:val="true"/>
        </w:rPr>
        <w:t>ע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פ </w:t>
      </w:r>
      <w:r>
        <w:rPr>
          <w:rFonts w:cs="Arial TUR;Arial" w:ascii="Arial TUR;Arial" w:hAnsi="Arial TUR;Arial"/>
          <w:sz w:val="22"/>
        </w:rPr>
        <w:t>6181/20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התקבל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על פי האמור בפסקה </w:t>
      </w:r>
      <w:r>
        <w:rPr>
          <w:rFonts w:cs="Arial TUR;Arial" w:ascii="Arial TUR;Arial" w:hAnsi="Arial TUR;Arial"/>
          <w:sz w:val="22"/>
        </w:rPr>
        <w:t>16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לעיל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8"/>
          <w:szCs w:val="34"/>
        </w:rPr>
      </w:pPr>
      <w:r>
        <w:rPr>
          <w:rFonts w:cs="Arial TUR;Arial"/>
          <w:sz w:val="28"/>
          <w:szCs w:val="3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cs="Times New Roman"/>
          <w:szCs w:val="20"/>
        </w:rPr>
      </w:pPr>
      <w:r>
        <w:rPr>
          <w:rFonts w:ascii="FrankRuehl" w:hAnsi="FrankRuehl" w:cs="FrankRuehl"/>
          <w:sz w:val="28"/>
          <w:sz w:val="28"/>
          <w:rtl w:val="true"/>
        </w:rPr>
        <w:t>המ</w:t>
      </w:r>
      <w:r>
        <w:rPr>
          <w:rFonts w:ascii="FrankRuehl" w:hAnsi="FrankRuehl" w:cs="FrankRuehl"/>
          <w:sz w:val="28"/>
          <w:sz w:val="28"/>
          <w:rtl w:val="true"/>
        </w:rPr>
        <w:t xml:space="preserve">שיב 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והמשיב </w:t>
      </w:r>
      <w:r>
        <w:rPr>
          <w:rFonts w:cs="FrankRuehl" w:ascii="FrankRuehl" w:hAnsi="FrankRuehl"/>
          <w:sz w:val="28"/>
        </w:rPr>
        <w:t>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</w:t>
      </w:r>
      <w:r>
        <w:rPr>
          <w:rFonts w:ascii="FrankRuehl" w:hAnsi="FrankRuehl" w:cs="FrankRuehl"/>
          <w:sz w:val="28"/>
          <w:sz w:val="28"/>
          <w:rtl w:val="true"/>
        </w:rPr>
        <w:t>ע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 xml:space="preserve">פ </w:t>
      </w:r>
      <w:r>
        <w:rPr>
          <w:rFonts w:cs="FrankRuehl" w:ascii="FrankRuehl" w:hAnsi="FrankRuehl"/>
          <w:sz w:val="28"/>
        </w:rPr>
        <w:t>6181/20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יתייצב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ascii="FrankRuehl" w:hAnsi="FrankRuehl" w:cs="FrankRuehl"/>
          <w:sz w:val="28"/>
          <w:sz w:val="28"/>
          <w:rtl w:val="true"/>
        </w:rPr>
        <w:t xml:space="preserve"> לריצוי עונש</w:t>
      </w:r>
      <w:r>
        <w:rPr>
          <w:rFonts w:ascii="FrankRuehl" w:hAnsi="FrankRuehl" w:cs="FrankRuehl"/>
          <w:sz w:val="28"/>
          <w:sz w:val="28"/>
          <w:rtl w:val="true"/>
        </w:rPr>
        <w:t>יהם</w:t>
      </w:r>
      <w:r>
        <w:rPr>
          <w:rFonts w:ascii="FrankRuehl" w:hAnsi="FrankRuehl" w:cs="FrankRuehl"/>
          <w:sz w:val="28"/>
          <w:sz w:val="28"/>
          <w:rtl w:val="true"/>
        </w:rPr>
        <w:t xml:space="preserve"> ביום </w:t>
      </w:r>
      <w:r>
        <w:rPr>
          <w:rFonts w:cs="FrankRuehl" w:ascii="FrankRuehl" w:hAnsi="FrankRuehl"/>
          <w:sz w:val="28"/>
        </w:rPr>
        <w:t>8.12.2020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עד השעה </w:t>
      </w:r>
      <w:r>
        <w:rPr>
          <w:rFonts w:cs="FrankRuehl" w:ascii="FrankRuehl" w:hAnsi="FrankRuehl"/>
          <w:sz w:val="28"/>
        </w:rPr>
        <w:t>10:00</w:t>
      </w:r>
      <w:r>
        <w:rPr>
          <w:rFonts w:cs="FrankRuehl" w:ascii="FrankRuehl" w:hAnsi="FrankRuehl"/>
          <w:sz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rtl w:val="true"/>
        </w:rPr>
        <w:t>בימ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ר קישון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או על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 w:cs="FrankRuehl"/>
          <w:sz w:val="28"/>
          <w:sz w:val="28"/>
          <w:rtl w:val="true"/>
        </w:rPr>
        <w:t>פי החלטת שירות בתי הסוהר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כשברשות</w:t>
      </w:r>
      <w:r>
        <w:rPr>
          <w:rFonts w:ascii="FrankRuehl" w:hAnsi="FrankRuehl" w:cs="FrankRuehl"/>
          <w:sz w:val="28"/>
          <w:sz w:val="28"/>
          <w:rtl w:val="true"/>
        </w:rPr>
        <w:t>ם</w:t>
      </w:r>
      <w:r>
        <w:rPr>
          <w:rFonts w:ascii="FrankRuehl" w:hAnsi="FrankRuehl" w:cs="FrankRuehl"/>
          <w:sz w:val="28"/>
          <w:sz w:val="28"/>
          <w:rtl w:val="true"/>
        </w:rPr>
        <w:t xml:space="preserve"> תעודות זהות או דרכון ועותק מפסק דין זה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על המ</w:t>
      </w:r>
      <w:r>
        <w:rPr>
          <w:rFonts w:ascii="FrankRuehl" w:hAnsi="FrankRuehl" w:cs="FrankRuehl"/>
          <w:sz w:val="28"/>
          <w:sz w:val="28"/>
          <w:rtl w:val="true"/>
        </w:rPr>
        <w:t>שיבים</w:t>
      </w:r>
      <w:r>
        <w:rPr>
          <w:rFonts w:ascii="FrankRuehl" w:hAnsi="FrankRuehl" w:cs="FrankRuehl"/>
          <w:sz w:val="28"/>
          <w:sz w:val="28"/>
          <w:rtl w:val="true"/>
        </w:rPr>
        <w:t xml:space="preserve"> לתאם את הכניסה למאסר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כולל האפשרות למיון מוקדם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עם ענף אבחון ומיון של שירות בתי הסוהר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בטלפונים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cs="FrankRuehl" w:ascii="FrankRuehl" w:hAnsi="FrankRuehl"/>
          <w:sz w:val="28"/>
        </w:rPr>
        <w:t>08-9787377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או </w:t>
      </w:r>
      <w:r>
        <w:rPr>
          <w:rFonts w:cs="FrankRuehl" w:ascii="FrankRuehl" w:hAnsi="FrankRuehl"/>
          <w:sz w:val="28"/>
        </w:rPr>
        <w:t>08-9787336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cs="Times New Roman"/>
          <w:szCs w:val="20"/>
        </w:rPr>
      </w:pPr>
      <w:r>
        <w:rPr>
          <w:rFonts w:cs="Times New Roman"/>
          <w:szCs w:val="20"/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22.11.2020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20053300</w:t>
      </w:r>
      <w:r>
        <w:rPr>
          <w:sz w:val="16"/>
          <w:rtl w:val="true"/>
        </w:rPr>
        <w:t>_</w:t>
      </w:r>
      <w:r>
        <w:rPr>
          <w:sz w:val="16"/>
        </w:rPr>
        <w:t>Q02.docx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54678313-5330/20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5330/20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סמיר ענבתאוי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2"/>
        <w:szCs w:val="22"/>
        <w:rFonts w:ascii="FrankRuehl" w:hAnsi="FrankRuehl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color w:val="000000"/>
      <w:sz w:val="22"/>
      <w:szCs w:val="22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9594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case/25295949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case/26280657" TargetMode="External"/><Relationship Id="rId24" Type="http://schemas.openxmlformats.org/officeDocument/2006/relationships/hyperlink" Target="http://www.nevo.co.il/case/26341758" TargetMode="External"/><Relationship Id="rId25" Type="http://schemas.openxmlformats.org/officeDocument/2006/relationships/hyperlink" Target="http://www.nevo.co.il/case/26329687" TargetMode="External"/><Relationship Id="rId26" Type="http://schemas.openxmlformats.org/officeDocument/2006/relationships/hyperlink" Target="http://www.nevo.co.il/case/24140838" TargetMode="External"/><Relationship Id="rId27" Type="http://schemas.openxmlformats.org/officeDocument/2006/relationships/hyperlink" Target="http://www.nevo.co.il/case/25612982" TargetMode="External"/><Relationship Id="rId28" Type="http://schemas.openxmlformats.org/officeDocument/2006/relationships/hyperlink" Target="http://www.nevo.co.il/case/23750625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23226250" TargetMode="External"/><Relationship Id="rId31" Type="http://schemas.openxmlformats.org/officeDocument/2006/relationships/hyperlink" Target="http://www.nevo.co.il/case/25748013" TargetMode="External"/><Relationship Id="rId32" Type="http://schemas.openxmlformats.org/officeDocument/2006/relationships/hyperlink" Target="http://supreme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2020-11-23T12:12:00Z</dcterms:created>
  <dc:creator>h4</dc:creator>
  <dc:description/>
  <cp:keywords/>
  <dc:language>en-IL</dc:language>
  <cp:lastModifiedBy>orly</cp:lastModifiedBy>
  <cp:lastPrinted>2020-11-22T14:05:00Z</cp:lastPrinted>
  <dcterms:modified xsi:type="dcterms:W3CDTF">2020-11-23T12:12:00Z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סמיר ענבתאוי;מדינת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ישראל;סובחי חג'יר;ג'נאן סבית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25295949:2;26280657;26341758;26329687;24140838;25612982;23750625;25824863;23226250;25748013</vt:lpwstr>
  </property>
  <property fmtid="{D5CDD505-2E9C-101B-9397-08002B2CF9AE}" pid="9" name="CITY">
    <vt:lpwstr/>
  </property>
  <property fmtid="{D5CDD505-2E9C-101B-9397-08002B2CF9AE}" pid="10" name="DATE">
    <vt:lpwstr>20201122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קרא;ח' מלצר</vt:lpwstr>
  </property>
  <property fmtid="{D5CDD505-2E9C-101B-9397-08002B2CF9AE}" pid="14" name="LAWLISTTMP1">
    <vt:lpwstr>70301/144.a:3;144.b:3;029:2;144.b2:2;031:2</vt:lpwstr>
  </property>
  <property fmtid="{D5CDD505-2E9C-101B-9397-08002B2CF9AE}" pid="15" name="LAWYER">
    <vt:lpwstr>מוחמד מסרי;יוסף חורי;אוסאמה חטיב;מירי קולומבוס;ברכה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מתחם הענישה</vt:lpwstr>
  </property>
  <property fmtid="{D5CDD505-2E9C-101B-9397-08002B2CF9AE}" pid="53" name="NOSE35">
    <vt:lpwstr>אחדות הענישה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13800;8982;8994;14985;12547</vt:lpwstr>
  </property>
  <property fmtid="{D5CDD505-2E9C-101B-9397-08002B2CF9AE}" pid="59" name="PADIDATE">
    <vt:lpwstr>20201123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5330;6181</vt:lpwstr>
  </property>
  <property fmtid="{D5CDD505-2E9C-101B-9397-08002B2CF9AE}" pid="65" name="PROCYEAR">
    <vt:lpwstr>20;20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410120201122</vt:lpwstr>
  </property>
  <property fmtid="{D5CDD505-2E9C-101B-9397-08002B2CF9AE}" pid="69" name="TYPE_N_DATE">
    <vt:lpwstr>41020201122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