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5359/20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  <w:sz w:val="26"/>
          <w:szCs w:val="26"/>
        </w:rPr>
      </w:pPr>
      <w:r>
        <w:rPr>
          <w:rFonts w:cs="Miriam"/>
          <w:b/>
          <w:bCs/>
          <w:sz w:val="26"/>
          <w:szCs w:val="26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57"/>
        <w:gridCol w:w="6771"/>
      </w:tblGrid>
      <w:tr>
        <w:trPr>
          <w:trHeight w:val="287" w:hRule="atLeast"/>
        </w:trPr>
        <w:tc>
          <w:tcPr>
            <w:tcW w:w="1757" w:type="dxa"/>
            <w:tcBorders/>
          </w:tcPr>
          <w:p>
            <w:pPr>
              <w:pStyle w:val="ruller311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ל</w:t>
            </w:r>
            <w:r>
              <w:rPr>
                <w:sz w:val="26"/>
                <w:sz w:val="26"/>
                <w:szCs w:val="26"/>
                <w:rtl w:val="true"/>
              </w:rPr>
              <w:t>פני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6771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1757" w:type="dxa"/>
            <w:tcBorders/>
          </w:tcPr>
          <w:p>
            <w:pPr>
              <w:pStyle w:val="ruller311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6771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1757" w:type="dxa"/>
            <w:tcBorders/>
          </w:tcPr>
          <w:p>
            <w:pPr>
              <w:pStyle w:val="ruller311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6771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וילנר</w:t>
            </w:r>
          </w:p>
        </w:tc>
      </w:tr>
    </w:tbl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06"/>
        <w:gridCol w:w="6822"/>
      </w:tblGrid>
      <w:tr>
        <w:trPr/>
        <w:tc>
          <w:tcPr>
            <w:tcW w:w="1706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6"/>
                <w:szCs w:val="26"/>
              </w:rPr>
            </w:pPr>
            <w:bookmarkStart w:id="3" w:name="FirstAppellant"/>
            <w:bookmarkEnd w:id="3"/>
            <w:r>
              <w:rPr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6822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פלוני</w:t>
            </w:r>
          </w:p>
        </w:tc>
      </w:tr>
    </w:tbl>
    <w:p>
      <w:pPr>
        <w:pStyle w:val="Normal"/>
        <w:tabs>
          <w:tab w:val="clear" w:pos="720"/>
          <w:tab w:val="left" w:pos="1539" w:leader="none"/>
        </w:tabs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ruller311"/>
        <w:ind w:end="0"/>
        <w:jc w:val="center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ג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ד</w:t>
      </w:r>
    </w:p>
    <w:p>
      <w:pPr>
        <w:pStyle w:val="Normal"/>
        <w:tabs>
          <w:tab w:val="clear" w:pos="720"/>
          <w:tab w:val="left" w:pos="1539" w:leader="none"/>
        </w:tabs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22"/>
        <w:gridCol w:w="6806"/>
      </w:tblGrid>
      <w:tr>
        <w:trPr/>
        <w:tc>
          <w:tcPr>
            <w:tcW w:w="1722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המשיבים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6806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rtl w:val="true"/>
              </w:rPr>
              <w:t xml:space="preserve">.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6806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rtl w:val="true"/>
              </w:rPr>
              <w:t xml:space="preserve">. </w:t>
            </w:r>
            <w:r>
              <w:rPr>
                <w:sz w:val="26"/>
                <w:sz w:val="26"/>
                <w:szCs w:val="26"/>
                <w:rtl w:val="true"/>
              </w:rPr>
              <w:t>פלוני</w:t>
            </w:r>
          </w:p>
        </w:tc>
      </w:tr>
    </w:tbl>
    <w:p>
      <w:pPr>
        <w:pStyle w:val="Heading1"/>
        <w:ind w:hanging="0" w:start="0" w:end="0"/>
        <w:jc w:val="start"/>
        <w:rPr>
          <w:rFonts w:cs="David"/>
          <w:sz w:val="2"/>
          <w:szCs w:val="2"/>
        </w:rPr>
      </w:pPr>
      <w:r>
        <w:rPr>
          <w:rFonts w:cs="David"/>
          <w:sz w:val="2"/>
          <w:szCs w:val="2"/>
          <w:rtl w:val="true"/>
        </w:rPr>
      </w:r>
    </w:p>
    <w:tbl>
      <w:tblPr>
        <w:bidiVisual w:val="true"/>
        <w:tblW w:w="8501" w:type="dxa"/>
        <w:jc w:val="start"/>
        <w:tblInd w:w="-1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872"/>
        <w:gridCol w:w="6629"/>
      </w:tblGrid>
      <w:tr>
        <w:trPr>
          <w:trHeight w:val="261" w:hRule="atLeast"/>
        </w:trPr>
        <w:tc>
          <w:tcPr>
            <w:tcW w:w="1872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6629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ערעור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גזר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דינו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המשפט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המחוזי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לנוער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בבאר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שבע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מיום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16.6.2020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בתפ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8608-19-18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שניתן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כב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סגן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הנשיאה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sz w:val="26"/>
                <w:sz w:val="26"/>
                <w:szCs w:val="26"/>
                <w:rtl w:val="true"/>
              </w:rPr>
              <w:t>זלוצ</w:t>
            </w:r>
            <w:r>
              <w:rPr>
                <w:b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sz w:val="26"/>
                <w:sz w:val="26"/>
                <w:szCs w:val="26"/>
                <w:rtl w:val="true"/>
              </w:rPr>
              <w:t>ובר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והשופטים</w:t>
            </w:r>
            <w:r>
              <w:rPr>
                <w:rFonts w:cs="Times New Roman"/>
                <w:b/>
                <w:b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sz w:val="26"/>
                <w:sz w:val="26"/>
                <w:szCs w:val="26"/>
                <w:rtl w:val="true"/>
              </w:rPr>
              <w:t>ש</w:t>
            </w:r>
            <w:r>
              <w:rPr>
                <w:b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sz w:val="26"/>
                <w:sz w:val="26"/>
                <w:szCs w:val="26"/>
                <w:rtl w:val="true"/>
              </w:rPr>
              <w:t>פרידלנדר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sz w:val="26"/>
                <w:sz w:val="26"/>
                <w:szCs w:val="26"/>
                <w:rtl w:val="true"/>
              </w:rPr>
              <w:t>כהן</w:t>
            </w:r>
          </w:p>
        </w:tc>
      </w:tr>
      <w:tr>
        <w:trPr/>
        <w:tc>
          <w:tcPr>
            <w:tcW w:w="1872" w:type="dxa"/>
            <w:tcBorders/>
            <w:tcMar>
              <w:start w:w="108" w:type="dxa"/>
              <w:end w:w="108" w:type="dxa"/>
            </w:tcMar>
          </w:tcPr>
          <w:p>
            <w:pPr>
              <w:pStyle w:val="ruller311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6629" w:type="dxa"/>
            <w:tcBorders/>
            <w:tcMar>
              <w:start w:w="108" w:type="dxa"/>
              <w:end w:w="108" w:type="dxa"/>
            </w:tcMar>
          </w:tcPr>
          <w:p>
            <w:pPr>
              <w:pStyle w:val="precasestyle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872" w:type="dxa"/>
            <w:tcBorders/>
            <w:tcMar>
              <w:start w:w="108" w:type="dxa"/>
              <w:end w:w="108" w:type="dxa"/>
            </w:tcMar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הישיב</w:t>
            </w:r>
            <w:r>
              <w:rPr>
                <w:sz w:val="26"/>
                <w:sz w:val="26"/>
                <w:szCs w:val="26"/>
                <w:rtl w:val="true"/>
              </w:rPr>
              <w:t>ות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6629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ט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בחשון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התשפ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א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</w:rPr>
              <w:t>2.11.2020</w:t>
            </w:r>
            <w:r>
              <w:rPr>
                <w:sz w:val="26"/>
                <w:szCs w:val="26"/>
                <w:rtl w:val="true"/>
              </w:rPr>
              <w:t xml:space="preserve">); 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באדר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התשפ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א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</w:rPr>
              <w:t>10.3.2021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80"/>
        <w:gridCol w:w="6821"/>
      </w:tblGrid>
      <w:tr>
        <w:trPr/>
        <w:tc>
          <w:tcPr>
            <w:tcW w:w="1680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bookmarkStart w:id="4" w:name="lawyers_a_title"/>
            <w:bookmarkEnd w:id="4"/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6821" w:type="dxa"/>
            <w:tcBorders/>
          </w:tcPr>
          <w:p>
            <w:pPr>
              <w:pStyle w:val="precasestyle"/>
              <w:ind w:end="0"/>
              <w:jc w:val="start"/>
              <w:rPr>
                <w:rFonts w:cs="David"/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ד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נעה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זעירא</w:t>
            </w:r>
            <w:r>
              <w:rPr>
                <w:rFonts w:cs="David"/>
                <w:sz w:val="26"/>
                <w:szCs w:val="26"/>
                <w:rtl w:val="true"/>
              </w:rPr>
              <w:t xml:space="preserve">;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ד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רחל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דניאלי</w:t>
            </w:r>
            <w:r>
              <w:rPr>
                <w:rFonts w:cs="David"/>
                <w:sz w:val="26"/>
                <w:szCs w:val="26"/>
                <w:rtl w:val="true"/>
              </w:rPr>
              <w:tab/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72"/>
        <w:gridCol w:w="6629"/>
      </w:tblGrid>
      <w:tr>
        <w:trPr/>
        <w:tc>
          <w:tcPr>
            <w:tcW w:w="1872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bookmarkStart w:id="5" w:name="FirstLawyer"/>
            <w:bookmarkStart w:id="6" w:name="lawyers_b_title"/>
            <w:bookmarkEnd w:id="5"/>
            <w:bookmarkEnd w:id="6"/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המשיב</w:t>
            </w:r>
            <w:r>
              <w:rPr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6629" w:type="dxa"/>
            <w:tcBorders/>
          </w:tcPr>
          <w:p>
            <w:pPr>
              <w:pStyle w:val="precasestyle"/>
              <w:snapToGrid w:val="false"/>
              <w:ind w:end="0"/>
              <w:jc w:val="start"/>
              <w:rPr>
                <w:rFonts w:cs="David"/>
                <w:sz w:val="26"/>
                <w:szCs w:val="26"/>
              </w:rPr>
            </w:pPr>
            <w:r>
              <w:rPr>
                <w:rFonts w:cs="David"/>
                <w:sz w:val="26"/>
                <w:szCs w:val="26"/>
                <w:rtl w:val="true"/>
              </w:rPr>
            </w:r>
          </w:p>
          <w:p>
            <w:pPr>
              <w:pStyle w:val="precasestyle"/>
              <w:ind w:end="0"/>
              <w:jc w:val="start"/>
              <w:rPr>
                <w:rFonts w:cs="David"/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ד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אושרה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פטל</w:t>
            </w:r>
            <w:r>
              <w:rPr>
                <w:rFonts w:cs="David"/>
                <w:sz w:val="26"/>
                <w:szCs w:val="26"/>
                <w:rtl w:val="true"/>
              </w:rPr>
              <w:t>-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רוזנברג</w:t>
            </w:r>
            <w:r>
              <w:rPr>
                <w:rFonts w:cs="David"/>
                <w:sz w:val="26"/>
                <w:szCs w:val="26"/>
                <w:rtl w:val="true"/>
              </w:rPr>
              <w:tab/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center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45"/>
        <w:gridCol w:w="6856"/>
      </w:tblGrid>
      <w:tr>
        <w:trPr/>
        <w:tc>
          <w:tcPr>
            <w:tcW w:w="1645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המשיב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6856" w:type="dxa"/>
            <w:tcBorders/>
          </w:tcPr>
          <w:p>
            <w:pPr>
              <w:pStyle w:val="ruller311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לינא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סולטאן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בשארה</w:t>
            </w:r>
            <w:r>
              <w:rPr>
                <w:sz w:val="26"/>
                <w:szCs w:val="26"/>
                <w:rtl w:val="true"/>
              </w:rPr>
              <w:t xml:space="preserve">;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לידיה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רבינוביץ</w:t>
            </w:r>
            <w:r>
              <w:rPr>
                <w:sz w:val="26"/>
                <w:szCs w:val="26"/>
                <w:rtl w:val="true"/>
              </w:rPr>
              <w:tab/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7" w:name="LawTable"/>
      <w:bookmarkEnd w:id="7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22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שפיטה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24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המרכז לגביית קנסות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אגרות והוצאות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0" w:name="ABSTRACT_START"/>
      <w:bookmarkEnd w:id="10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בביצוע עבירה של ניסיון למעשה סדום והושת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תשלום פיצוי למתלונן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50,000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שיקולי השיקום של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יכולתם הכלכלית וכושר ההשתכרות שלהם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נפסק כי יש להפחית את סכום הפיצוי לסך של </w:t>
      </w:r>
      <w:r>
        <w:rPr>
          <w:rFonts w:cs="Times New Roman" w:ascii="Times New Roman" w:hAnsi="Times New Roman"/>
          <w:spacing w:val="0"/>
          <w:sz w:val="24"/>
          <w:szCs w:val="26"/>
        </w:rPr>
        <w:t>25,000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ולפרוס אותו לתשלומים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 מבחן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לקולה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אחדות הענישה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קטין יליד חודש </w:t>
      </w:r>
      <w:r>
        <w:rPr>
          <w:rFonts w:cs="Times New Roman" w:ascii="Times New Roman" w:hAnsi="Times New Roman"/>
          <w:spacing w:val="0"/>
          <w:sz w:val="24"/>
          <w:szCs w:val="26"/>
        </w:rPr>
        <w:t>10/2003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בעבירה של ניסיון למעשה סדום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המערער נגזרו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 w:val="24"/>
          <w:szCs w:val="26"/>
        </w:rPr>
        <w:t>200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שעות שירות לתועלת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צו מבחן למשך </w:t>
      </w:r>
      <w:r>
        <w:rPr>
          <w:rFonts w:cs="Times New Roman" w:ascii="Times New Roman" w:hAnsi="Times New Roman"/>
          <w:spacing w:val="0"/>
          <w:sz w:val="24"/>
          <w:szCs w:val="26"/>
        </w:rPr>
        <w:t>30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ופיצוי למתלונן נפגע העבירה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50,000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נסב על אורכה של תקופת צו המבחן שנקבעה ועל גובה הפיצוי שהושת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השופטת וילנר ובהסכמת השופטים מזוז וקרא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בחלקו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לגובה הפיצוי למתלונן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היא כי ערכאת הערעור אינה נוטה להתערב בעונש שגזרה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התערבות כאמור תתבצע אך במקרים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נופל בגדר מקרים חריגים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וקיימת הצדקה להתערבות בגזר דינו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בכל הנוגע לרכיב הפיצוי שנפסק לטובת 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הוא חורג באופן ניכר ממדיניות הענישה הנוהגת בעניינם של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קיים אינטרס ציבורי חשוב בהקפדה על עיקרון אחידות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שלפיו בנסיבות דומות מבחינת אופי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חומרתן ונסיבות ביצוען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לגזור ענישה אחידה ושוויונית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במגבלות האפשר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 עיקרון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להפחית מסכום הפיצוי אשר הושת על המערער לשלם למתלונן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ולהתאימו למדיניות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המסקנה שלפיה יש להקטין את סכום הפיצוי שנגזר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נתמכת גם בתכלית העיקרית בהליכים פליליים המתנהלים נגד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תכלית השיקום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קטינים רבים נעדרי כושר השתכרות ממשי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אחת משמעות הטלת חובת פיצוי כספי בשיעור גבוה על 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כי הקטין יצבור חוב פיגורים וריביות אשר ילווה אותו שנים רבות לתוך בגרותו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וימנע ממנו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לפתוח דף חדש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ריצוי 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הטלת פיצוי בסכום גבוה על קטין מובילה לעתים קרובות לכך שהורי הקטין ומשפחתו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לא ביצעו את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הם אלו שנושאים בנטל התשלום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נראה כי המחוקק היה ער לקושי הכרוך בכך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רשאי להטיל פיצוי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הוצאות או קנס על הורי הקטין באופן ישיר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אך זאת בסך שלא יעלה על </w:t>
      </w:r>
      <w:r>
        <w:rPr>
          <w:rFonts w:cs="Times New Roman" w:ascii="Times New Roman" w:hAnsi="Times New Roman"/>
          <w:spacing w:val="0"/>
          <w:sz w:val="24"/>
          <w:szCs w:val="26"/>
        </w:rPr>
        <w:t>10,000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הטלת פיצוי גבוה על קטין שלא יוכל לעמוד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שבמקרים רבים הוריו יאלצו לשאת בפיצוי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מחטיא את תכליות ההליך הפלילי שלפיהן העבריין הוא הנושא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 אם הכלל שלפיו שיעור הפיצוי הנפסק לטובת נפגע העבירה במסגרת ההליך הפלילי אינו תלוי ביכולתו הכלכלית של הנאשם תואם את התכליות והמאפיינים הייחודיים של הליכים פליליים המתנהלים נגד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ליישם כלל זה באופן גמיש בכל הנוגע לקביעת שיעור הפיצוי בעניינם של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נראה ששיקולי השיקום של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יכולתם הכלכלית וכושר ההשתכרות שלהם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משמשים בפועל שיקולים רלוונטיים בעת קביעת שיעור הפיצוי בו הם חבים כלפי קורבנות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סכומי הפיצוי בהם חויבו קטינים שהורשעו בעבירות מין חמורות נמוכים באופן ניכר ביחס לסכומים דומים שנפסקים כאשר הנאשמים בעבירות שכאלה הם בגירים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בנסיבות העניין יש להפחית את סכום הפיצוי שנגזר על המערער לשלם למתלונן ולהעמידו על סך של </w:t>
      </w:r>
      <w:r>
        <w:rPr>
          <w:rFonts w:cs="Times New Roman" w:ascii="Times New Roman" w:hAnsi="Times New Roman"/>
          <w:spacing w:val="0"/>
          <w:sz w:val="24"/>
          <w:szCs w:val="26"/>
        </w:rPr>
        <w:t>25,000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ולפרוס אותו לתשלומים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במסקנה זו כדי להפחית ממידת החומרה שבמעשי המערער ומהנזק שגרם למתלונן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העוסק בתקופת צו המבחן נדחה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הסכמת הורי המערער להמלצת שירות המבחן להותרת גזר הדין ברכיב זה על כנו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והסכמת כלל גורמי המקצוע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PsakDin"/>
            <w:bookmarkStart w:id="14" w:name="BeginProtocol"/>
            <w:bookmarkStart w:id="15" w:name="secretary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6" w:name="Writer_Name"/>
      <w:bookmarkEnd w:id="16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7" w:name="Start_Write"/>
      <w:bookmarkStart w:id="18" w:name="Start_Write"/>
      <w:bookmarkEnd w:id="18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זלוצ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</w:t>
      </w:r>
      <w:r>
        <w:rPr>
          <w:rtl w:val="true"/>
        </w:rPr>
        <w:t xml:space="preserve">, </w:t>
      </w:r>
      <w:r>
        <w:rPr>
          <w:rtl w:val="true"/>
        </w:rPr>
        <w:t>והשופטים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פרידלנדר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8608-09-18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16.6.2020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;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שמתוכם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eastAsia="Arial TUR" w:cs="Arial TUR"/>
          <w:rtl w:val="true"/>
        </w:rPr>
        <w:t xml:space="preserve"> </w:t>
      </w:r>
      <w:r>
        <w:rPr/>
        <w:t>31.7.2022</w:t>
      </w:r>
      <w:r>
        <w:rPr>
          <w:rtl w:val="true"/>
        </w:rPr>
        <w:t xml:space="preserve">, </w:t>
      </w:r>
      <w:r>
        <w:rPr>
          <w:rtl w:val="true"/>
        </w:rPr>
        <w:t>ויתר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eastAsia="Arial TUR" w:cs="Arial TUR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ובצירוף</w:t>
      </w:r>
      <w:r>
        <w:rPr>
          <w:rFonts w:eastAsia="Arial TUR" w:cs="Arial TUR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10.9.2017</w:t>
      </w:r>
      <w:r>
        <w:rPr>
          <w:rtl w:val="true"/>
        </w:rPr>
        <w:t xml:space="preserve"> </w:t>
      </w:r>
      <w:r>
        <w:rPr>
          <w:rtl w:val="true"/>
        </w:rPr>
        <w:t>הבחינו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</w:t>
      </w:r>
      <w:r>
        <w:rPr>
          <w:rtl w:val="true"/>
        </w:rPr>
        <w:t xml:space="preserve">),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וניגשו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לרקוד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הסלולרי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לפניהם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שפשף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בכאבים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לבכות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5.2.2020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ששולב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אחווה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לימודית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ללימודי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מקצועית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המסגרות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הדיווחים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דווח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הלקחים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ובמעון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להשתלב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בקבוצה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צרכיו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מרתיע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ומארגן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הומלץ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31.7.2021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והשתלבות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בלימודיו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ובהכשרה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המקצועית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ניכרים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, </w:t>
      </w:r>
      <w:r>
        <w:rPr>
          <w:rtl w:val="true"/>
        </w:rPr>
        <w:t>בהישגיו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הלימודיים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בשיקומו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14.5.2020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להמלצות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בנדון</w:t>
      </w:r>
      <w:r>
        <w:rPr>
          <w:rtl w:val="true"/>
        </w:rPr>
        <w:t xml:space="preserve">: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77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יולי</w:t>
      </w:r>
      <w:r>
        <w:rPr>
          <w:rFonts w:eastAsia="Arial TUR" w:cs="Arial TUR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המיטבי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לעמדותיו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ולהמלצותיו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הסתפקות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31.7.2021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והשגחה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למזעור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31.7.2022</w:t>
      </w:r>
      <w:r>
        <w:rPr>
          <w:rtl w:val="true"/>
        </w:rPr>
        <w:t xml:space="preserve">, </w:t>
      </w:r>
      <w:r>
        <w:rPr>
          <w:rtl w:val="true"/>
        </w:rPr>
        <w:t>וביתרת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שנשקלו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והעקרונות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בנדון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יושפע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ומתייחס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עיקריות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הייחודיים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לענישת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בצריף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, </w:t>
      </w:r>
      <w:r>
        <w:rPr>
          <w:rtl w:val="true"/>
        </w:rPr>
        <w:t>הוריו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מתפרנסים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בדוחק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לעין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ויתפח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ויציאתו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בוגרים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שיידחו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יתערב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תשלומו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יופקד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ולאלתר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והתרשם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מהתקדמותו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וסטייה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השיקומית</w:t>
      </w:r>
      <w:r>
        <w:rPr>
          <w:rtl w:val="true"/>
        </w:rPr>
        <w:t>-</w:t>
      </w:r>
      <w:r>
        <w:rPr>
          <w:rtl w:val="true"/>
        </w:rPr>
        <w:t>טיפולית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רתומים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קיצור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ויפיח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2.11.2020</w:t>
      </w:r>
      <w:r>
        <w:rPr>
          <w:rtl w:val="true"/>
        </w:rPr>
        <w:t xml:space="preserve"> </w:t>
      </w:r>
      <w:r>
        <w:rPr>
          <w:rtl w:val="true"/>
        </w:rPr>
        <w:t>סמכה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ומועדו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נציגת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עדכני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מחודשת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הומלץ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נציגת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יעקוב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התקדמותו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ויעריך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בנדון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ותיאר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מתמודדים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והממושך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ולמשפחתו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, </w:t>
      </w:r>
      <w:r>
        <w:rPr>
          <w:rtl w:val="true"/>
        </w:rPr>
        <w:t>וציינה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והתנהגותיים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ולדחות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השהייה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יוגש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עדכני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10.3.2021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מחופשה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דפוסי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הבעייתיים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והמושרשים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המדגישים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צרכיו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פנימיים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הכאוטיים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31.7.2022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1.2.2023</w:t>
      </w:r>
      <w:r>
        <w:rPr>
          <w:rtl w:val="true"/>
        </w:rPr>
        <w:t xml:space="preserve"> </w:t>
      </w:r>
      <w:r>
        <w:rPr>
          <w:rtl w:val="true"/>
        </w:rPr>
        <w:t>ימשיך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. </w:t>
      </w:r>
      <w:r>
        <w:rPr>
          <w:rtl w:val="true"/>
        </w:rPr>
        <w:t>להמלצה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התשלומים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המבחן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ימליצו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: </w:t>
      </w:r>
      <w:r>
        <w:rPr>
          <w:rtl w:val="true"/>
        </w:rPr>
        <w:t>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ייפרס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לתשלומים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הפיצוי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למתלונן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21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2661/12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19.11.2012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2661/12</w:t>
        </w:r>
      </w:hyperlink>
      <w:r>
        <w:rPr>
          <w:rFonts w:cs="Century" w:ascii="Century" w:hAnsi="Century"/>
          <w:rtl w:val="true"/>
        </w:rPr>
        <w:t xml:space="preserve">); 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6209/13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29.1.2014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hyperlink r:id="rId2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6209/13</w:t>
        </w:r>
      </w:hyperlink>
      <w:r>
        <w:rPr>
          <w:rFonts w:cs="Century" w:ascii="Century" w:hAnsi="Century"/>
          <w:rtl w:val="true"/>
        </w:rPr>
        <w:t xml:space="preserve">); 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593/18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17.4.2018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6209/13</w:t>
      </w:r>
      <w:r>
        <w:rPr>
          <w:rFonts w:cs="Century" w:ascii="Century" w:hAnsi="Century"/>
          <w:rtl w:val="true"/>
        </w:rPr>
        <w:t xml:space="preserve">)).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נופל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קטינים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עיון בפסקי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דין שבהם נדון עונשם של קטינים אשר הורשעו בעבירות שבוצעו בנסיבות דומות לנסיבות העבירה שבה הורשע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מוליך למסקנה כי הפיצוי למתלונן שבו חויב המערער חורג באופן ניכר משיעור הפיצוי שנפסק במקרים דומים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למשל</w:t>
      </w:r>
      <w:r>
        <w:rPr>
          <w:rFonts w:cs="Century" w:ascii="Century" w:hAnsi="Century"/>
          <w:rtl w:val="true"/>
        </w:rPr>
        <w:t xml:space="preserve">: 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7113/08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15.12.2018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hyperlink r:id="rId3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7113/08</w:t>
        </w:r>
      </w:hyperlink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שבו הוטל פיצוי בגובה </w:t>
      </w:r>
      <w:r>
        <w:rPr>
          <w:rFonts w:cs="Century" w:ascii="Century" w:hAnsi="Century"/>
        </w:rPr>
        <w:t>25,000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; 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6163/10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14.3.2011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hyperlink r:id="rId3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6163/10</w:t>
        </w:r>
      </w:hyperlink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שבו הוטל פיצוי בגובה </w:t>
      </w:r>
      <w:r>
        <w:rPr>
          <w:rFonts w:cs="Century" w:ascii="Century" w:hAnsi="Century"/>
        </w:rPr>
        <w:t>20,000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; </w:t>
      </w:r>
      <w:hyperlink r:id="rId3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2661/12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שבו הוטל פיצוי בגובה </w:t>
      </w:r>
      <w:r>
        <w:rPr>
          <w:rFonts w:cs="Century" w:ascii="Century" w:hAnsi="Century"/>
        </w:rPr>
        <w:t>10,000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; </w:t>
      </w:r>
      <w:hyperlink r:id="rId3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6209/13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שבו הוטל פיצוי בגובה </w:t>
      </w:r>
      <w:r>
        <w:rPr>
          <w:rFonts w:cs="Century" w:ascii="Century" w:hAnsi="Century"/>
        </w:rPr>
        <w:t>25,000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על כל אחד מהמערערים</w:t>
      </w:r>
      <w:r>
        <w:rPr>
          <w:rFonts w:cs="Century" w:ascii="Century" w:hAnsi="Century"/>
          <w:rtl w:val="true"/>
        </w:rPr>
        <w:t xml:space="preserve">; </w:t>
      </w:r>
      <w:hyperlink r:id="rId3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4425/14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25.11.2014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שבו הוטל פיצוי בגובה </w:t>
      </w:r>
      <w:r>
        <w:rPr>
          <w:rFonts w:cs="Century" w:ascii="Century" w:hAnsi="Century"/>
        </w:rPr>
        <w:t>30,000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; </w:t>
      </w:r>
      <w:hyperlink r:id="rId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6590/17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11.11.2018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שבו הוטל פיצוי בגובה של </w:t>
      </w:r>
      <w:r>
        <w:rPr>
          <w:rFonts w:cs="Century" w:ascii="Century" w:hAnsi="Century"/>
        </w:rPr>
        <w:t>25,000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; </w:t>
      </w:r>
      <w:hyperlink r:id="rId3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593/18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שבו הוטלו על פיצוי בגובה של </w:t>
      </w:r>
      <w:r>
        <w:rPr>
          <w:rFonts w:cs="Century" w:ascii="Century" w:hAnsi="Century"/>
        </w:rPr>
        <w:t>10,000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יצוין כי בחלק מפסקי הדין שהובאו לעיל דובר בעבירות של מעשים מגונים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ואולם מדובר בריבוי עבירות ובמעשים מגונים ברף הגבוה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חלקם בוצעו בתוך המשפחה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ושבגינם אף הוטלו עונשי מאסר על הקטינים שביצעו את העבירות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בחלק אחר מפסקי הדין שהובאו דובר בעבירות של מעשי סדום או בעבירות של אינוס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להבדיל מענייננו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שבו הורשע המערער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בניסיון</w:t>
      </w:r>
      <w:r>
        <w:rPr>
          <w:rFonts w:ascii="Century" w:hAnsi="Century" w:cs="Century"/>
          <w:rtl w:val="true"/>
        </w:rPr>
        <w:t xml:space="preserve"> למעשה סדום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כפי שצוין לא אחת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והדברים ידועים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קיים אינטרס ציבורי חשוב בהקפדה על עיקרון אחידות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שלפיו בנסיבות דומות מבחינת אופי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חומרתן ונסיבות ביצוען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לגזור ענישה אחידה ושוויונית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במגבלות האפשר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למשל</w:t>
      </w:r>
      <w:r>
        <w:rPr>
          <w:rFonts w:cs="Century" w:ascii="Century" w:hAnsi="Century"/>
          <w:rtl w:val="true"/>
        </w:rPr>
        <w:t xml:space="preserve">: </w:t>
      </w:r>
      <w:hyperlink r:id="rId3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6823/18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5.3.2020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לנוכח עיקרון זה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יש להפחית מסכום הפיצוי אשר הושת על המערער לשלם למתלונן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ולהתאימו למדיניות הענישה הנוהגת כאמור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חשוב לציין כי המסקנה אליה הגעתי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יש להקטין את סכום הפיצוי שנגזר על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נתמכת גם בתכלית העיקרית בהליכים פליליים המתנהלים נגד קטינים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היא תכלית השיקום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אבהיר דבריי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נקבע לא אחת כי בעת גזירת עונשו של קטין יש להעדיף את שיקולי השיקום על פני שיקולי ענישה 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בשל האינטרס הציבורי הראשון במעלה של שיקום נאשמים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קטינים והחזרתם למוטב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4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8863/15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7.6.2016</w:t>
      </w:r>
      <w:r>
        <w:rPr>
          <w:rFonts w:cs="Century" w:ascii="Century" w:hAnsi="Century"/>
          <w:rtl w:val="true"/>
        </w:rPr>
        <w:t xml:space="preserve">); </w:t>
      </w:r>
      <w:hyperlink r:id="rId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821/16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19.7.2016</w:t>
      </w:r>
      <w:r>
        <w:rPr>
          <w:rFonts w:cs="Century" w:ascii="Century" w:hAnsi="Century"/>
          <w:rtl w:val="true"/>
        </w:rPr>
        <w:t xml:space="preserve">); </w:t>
      </w:r>
      <w:hyperlink r:id="rId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6938/17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26.12.2017</w:t>
      </w:r>
      <w:r>
        <w:rPr>
          <w:rFonts w:cs="Century" w:ascii="Century" w:hAnsi="Century"/>
          <w:rtl w:val="true"/>
        </w:rPr>
        <w:t xml:space="preserve">); </w:t>
      </w:r>
      <w:hyperlink r:id="rId4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593/18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17.4.2018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אני סבורה כי שיקולי שיקום אלה רלוונטיים אף ביחס לגובה הפיצוי שיש להשית על קטינים מבצעי עבירה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רבים הם הקטינים אשר משתכרים שכר חודשי קבוע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קטינים רבים הם נעדרי כושר השתכרות ממשי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אחת משמעות הטלת חובת פיצוי כספי בשיעור גבוה על קטין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עוד הוא עודנו קטין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כי הקטין יצבור חוב פיגורים וריביות אשר ילווה אותו שנים רבות לתוך בגרותו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וימנע ממנו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לפתוח דף חדש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לאחר ריצוי עונשו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העול של חובות עבר בסכומים גבוהים על אדם בתחילת חייו הבוגרים עלול להטיל צל כבד על הליך השיקום של הקטין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זקוק לאופק של תקווה ולאמונה כי חייו יוכלו לשוב למסלול חברתי תקין ולחיים פרודוקטיביים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יתר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הטלת פיצוי בסכום גבוה על קטין מובילה לעתים קרובות לכך שהורי הקטין ומשפחתו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לא ביצעו את העבירה הנדונה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הם אלו שנושאים בעונש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היינו בנטל התשלום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נראה כי המחוקק היה ער לקושי הכרוך בכך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נקבע </w:t>
      </w:r>
      <w:hyperlink r:id="rId44">
        <w:r>
          <w:rPr>
            <w:rStyle w:val="Hyperlink"/>
            <w:rFonts w:ascii="Century" w:hAnsi="Century" w:cs="Century"/>
            <w:rtl w:val="true"/>
          </w:rPr>
          <w:t>בסעיפים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24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>-</w:t>
      </w:r>
      <w:hyperlink r:id="rId45">
        <w:r>
          <w:rPr>
            <w:rStyle w:val="Hyperlink"/>
            <w:rFonts w:cs="Century" w:ascii="Century" w:hAnsi="Century"/>
          </w:rPr>
          <w:t>29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הנוער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שפיטה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ענישה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ודרכי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טיפול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רשאי להטיל פיצוי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הוצאות או קנס על הורי הקטין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אפשרות זו הוגבלה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ונקבע בחוק כי התשלום שיוטל באופן ישיר על הורי הקטין לא יעלה על סך של </w:t>
      </w:r>
      <w:r>
        <w:rPr>
          <w:rFonts w:cs="Century" w:ascii="Century" w:hAnsi="Century"/>
        </w:rPr>
        <w:t>10,000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וזה העיקר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הטלת פיצוי גבוה על קטין אשר לא יוכל לעמוד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שבמקרים רבים הוריו יאלצו לשאת בפיצוי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מחטיא את תכליות ההליך הפלילי שלפיהן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העבריין</w:t>
      </w:r>
      <w:r>
        <w:rPr>
          <w:rFonts w:ascii="Century" w:hAnsi="Century" w:cs="Century"/>
          <w:rtl w:val="true"/>
        </w:rPr>
        <w:t xml:space="preserve"> הוא הנושא בעונש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רקע האמור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ספק בעיני אם הכלל הידוע שלפיו שיעור הפיצוי הנפסק לטובת נפגע העבירה במסגרת ההליך הפלילי אינו תלוי ביכולתו הכלכלית של הנאשם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למשל</w:t>
      </w:r>
      <w:r>
        <w:rPr>
          <w:rFonts w:cs="Century" w:ascii="Century" w:hAnsi="Century"/>
          <w:rtl w:val="true"/>
        </w:rPr>
        <w:t xml:space="preserve">: </w:t>
      </w:r>
      <w:hyperlink r:id="rId4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2661/12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תואם את התכליות והמאפיינים הייחודיים של הליכים פליליים המתנהלים נגד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סבורה כי יש ליישם כלל זה באופן גמיש בכל הנוגע לקביעת שיעור הפיצוי בעניינם של קטינים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אעיר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למעשה נראה ששיקולי השיקום של קטינים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יכולתם הכלכלית וכושר ההשתכרות שלהם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משמשים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Fonts w:ascii="Century" w:hAnsi="Century" w:cs="Century"/>
          <w:rtl w:val="true"/>
        </w:rPr>
        <w:t xml:space="preserve"> שיקולים רלוונטיים בעת קביעת שיעור הפיצוי בו הם חבים כלפי קורבנות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שראינו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סכומי הפיצוי בהם חויבו קטינים שהורשעו בעבירות מין חמורות הם נמוכים באופן ניכר ביחס לסכומים דומים שנפסקים כאשר הנאשמים בעבירות שכאלה הם בגירים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וראו בהקשר זה דוגמה נוספת</w:t>
      </w:r>
      <w:r>
        <w:rPr>
          <w:rFonts w:cs="Century" w:ascii="Century" w:hAnsi="Century"/>
          <w:rtl w:val="true"/>
        </w:rPr>
        <w:t xml:space="preserve">: </w:t>
      </w:r>
      <w:hyperlink r:id="rId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7772/19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10.3.2020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אציע לחברי להפחית את סכום הפיצוי שנגזר על המערער לשלם למתלונן ולהעמידו על סך של </w:t>
      </w:r>
      <w:r>
        <w:rPr>
          <w:rFonts w:cs="Century" w:ascii="Century" w:hAnsi="Century"/>
        </w:rPr>
        <w:t>25,000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עוד אציע כי התשלום ייפרס לתשלומים כך שעד לסיום תקופת שהותו של המערער במעון אחווה הוא ישלם סך של </w:t>
      </w:r>
      <w:r>
        <w:rPr>
          <w:rFonts w:cs="Century" w:ascii="Century" w:hAnsi="Century"/>
        </w:rPr>
        <w:t>200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מדי חודש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ומיום שחרורו מהמעון יחויב בתשלום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חודשי</w:t>
      </w:r>
      <w:r>
        <w:rPr>
          <w:rFonts w:ascii="Century" w:hAnsi="Century" w:cs="Century"/>
          <w:rtl w:val="true"/>
        </w:rPr>
        <w:t xml:space="preserve"> של </w:t>
      </w:r>
      <w:r>
        <w:rPr>
          <w:rFonts w:cs="Century" w:ascii="Century" w:hAnsi="Century"/>
        </w:rPr>
        <w:t>1,000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עד לתשלום הפיצוי כולו בסך של </w:t>
      </w:r>
      <w:r>
        <w:rPr>
          <w:rFonts w:cs="Century" w:ascii="Century" w:hAnsi="Century"/>
        </w:rPr>
        <w:t>25,000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כאמור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בשולי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בוודאי לא בשולי חשיבותם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אבקש להדגיש כי אין במסקנתי האמורה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במעט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במוקד ההליך הפלילי מצוי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ובמקרים שבהם הנאשם הוא קטין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שיקולי השיקום הם שיקולים שניתן להם מעמד בכורה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חרף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אף קבלת הערעור באופן חלקי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איני מתעלמת מהנזק הניכר והמשמעותי שנגרם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למתלונן</w:t>
      </w:r>
      <w:r>
        <w:rPr>
          <w:rFonts w:ascii="Century" w:hAnsi="Century" w:cs="Century"/>
          <w:rtl w:val="true"/>
        </w:rPr>
        <w:t xml:space="preserve"> ולמשפחתו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הפגיעה שפגע המערער במתלונן היא בעלת השלכות חמורות ביותר על נפשו הצעירה ועל סיפור חייו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וכתוצאה מכך אף על משפחתו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הליך השיקום הממושך והכואב של נפגעי תקיפה מינית דורש כוחות נפש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מעגלי תמיכה משמעותיים ואף אמצעים כלכליים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ערה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ומקווה כי חרף קבלת הערעור כאמור לאור השיקולים שעליהם עמדתי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ימצא המתלונן את הכוחות הנדרשים לצעוד בנתיבי ההחלמה והשיקום מהפגיעה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שימוש בכספי הפיצוי שנקבע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שנראה כי הפחתתם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פריסתם לתשלומים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מגדילים את סיכויי העמידה בהם מצדו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אציין בהקשר זה כי בדיון שנערך לפנינו הובהר כי סכום ראשוני של </w:t>
      </w:r>
      <w:r>
        <w:rPr>
          <w:rFonts w:cs="Century" w:ascii="Century" w:hAnsi="Century"/>
        </w:rPr>
        <w:t>10,000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הועבר מהמדינה למתלונן על חשבון הפיצוי בהתאם </w:t>
      </w:r>
      <w:hyperlink r:id="rId49">
        <w:r>
          <w:rPr>
            <w:rStyle w:val="Hyperlink"/>
            <w:rFonts w:ascii="Century" w:hAnsi="Century" w:cs="Century"/>
            <w:rtl w:val="true"/>
          </w:rPr>
          <w:t>לסעיף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ל</w:t>
      </w:r>
      <w:hyperlink r:id="rId5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המרכז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לגביית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קנסות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אגרות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והוצאות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1995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ויש לקוות כי סכום זה יסייע למתלונן להתחיל בהליך השיקום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עד לקבלת התשלומים הנוספים שישולמו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המערער כמפורט לעיל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אשר לערעור בחלקו העוסק בתקופת צו המבחן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דינו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שצוין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שירות המבחן הגיש עמדה מעודכנת לקראת הדיון בערעור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שבה המליץ על הותרת גזר הדין של בית המשפט המחוזי בהקשר זה על כנו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כך שהמערער ישהה במעון אחווה תחת צו מבחן עד ליום </w:t>
      </w:r>
      <w:r>
        <w:rPr>
          <w:rFonts w:cs="Century" w:ascii="Century" w:hAnsi="Century"/>
        </w:rPr>
        <w:t>31.7.2022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הוריו של המערער נתנו הסכמתם להמלצה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ונראה כי כלל גורמי המקצוע והטיפול במערער מסכימים שהליכי השיקום שלו דורשים את תקופת הזמן הנוספת במסגרת האמורה לשם הפקת המיטב מהם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מובן מאליו כי ככל שישתנו הנסיבות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ושירות המבחן יסבור כי יש לקצר את התקופה האמורה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יהא רשאי לפנות לבית המשפט המחוזי בהתאם </w:t>
      </w:r>
      <w:hyperlink r:id="rId51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המבחן</w:t>
        </w:r>
      </w:hyperlink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סוף דבר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לו תשמע דעתי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אז יתקבל הערעור באופן חלקי בכל הנוגע לגובה הפיצוי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כמפורט בפסקה </w:t>
      </w: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והערעור ביחס לתקופת צו המבחן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יידחה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מזוז</w:t>
      </w:r>
      <w:r>
        <w:rPr>
          <w:rtl w:val="true"/>
        </w:rPr>
        <w:t>:</w:t>
      </w:r>
      <w:r>
        <w:rPr>
          <w:rtl w:val="true"/>
        </w:rPr>
        <w:br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וילנר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9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13.4.2021</w:t>
      </w:r>
      <w:r>
        <w:rPr>
          <w:rtl w:val="true"/>
        </w:rPr>
        <w:t xml:space="preserve">). </w:t>
      </w:r>
      <w:bookmarkEnd w:id="19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20053590</w:t>
      </w:r>
      <w:r>
        <w:rPr>
          <w:sz w:val="16"/>
          <w:rtl w:val="true"/>
        </w:rPr>
        <w:t>_</w:t>
      </w:r>
      <w:r>
        <w:rPr>
          <w:sz w:val="16"/>
        </w:rPr>
        <w:t>R06.docx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לש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מ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מזוז </w:t>
      </w:r>
      <w:r>
        <w:rPr>
          <w:rFonts w:cs="David" w:ascii="David" w:hAnsi="David"/>
          <w:color w:val="000000"/>
          <w:szCs w:val="22"/>
        </w:rPr>
        <w:t>54678313-5359/20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5"/>
      <w:footerReference w:type="default" r:id="rId5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5359/20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verflowPunct w:val="true"/>
      <w:spacing w:before="240" w:after="60"/>
      <w:textAlignment w:val="auto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CharChar3">
    <w:name w:val=" Char Char3"/>
    <w:qFormat/>
    <w:rPr>
      <w:rFonts w:ascii="Arial" w:hAnsi="Arial" w:cs="Arial"/>
      <w:b/>
      <w:bCs/>
      <w:kern w:val="2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Normal"/>
    <w:qFormat/>
    <w:pPr>
      <w:overflowPunct w:val="true"/>
      <w:textAlignment w:val="auto"/>
    </w:pPr>
    <w:rPr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77.a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b.1" TargetMode="External"/><Relationship Id="rId7" Type="http://schemas.openxmlformats.org/officeDocument/2006/relationships/hyperlink" Target="http://www.nevo.co.il/law/70301/347.b" TargetMode="External"/><Relationship Id="rId8" Type="http://schemas.openxmlformats.org/officeDocument/2006/relationships/hyperlink" Target="http://www.nevo.co.il/law/71553" TargetMode="External"/><Relationship Id="rId9" Type="http://schemas.openxmlformats.org/officeDocument/2006/relationships/hyperlink" Target="http://www.nevo.co.il/law/71553/22" TargetMode="External"/><Relationship Id="rId10" Type="http://schemas.openxmlformats.org/officeDocument/2006/relationships/hyperlink" Target="http://www.nevo.co.il/law/70348" TargetMode="External"/><Relationship Id="rId11" Type="http://schemas.openxmlformats.org/officeDocument/2006/relationships/hyperlink" Target="http://www.nevo.co.il/law/70348/24a" TargetMode="External"/><Relationship Id="rId12" Type="http://schemas.openxmlformats.org/officeDocument/2006/relationships/hyperlink" Target="http://www.nevo.co.il/law/70348/29.a1.1" TargetMode="External"/><Relationship Id="rId13" Type="http://schemas.openxmlformats.org/officeDocument/2006/relationships/hyperlink" Target="http://www.nevo.co.il/law/75003" TargetMode="External"/><Relationship Id="rId14" Type="http://schemas.openxmlformats.org/officeDocument/2006/relationships/hyperlink" Target="http://www.nevo.co.il/law/75003/3a" TargetMode="External"/><Relationship Id="rId15" Type="http://schemas.openxmlformats.org/officeDocument/2006/relationships/hyperlink" Target="http://www.nevo.co.il/case/24968458" TargetMode="External"/><Relationship Id="rId16" Type="http://schemas.openxmlformats.org/officeDocument/2006/relationships/hyperlink" Target="http://www.nevo.co.il/law/70301/347.b" TargetMode="External"/><Relationship Id="rId17" Type="http://schemas.openxmlformats.org/officeDocument/2006/relationships/hyperlink" Target="http://www.nevo.co.il/law/70301/345.b.1" TargetMode="External"/><Relationship Id="rId18" Type="http://schemas.openxmlformats.org/officeDocument/2006/relationships/hyperlink" Target="http://www.nevo.co.il/law/70301/345.a.1" TargetMode="External"/><Relationship Id="rId19" Type="http://schemas.openxmlformats.org/officeDocument/2006/relationships/hyperlink" Target="http://www.nevo.co.il/law/70301/2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77.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1553/22" TargetMode="External"/><Relationship Id="rId24" Type="http://schemas.openxmlformats.org/officeDocument/2006/relationships/hyperlink" Target="http://www.nevo.co.il/law/71553" TargetMode="External"/><Relationship Id="rId25" Type="http://schemas.openxmlformats.org/officeDocument/2006/relationships/hyperlink" Target="http://www.nevo.co.il/case/6244398" TargetMode="External"/><Relationship Id="rId26" Type="http://schemas.openxmlformats.org/officeDocument/2006/relationships/hyperlink" Target="http://www.nevo.co.il/case/6244398" TargetMode="External"/><Relationship Id="rId27" Type="http://schemas.openxmlformats.org/officeDocument/2006/relationships/hyperlink" Target="http://www.nevo.co.il/case/10442698" TargetMode="External"/><Relationship Id="rId28" Type="http://schemas.openxmlformats.org/officeDocument/2006/relationships/hyperlink" Target="http://www.nevo.co.il/case/10442698" TargetMode="External"/><Relationship Id="rId29" Type="http://schemas.openxmlformats.org/officeDocument/2006/relationships/hyperlink" Target="http://www.nevo.co.il/case/23582746" TargetMode="External"/><Relationship Id="rId30" Type="http://schemas.openxmlformats.org/officeDocument/2006/relationships/hyperlink" Target="http://www.nevo.co.il/case/6247596" TargetMode="External"/><Relationship Id="rId31" Type="http://schemas.openxmlformats.org/officeDocument/2006/relationships/hyperlink" Target="http://www.nevo.co.il/case/6247596" TargetMode="External"/><Relationship Id="rId32" Type="http://schemas.openxmlformats.org/officeDocument/2006/relationships/hyperlink" Target="http://www.nevo.co.il/case/6246899" TargetMode="External"/><Relationship Id="rId33" Type="http://schemas.openxmlformats.org/officeDocument/2006/relationships/hyperlink" Target="http://www.nevo.co.il/case/6246899" TargetMode="External"/><Relationship Id="rId34" Type="http://schemas.openxmlformats.org/officeDocument/2006/relationships/hyperlink" Target="http://www.nevo.co.il/case/6244398" TargetMode="External"/><Relationship Id="rId35" Type="http://schemas.openxmlformats.org/officeDocument/2006/relationships/hyperlink" Target="http://www.nevo.co.il/case/10442698" TargetMode="External"/><Relationship Id="rId36" Type="http://schemas.openxmlformats.org/officeDocument/2006/relationships/hyperlink" Target="http://www.nevo.co.il/case/17016911" TargetMode="External"/><Relationship Id="rId37" Type="http://schemas.openxmlformats.org/officeDocument/2006/relationships/hyperlink" Target="http://www.nevo.co.il/case/22934536" TargetMode="External"/><Relationship Id="rId38" Type="http://schemas.openxmlformats.org/officeDocument/2006/relationships/hyperlink" Target="http://www.nevo.co.il/case/23582746" TargetMode="External"/><Relationship Id="rId39" Type="http://schemas.openxmlformats.org/officeDocument/2006/relationships/hyperlink" Target="http://www.nevo.co.il/case/25014822" TargetMode="External"/><Relationship Id="rId40" Type="http://schemas.openxmlformats.org/officeDocument/2006/relationships/hyperlink" Target="http://www.nevo.co.il/case/20824817" TargetMode="External"/><Relationship Id="rId41" Type="http://schemas.openxmlformats.org/officeDocument/2006/relationships/hyperlink" Target="http://www.nevo.co.il/case/20924175" TargetMode="External"/><Relationship Id="rId42" Type="http://schemas.openxmlformats.org/officeDocument/2006/relationships/hyperlink" Target="http://www.nevo.co.il/case/22972697" TargetMode="External"/><Relationship Id="rId43" Type="http://schemas.openxmlformats.org/officeDocument/2006/relationships/hyperlink" Target="http://www.nevo.co.il/case/23582746" TargetMode="External"/><Relationship Id="rId44" Type="http://schemas.openxmlformats.org/officeDocument/2006/relationships/hyperlink" Target="http://www.nevo.co.il/law/70348/24a" TargetMode="External"/><Relationship Id="rId45" Type="http://schemas.openxmlformats.org/officeDocument/2006/relationships/hyperlink" Target="http://www.nevo.co.il/law/70348/29.a1.1" TargetMode="External"/><Relationship Id="rId46" Type="http://schemas.openxmlformats.org/officeDocument/2006/relationships/hyperlink" Target="http://www.nevo.co.il/law/70348" TargetMode="External"/><Relationship Id="rId47" Type="http://schemas.openxmlformats.org/officeDocument/2006/relationships/hyperlink" Target="http://www.nevo.co.il/case/6244398" TargetMode="External"/><Relationship Id="rId48" Type="http://schemas.openxmlformats.org/officeDocument/2006/relationships/hyperlink" Target="http://www.nevo.co.il/case/26213952" TargetMode="External"/><Relationship Id="rId49" Type="http://schemas.openxmlformats.org/officeDocument/2006/relationships/hyperlink" Target="http://www.nevo.co.il/law/75003/3a" TargetMode="External"/><Relationship Id="rId50" Type="http://schemas.openxmlformats.org/officeDocument/2006/relationships/hyperlink" Target="http://www.nevo.co.il/law/75003" TargetMode="External"/><Relationship Id="rId51" Type="http://schemas.openxmlformats.org/officeDocument/2006/relationships/hyperlink" Target="http://www.nevo.co.il/law/71553/22" TargetMode="External"/><Relationship Id="rId52" Type="http://schemas.openxmlformats.org/officeDocument/2006/relationships/hyperlink" Target="http://www.nevo.co.il/law/71553" TargetMode="External"/><Relationship Id="rId53" Type="http://schemas.openxmlformats.org/officeDocument/2006/relationships/hyperlink" Target="https://supreme.court.gov.il/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2021-04-20T07:38:00Z</dcterms:created>
  <dc:creator>h4</dc:creator>
  <dc:description/>
  <cp:keywords/>
  <dc:language>en-IL</dc:language>
  <cp:lastModifiedBy>hofit</cp:lastModifiedBy>
  <cp:lastPrinted>2021-04-13T16:07:00Z</cp:lastPrinted>
  <dcterms:modified xsi:type="dcterms:W3CDTF">2021-04-20T07:38:00Z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24968458;6244398:4;10442698:3;23582746:3;6247596:2;6246899:2;17016911;22934536;25014822;20824817;20924175;22972697;26213952</vt:lpwstr>
  </property>
  <property fmtid="{D5CDD505-2E9C-101B-9397-08002B2CF9AE}" pid="9" name="CITY">
    <vt:lpwstr/>
  </property>
  <property fmtid="{D5CDD505-2E9C-101B-9397-08002B2CF9AE}" pid="10" name="DATE">
    <vt:lpwstr>20210413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מזוז;ג' קרא;י' וילנר</vt:lpwstr>
  </property>
  <property fmtid="{D5CDD505-2E9C-101B-9397-08002B2CF9AE}" pid="14" name="LAWLISTTMP1">
    <vt:lpwstr>70301/347.b;345.b.1;345.a.1;025;077.a</vt:lpwstr>
  </property>
  <property fmtid="{D5CDD505-2E9C-101B-9397-08002B2CF9AE}" pid="15" name="LAWLISTTMP2">
    <vt:lpwstr>71553/022:2</vt:lpwstr>
  </property>
  <property fmtid="{D5CDD505-2E9C-101B-9397-08002B2CF9AE}" pid="16" name="LAWLISTTMP3">
    <vt:lpwstr>70348/024a;029.a1.1</vt:lpwstr>
  </property>
  <property fmtid="{D5CDD505-2E9C-101B-9397-08002B2CF9AE}" pid="17" name="LAWLISTTMP4">
    <vt:lpwstr>75003/003a</vt:lpwstr>
  </property>
  <property fmtid="{D5CDD505-2E9C-101B-9397-08002B2CF9AE}" pid="18" name="LAWYER">
    <vt:lpwstr>אושרה פטל רוזנברג;לינא סולטאן בשארה;לידיה רבינוביץ;נעה זעירא;רחל דניאלי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>עונשין</vt:lpwstr>
  </property>
  <property fmtid="{D5CDD505-2E9C-101B-9397-08002B2CF9AE}" pid="35" name="NOSE16">
    <vt:lpwstr>עונשין</vt:lpwstr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77;77;77;77;77;77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>ענישה</vt:lpwstr>
  </property>
  <property fmtid="{D5CDD505-2E9C-101B-9397-08002B2CF9AE}" pid="44" name="NOSE24">
    <vt:lpwstr>ענישה</vt:lpwstr>
  </property>
  <property fmtid="{D5CDD505-2E9C-101B-9397-08002B2CF9AE}" pid="45" name="NOSE25">
    <vt:lpwstr>ענישה</vt:lpwstr>
  </property>
  <property fmtid="{D5CDD505-2E9C-101B-9397-08002B2CF9AE}" pid="46" name="NOSE26">
    <vt:lpwstr>ענישה</vt:lpwstr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1446;1446;1446;1446;1446;1446</vt:lpwstr>
  </property>
  <property fmtid="{D5CDD505-2E9C-101B-9397-08002B2CF9AE}" pid="51" name="NOSE31">
    <vt:lpwstr>דרכי ענישה: פיצויים</vt:lpwstr>
  </property>
  <property fmtid="{D5CDD505-2E9C-101B-9397-08002B2CF9AE}" pid="52" name="NOSE310">
    <vt:lpwstr/>
  </property>
  <property fmtid="{D5CDD505-2E9C-101B-9397-08002B2CF9AE}" pid="53" name="NOSE32">
    <vt:lpwstr>דרכי ענישה: צו מבחן</vt:lpwstr>
  </property>
  <property fmtid="{D5CDD505-2E9C-101B-9397-08002B2CF9AE}" pid="54" name="NOSE33">
    <vt:lpwstr>מדיניות ענישה: שיקולים לקולה</vt:lpwstr>
  </property>
  <property fmtid="{D5CDD505-2E9C-101B-9397-08002B2CF9AE}" pid="55" name="NOSE34">
    <vt:lpwstr>מדיניות ענישה: אחדות הענישה</vt:lpwstr>
  </property>
  <property fmtid="{D5CDD505-2E9C-101B-9397-08002B2CF9AE}" pid="56" name="NOSE35">
    <vt:lpwstr>מדיניות ענישה: עבירות מין בקטינים</vt:lpwstr>
  </property>
  <property fmtid="{D5CDD505-2E9C-101B-9397-08002B2CF9AE}" pid="57" name="NOSE36">
    <vt:lpwstr>מדיניות ענישה: התערבות ערכאת ערעור</vt:lpwstr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8968;8969;8996;13222;16970;8982</vt:lpwstr>
  </property>
  <property fmtid="{D5CDD505-2E9C-101B-9397-08002B2CF9AE}" pid="62" name="PADIDATE">
    <vt:lpwstr>20210418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5359</vt:lpwstr>
  </property>
  <property fmtid="{D5CDD505-2E9C-101B-9397-08002B2CF9AE}" pid="68" name="PROCYEAR">
    <vt:lpwstr>20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410120210413</vt:lpwstr>
  </property>
  <property fmtid="{D5CDD505-2E9C-101B-9397-08002B2CF9AE}" pid="72" name="TYPE_N_DATE">
    <vt:lpwstr>41020210413</vt:lpwstr>
  </property>
  <property fmtid="{D5CDD505-2E9C-101B-9397-08002B2CF9AE}" pid="73" name="VOLUME">
    <vt:lpwstr/>
  </property>
  <property fmtid="{D5CDD505-2E9C-101B-9397-08002B2CF9AE}" pid="74" name="WORDNUMPAGES">
    <vt:lpwstr>13</vt:lpwstr>
  </property>
</Properties>
</file>