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5373/23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ארז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חאלד כבוב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רות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רונן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tl w:val="true"/>
              </w:rPr>
              <w:t>ערעור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החלטת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יפו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הבכירה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והשופטים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מלמד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תפח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10282-12-21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נבו</w:t>
            </w:r>
            <w:r>
              <w:rPr>
                <w:rtl w:val="true"/>
              </w:rPr>
              <w:t xml:space="preserve">] </w:t>
            </w:r>
            <w:r>
              <w:rPr>
                <w:rtl w:val="true"/>
              </w:rPr>
              <w:t>מיום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22.11.2022</w:t>
            </w:r>
            <w:r>
              <w:rPr>
                <w:rFonts w:cs="Miriam" w:ascii="Miriam" w:hAnsi="Miriam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</w:rPr>
              <w:t>ז</w:t>
            </w:r>
            <w:r>
              <w:rPr>
                <w:rFonts w:cs="David" w:ascii="David" w:hAnsi="David"/>
                <w:rtl w:val="true"/>
              </w:rPr>
              <w:t>'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בא</w:t>
            </w:r>
            <w:r>
              <w:rPr>
                <w:rFonts w:ascii="David" w:hAnsi="David"/>
                <w:rtl w:val="true"/>
              </w:rPr>
              <w:t>ייר</w:t>
            </w:r>
            <w:r>
              <w:rPr>
                <w:rFonts w:ascii="David" w:hAnsi="David"/>
                <w:rtl w:val="true"/>
              </w:rPr>
              <w:t xml:space="preserve">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15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במאי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נתנאל יעקב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חי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גל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הרניק בלום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נפגע העבירה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תמי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קלנברג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שירות המבחן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ס עדי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עיני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עמי קובו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הגישור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2018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301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193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214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214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347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350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1998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</w:rPr>
          <w:t>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u w:val="none"/>
          </w:rPr>
          <w:t>153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u w:val="none"/>
          </w:rPr>
          <w:t>153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2" w:name="ABSTRACT_START"/>
      <w:bookmarkEnd w:id="12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צוין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הודאה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חזרה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ייצוג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כשל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בירור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האשמה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הליך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גישור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הסדר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טיעון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במסגרת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הליך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גישור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שיפוטי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הסדר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שממוקד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אביב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יפו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בגדרה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,</w:t>
      </w:r>
      <w:r>
        <w:rPr>
          <w:rFonts w:cs="FrankRuehl"/>
          <w:szCs w:val="26"/>
          <w:rtl w:val="true"/>
        </w:rPr>
        <w:t>וכופר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עילות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החופשי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ללחץ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הטבעיים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והרגילים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הגישור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שהתאכזב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שוחרר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ושולב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שלהבנתו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כבוב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ברק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ארז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רונן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153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סדר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הדין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הפלילי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משולב</w:t>
      </w:r>
      <w:r>
        <w:rPr>
          <w:rFonts w:cs="FrankRuehl"/>
          <w:szCs w:val="26"/>
          <w:rtl w:val="true"/>
        </w:rPr>
        <w:t xml:space="preserve">], </w:t>
      </w:r>
      <w:r>
        <w:rPr>
          <w:rFonts w:cs="FrankRuehl"/>
          <w:szCs w:val="26"/>
          <w:rtl w:val="true"/>
        </w:rPr>
        <w:t>התשמ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1982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שיירשמו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החופשי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המניע</w:t>
      </w:r>
      <w:r>
        <w:rPr>
          <w:rFonts w:cs="FrankRuehl"/>
          <w:szCs w:val="26"/>
          <w:rtl w:val="true"/>
        </w:rPr>
        <w:t xml:space="preserve">" – </w:t>
      </w:r>
      <w:r>
        <w:rPr>
          <w:rFonts w:cs="FrankRuehl"/>
          <w:szCs w:val="26"/>
          <w:rtl w:val="true"/>
        </w:rPr>
        <w:t>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ואמיתי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טקטי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העיתוי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המצוינות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קפוצה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טקטיים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ומתכססנות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הובהר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העיתוי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המניע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וסתמית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שהביאוהו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מלחיץ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ומטבעו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גיבושו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שכנעוהו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שהופעלו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חורגים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הרגילים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הממושך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שהתקיים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תוצאתי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כושל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הובהר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בהמלצתו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סנגור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הבהרה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ההתנהלות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בהיעדר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תימוכין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ואמיתי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חפותו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למשל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בחפותו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חוזה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ביכולתו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שקרי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המתלונן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בקשתו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חותרת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וייעול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יתרונותיו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שהוכרו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היעתרות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5" w:name="PsakDin"/>
            <w:bookmarkEnd w:id="15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 w:before="240" w:after="240"/>
        <w:ind w:end="0"/>
        <w:jc w:val="both"/>
        <w:rPr>
          <w:rFonts w:ascii="Century" w:hAnsi="Century" w:cs="Miriam"/>
          <w:b/>
          <w:sz w:val="22"/>
          <w:u w:val="single"/>
        </w:rPr>
      </w:pPr>
      <w:bookmarkStart w:id="16" w:name="NGCSBookmark"/>
      <w:bookmarkEnd w:id="16"/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חאלד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כבוב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bookmarkStart w:id="17" w:name="Start_Write"/>
      <w:bookmarkEnd w:id="17"/>
      <w:r>
        <w:rPr>
          <w:rtl w:val="true"/>
        </w:rPr>
        <w:t>ערעור זה ממוקד בהחלטת ביניים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כבוד השופטת הבכירה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10282-12-21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22.11.2022</w:t>
      </w:r>
      <w:r>
        <w:rPr>
          <w:rtl w:val="true"/>
        </w:rPr>
        <w:t xml:space="preserve">, </w:t>
      </w:r>
      <w:r>
        <w:rPr>
          <w:rtl w:val="true"/>
        </w:rPr>
        <w:t>בגדרה נדחתה בקשת המערער לחזור בו מהודאתו</w:t>
      </w:r>
      <w:r>
        <w:rPr>
          <w:rtl w:val="true"/>
        </w:rPr>
        <w:t xml:space="preserve">, </w:t>
      </w:r>
      <w:r>
        <w:rPr>
          <w:rtl w:val="true"/>
        </w:rPr>
        <w:t xml:space="preserve">שניתנה ביום </w:t>
      </w:r>
      <w:r>
        <w:rPr/>
        <w:t>04.04.2022</w:t>
      </w:r>
      <w:r>
        <w:rPr>
          <w:rtl w:val="true"/>
        </w:rPr>
        <w:t xml:space="preserve">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בתום הליך גישור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הליך הגישור שהוביל לחתימת המערער על הסדר הטיעון</w:t>
      </w:r>
      <w:r>
        <w:rPr>
          <w:rtl w:val="true"/>
        </w:rPr>
        <w:t xml:space="preserve">, </w:t>
      </w:r>
      <w:r>
        <w:rPr>
          <w:rtl w:val="true"/>
        </w:rPr>
        <w:t>נפרש על</w:t>
      </w:r>
      <w:r>
        <w:rPr>
          <w:rtl w:val="true"/>
        </w:rPr>
        <w:t>-</w:t>
      </w:r>
      <w:r>
        <w:rPr>
          <w:rtl w:val="true"/>
        </w:rPr>
        <w:t xml:space="preserve">פני שלוש ישיבות בפני כבוד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. </w:t>
      </w:r>
      <w:r>
        <w:rPr>
          <w:rtl w:val="true"/>
        </w:rPr>
        <w:t>בסיומו</w:t>
      </w:r>
      <w:r>
        <w:rPr>
          <w:rtl w:val="true"/>
        </w:rPr>
        <w:t xml:space="preserve">, </w:t>
      </w:r>
      <w:r>
        <w:rPr>
          <w:rtl w:val="true"/>
        </w:rPr>
        <w:t>תוקן כתב האישום נגד המערער</w:t>
      </w:r>
      <w:r>
        <w:rPr>
          <w:rtl w:val="true"/>
        </w:rPr>
        <w:t xml:space="preserve">, </w:t>
      </w:r>
      <w:r>
        <w:rPr>
          <w:rtl w:val="true"/>
        </w:rPr>
        <w:t>והלה הצהיר בפני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בדיון שהתקיים ביום </w:t>
      </w:r>
      <w:r>
        <w:rPr/>
        <w:t>04.04.2022</w:t>
      </w:r>
      <w:r>
        <w:rPr>
          <w:rtl w:val="true"/>
        </w:rPr>
        <w:t xml:space="preserve">, </w:t>
      </w:r>
      <w:r>
        <w:rPr>
          <w:rtl w:val="true"/>
        </w:rPr>
        <w:t>בזו הלשון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חתום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עיקרי עובדות כתב האישום יובאו להלן</w:t>
      </w:r>
      <w:r>
        <w:rPr>
          <w:rtl w:val="true"/>
        </w:rPr>
        <w:t xml:space="preserve">, </w:t>
      </w:r>
      <w:r>
        <w:rPr>
          <w:rtl w:val="true"/>
        </w:rPr>
        <w:t>בתמצית שבתמצית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הכיר את המתלונן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09.01.2006</w:t>
      </w:r>
      <w:r>
        <w:rPr>
          <w:rtl w:val="true"/>
        </w:rPr>
        <w:t xml:space="preserve">) </w:t>
      </w:r>
      <w:r>
        <w:rPr>
          <w:rtl w:val="true"/>
        </w:rPr>
        <w:t xml:space="preserve">בשלהי 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טרם שמלאו לו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ומאז למשך כשנתיים</w:t>
      </w:r>
      <w:r>
        <w:rPr>
          <w:rtl w:val="true"/>
        </w:rPr>
        <w:t xml:space="preserve">, </w:t>
      </w:r>
      <w:r>
        <w:rPr>
          <w:rtl w:val="true"/>
        </w:rPr>
        <w:t xml:space="preserve">עד שלהי שנת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קיים המערער עם המתלונן מגעים מיניים במספר לא מבוטל של מקרים</w:t>
      </w:r>
      <w:r>
        <w:rPr>
          <w:rtl w:val="true"/>
        </w:rPr>
        <w:t xml:space="preserve">. </w:t>
      </w:r>
      <w:r>
        <w:rPr>
          <w:rtl w:val="true"/>
        </w:rPr>
        <w:t>לפי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טרם שהגיע המתלונן לגיל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המערער ביצע בו מעשים מגונים במספר מקרים</w:t>
      </w:r>
      <w:r>
        <w:rPr>
          <w:rtl w:val="true"/>
        </w:rPr>
        <w:t xml:space="preserve">, </w:t>
      </w:r>
      <w:r>
        <w:rPr>
          <w:rtl w:val="true"/>
        </w:rPr>
        <w:t>ובהזדמנות אחת אף קיים עמו יחסי מין אנאליים</w:t>
      </w:r>
      <w:r>
        <w:rPr>
          <w:rtl w:val="true"/>
        </w:rPr>
        <w:t xml:space="preserve">, </w:t>
      </w:r>
      <w:r>
        <w:rPr>
          <w:rtl w:val="true"/>
        </w:rPr>
        <w:t>תוך צילום הדבר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באחת הפעמים שבהם החדיר המערער את איבר מינו לפי הטבעת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טרם הגיעו לגיל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היה זה לאחר שהמערער סיפק למתלונן משקה משכר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בחוזקה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בהסכמתו</w:t>
      </w:r>
      <w:r>
        <w:rPr>
          <w:rtl w:val="true"/>
        </w:rPr>
        <w:t xml:space="preserve">", </w:t>
      </w:r>
      <w:r>
        <w:rPr>
          <w:rtl w:val="true"/>
        </w:rPr>
        <w:t>כלשון כתב האישום</w:t>
      </w:r>
      <w:r>
        <w:rPr>
          <w:rtl w:val="true"/>
        </w:rPr>
        <w:t xml:space="preserve">. </w:t>
      </w:r>
      <w:r>
        <w:rPr>
          <w:rtl w:val="true"/>
        </w:rPr>
        <w:t>כאשר ביקש המתלונן לסיים את הקשר עמו</w:t>
      </w:r>
      <w:r>
        <w:rPr>
          <w:rtl w:val="true"/>
        </w:rPr>
        <w:t xml:space="preserve">, </w:t>
      </w:r>
      <w:r>
        <w:rPr>
          <w:rtl w:val="true"/>
        </w:rPr>
        <w:t>המערער איים עליו בכך שכתב 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זדיין</w:t>
      </w:r>
      <w:r>
        <w:rPr>
          <w:rtl w:val="true"/>
        </w:rPr>
        <w:t>" (</w:t>
      </w:r>
      <w:r>
        <w:rPr>
          <w:rtl w:val="true"/>
        </w:rPr>
        <w:t>כך במקור – 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'). </w:t>
      </w:r>
      <w:r>
        <w:rPr>
          <w:rtl w:val="true"/>
        </w:rPr>
        <w:t>כתב האישום מוסיף ומתאר כי המערער קיים יחסי מין עם קטינים נוספים במספר הזדמנויות שונות</w:t>
      </w:r>
      <w:r>
        <w:rPr>
          <w:rtl w:val="true"/>
        </w:rPr>
        <w:t xml:space="preserve">, </w:t>
      </w:r>
      <w:r>
        <w:rPr>
          <w:rtl w:val="true"/>
        </w:rPr>
        <w:t>ואף עשה והחזיק פרסומי תועבה המתעדים את קיומם של יחסים אלו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המערער הורשע על יסוד הודאתו באחד עשר אישומים</w:t>
      </w:r>
      <w:r>
        <w:rPr>
          <w:rtl w:val="true"/>
        </w:rPr>
        <w:t xml:space="preserve">, </w:t>
      </w:r>
      <w:r>
        <w:rPr>
          <w:rtl w:val="true"/>
        </w:rPr>
        <w:t>המונים את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מעשה מגונה בנסיבות אינוס </w:t>
      </w:r>
      <w:r>
        <w:rPr>
          <w:rtl w:val="true"/>
        </w:rPr>
        <w:t>(</w:t>
      </w:r>
      <w:r>
        <w:rPr>
          <w:rtl w:val="true"/>
        </w:rPr>
        <w:t xml:space="preserve">קטין שטרם מלאו לו </w:t>
      </w:r>
      <w:r>
        <w:rPr/>
        <w:t>14</w:t>
      </w:r>
      <w:r>
        <w:rPr>
          <w:rtl w:val="true"/>
        </w:rPr>
        <w:t>) (</w:t>
      </w:r>
      <w:r>
        <w:rPr>
          <w:rtl w:val="true"/>
        </w:rPr>
        <w:t>ריבוי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הטרדה מינית של קטין שטרם מלאו לו </w:t>
      </w:r>
      <w:r>
        <w:rPr/>
        <w:t>15</w:t>
      </w:r>
      <w:r>
        <w:rPr>
          <w:rtl w:val="true"/>
        </w:rPr>
        <w:t xml:space="preserve"> (</w:t>
      </w:r>
      <w:r>
        <w:rPr>
          <w:rtl w:val="true"/>
        </w:rPr>
        <w:t>ריבוי מקרים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בנסיבות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; </w:t>
      </w:r>
      <w:r>
        <w:rPr>
          <w:rtl w:val="true"/>
        </w:rPr>
        <w:t xml:space="preserve">מעשה סדום בנסיבות אינוס </w:t>
      </w:r>
      <w:r>
        <w:rPr>
          <w:rtl w:val="true"/>
        </w:rPr>
        <w:t>(</w:t>
      </w:r>
      <w:r>
        <w:rPr>
          <w:rtl w:val="true"/>
        </w:rPr>
        <w:t xml:space="preserve">קטין שטרם מלאו לו 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מעשה סדום בקטין שטרם מלאו לו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יחד עם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מעשה מגונה בנסיבות אינוס </w:t>
      </w:r>
      <w:r>
        <w:rPr>
          <w:rtl w:val="true"/>
        </w:rPr>
        <w:t>(</w:t>
      </w:r>
      <w:r>
        <w:rPr>
          <w:rtl w:val="true"/>
        </w:rPr>
        <w:t xml:space="preserve">קטין שטרם מלאו לו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ושלא בהסכמה חופשית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4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אספקת משקה משכר לקטין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עשיית פרסום תועבה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והחזקת פרסום תועבה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בהתאם להסכמת הצדדים</w:t>
      </w:r>
      <w:r>
        <w:rPr>
          <w:rtl w:val="true"/>
        </w:rPr>
        <w:t xml:space="preserve">, </w:t>
      </w:r>
      <w:r>
        <w:rPr>
          <w:rtl w:val="true"/>
        </w:rPr>
        <w:t>המערער נשלח לקבלת תסקיר שירות מבחן והערכת מסוכנות</w:t>
      </w:r>
      <w:r>
        <w:rPr>
          <w:rtl w:val="true"/>
        </w:rPr>
        <w:t xml:space="preserve">. </w:t>
      </w:r>
      <w:r>
        <w:rPr>
          <w:rtl w:val="true"/>
        </w:rPr>
        <w:t>כן התבקש תסקיר נפגע עבירה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20.06.2022</w:t>
      </w:r>
      <w:r>
        <w:rPr>
          <w:rtl w:val="true"/>
        </w:rPr>
        <w:t xml:space="preserve">, </w:t>
      </w:r>
      <w:r>
        <w:rPr>
          <w:rtl w:val="true"/>
        </w:rPr>
        <w:t>לאחר שהתקבל תסקיר שירות המבחן</w:t>
      </w:r>
      <w:r>
        <w:rPr>
          <w:rtl w:val="true"/>
        </w:rPr>
        <w:t xml:space="preserve">, </w:t>
      </w:r>
      <w:r>
        <w:rPr>
          <w:rtl w:val="true"/>
        </w:rPr>
        <w:t>התקיים דיון באפשרות לשחרר את המערער לחלופת מעצר</w:t>
      </w:r>
      <w:r>
        <w:rPr>
          <w:rtl w:val="true"/>
        </w:rPr>
        <w:t xml:space="preserve">. </w:t>
      </w:r>
      <w:r>
        <w:rPr>
          <w:rtl w:val="true"/>
        </w:rPr>
        <w:t xml:space="preserve">בתום הדיון הורה בית המשפט </w:t>
      </w:r>
      <w:r>
        <w:rPr>
          <w:rtl w:val="true"/>
        </w:rPr>
        <w:t>(</w:t>
      </w:r>
      <w:r>
        <w:rPr>
          <w:rtl w:val="true"/>
        </w:rPr>
        <w:t xml:space="preserve">כבוד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כי מסוכנותו של המערער</w:t>
      </w:r>
      <w:r>
        <w:rPr>
          <w:rtl w:val="true"/>
        </w:rPr>
        <w:t xml:space="preserve">, </w:t>
      </w:r>
      <w:r>
        <w:rPr>
          <w:rtl w:val="true"/>
        </w:rPr>
        <w:t>העולה באופן ברור מהאמור בתסקיר שירות המבחן</w:t>
      </w:r>
      <w:r>
        <w:rPr>
          <w:rtl w:val="true"/>
        </w:rPr>
        <w:t xml:space="preserve">, </w:t>
      </w:r>
      <w:r>
        <w:rPr>
          <w:rtl w:val="true"/>
        </w:rPr>
        <w:t>אינה מאפשרת להורות על שחרורו ממעצר או על השמתו במעצר בדרך של איזוק אלקטרוני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לאחר הדיון</w:t>
      </w:r>
      <w:r>
        <w:rPr>
          <w:rtl w:val="true"/>
        </w:rPr>
        <w:t xml:space="preserve">, </w:t>
      </w:r>
      <w:r>
        <w:rPr>
          <w:rtl w:val="true"/>
        </w:rPr>
        <w:t>נותק הקשר בין המערער לבין עורך הדין שייצגו בהליך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29.08.2022</w:t>
      </w:r>
      <w:r>
        <w:rPr>
          <w:rtl w:val="true"/>
        </w:rPr>
        <w:t xml:space="preserve"> </w:t>
      </w:r>
      <w:r>
        <w:rPr>
          <w:rtl w:val="true"/>
        </w:rPr>
        <w:t>הוגשה בקשה דחופה מטעם בא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לפטור אותו מייצוג</w:t>
      </w:r>
      <w:r>
        <w:rPr>
          <w:rtl w:val="true"/>
        </w:rPr>
        <w:t xml:space="preserve">. </w:t>
      </w:r>
      <w:r>
        <w:rPr>
          <w:rtl w:val="true"/>
        </w:rPr>
        <w:t>לפי הנטען בבקשה זו</w:t>
      </w:r>
      <w:r>
        <w:rPr>
          <w:rtl w:val="true"/>
        </w:rPr>
        <w:t xml:space="preserve">, </w:t>
      </w:r>
      <w:r>
        <w:rPr>
          <w:rtl w:val="true"/>
        </w:rPr>
        <w:t>כל מאמציו של בא</w:t>
      </w:r>
      <w:r>
        <w:rPr>
          <w:rtl w:val="true"/>
        </w:rPr>
        <w:t>-</w:t>
      </w:r>
      <w:r>
        <w:rPr>
          <w:rtl w:val="true"/>
        </w:rPr>
        <w:t>כוח המערער להיפגש עם מרשו נענו בסירוב 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עד שלבסוף ביקש המערער כי ימונה לו סניגור ציבורי לצורך המשך ייצוגו בהליך</w:t>
      </w:r>
      <w:r>
        <w:rPr>
          <w:rtl w:val="true"/>
        </w:rPr>
        <w:t xml:space="preserve">. </w:t>
      </w:r>
      <w:r>
        <w:rPr>
          <w:rtl w:val="true"/>
        </w:rPr>
        <w:t xml:space="preserve">בקשה זו נדונה בפירוט ביום </w:t>
      </w:r>
      <w:r>
        <w:rPr/>
        <w:t>09.07.2022</w:t>
      </w:r>
      <w:r>
        <w:rPr>
          <w:rtl w:val="true"/>
        </w:rPr>
        <w:t xml:space="preserve">, </w:t>
      </w:r>
      <w:r>
        <w:rPr>
          <w:rtl w:val="true"/>
        </w:rPr>
        <w:t>במסגרת דיון שנקבע מלכתחילה לצורך שמיעת טיעונים לעונש</w:t>
      </w:r>
      <w:r>
        <w:rPr>
          <w:rtl w:val="true"/>
        </w:rPr>
        <w:t xml:space="preserve">. </w:t>
      </w:r>
      <w:r>
        <w:rPr>
          <w:rtl w:val="true"/>
        </w:rPr>
        <w:t>במהלך הדיון ביקש המערער לטעון בעצמו לאחר שבא</w:t>
      </w:r>
      <w:r>
        <w:rPr>
          <w:rtl w:val="true"/>
        </w:rPr>
        <w:t>-</w:t>
      </w:r>
      <w:r>
        <w:rPr>
          <w:rtl w:val="true"/>
        </w:rPr>
        <w:t>כוחו ביקש לפטור אותו מייצוג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פיתו</w:t>
      </w:r>
      <w:r>
        <w:rPr>
          <w:rtl w:val="true"/>
        </w:rPr>
        <w:t xml:space="preserve">" </w:t>
      </w:r>
      <w:r>
        <w:rPr>
          <w:rtl w:val="true"/>
        </w:rPr>
        <w:t>אותו לחתום על הסדר הטיעון בכך שהובטח לו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>כוחו כי במקרה של הגעה להסדר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אחוז</w:t>
      </w:r>
      <w:r>
        <w:rPr>
          <w:rtl w:val="true"/>
        </w:rPr>
        <w:t xml:space="preserve">" </w:t>
      </w:r>
      <w:r>
        <w:rPr>
          <w:rtl w:val="true"/>
        </w:rPr>
        <w:t>הוא ייצא לחלופת מעצר ולהליך טיפולי שיקומי</w:t>
      </w:r>
      <w:r>
        <w:rPr>
          <w:rtl w:val="true"/>
        </w:rPr>
        <w:t xml:space="preserve">. </w:t>
      </w:r>
      <w:r>
        <w:rPr>
          <w:rtl w:val="true"/>
        </w:rPr>
        <w:t>המערער הוסיף וציין כי הפיתוי האמור</w:t>
      </w:r>
      <w:r>
        <w:rPr>
          <w:rtl w:val="true"/>
        </w:rPr>
        <w:t xml:space="preserve">, </w:t>
      </w:r>
      <w:r>
        <w:rPr>
          <w:rtl w:val="true"/>
        </w:rPr>
        <w:t>על רקע הקושי בתנאי מעצרו</w:t>
      </w:r>
      <w:r>
        <w:rPr>
          <w:rtl w:val="true"/>
        </w:rPr>
        <w:t xml:space="preserve">, </w:t>
      </w:r>
      <w:r>
        <w:rPr>
          <w:rtl w:val="true"/>
        </w:rPr>
        <w:t>גרם לו לחתום על הודאה שקרית בעבירות שמעולם לא ביצע</w:t>
      </w:r>
      <w:r>
        <w:rPr>
          <w:rtl w:val="true"/>
        </w:rPr>
        <w:t xml:space="preserve">, </w:t>
      </w:r>
      <w:r>
        <w:rPr>
          <w:rtl w:val="true"/>
        </w:rPr>
        <w:t>בתקווה לצאת מבית המעצר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חרף העובדה שהצהיר בפני בית המשפט כי הוא מכיר את עובדות כתב האישום בעת שהודה בעובדותיו</w:t>
      </w:r>
      <w:r>
        <w:rPr>
          <w:rtl w:val="true"/>
        </w:rPr>
        <w:t xml:space="preserve">, </w:t>
      </w:r>
      <w:r>
        <w:rPr>
          <w:rtl w:val="true"/>
        </w:rPr>
        <w:t>חלקים רבים בכתב האישום לא היו מוכרים לו</w:t>
      </w:r>
      <w:r>
        <w:rPr>
          <w:rtl w:val="true"/>
        </w:rPr>
        <w:t xml:space="preserve">, </w:t>
      </w:r>
      <w:r>
        <w:rPr>
          <w:rtl w:val="true"/>
        </w:rPr>
        <w:t>ואף לא הייתה לו מעורבות משמעותית בניסוח כתב האישום המתוקן</w:t>
      </w:r>
      <w:r>
        <w:rPr>
          <w:rtl w:val="true"/>
        </w:rPr>
        <w:t xml:space="preserve">.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ביקש המערער כי יוּתר לו לחזור בו מהודאתו</w:t>
      </w:r>
      <w:r>
        <w:rPr>
          <w:rtl w:val="true"/>
        </w:rPr>
        <w:t xml:space="preserve">; </w:t>
      </w:r>
      <w:r>
        <w:rPr>
          <w:rtl w:val="true"/>
        </w:rPr>
        <w:t>וכי לנוכח אובדן אמונו בבא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יוּתר לו לייצג את עצמו בהליך</w:t>
      </w:r>
      <w:r>
        <w:rPr>
          <w:rtl w:val="true"/>
        </w:rPr>
        <w:t xml:space="preserve">, </w:t>
      </w:r>
      <w:r>
        <w:rPr>
          <w:rtl w:val="true"/>
        </w:rPr>
        <w:t>או שימונה לו סנגור מהסנגוריה הציבורית</w:t>
      </w:r>
      <w:r>
        <w:rPr>
          <w:rtl w:val="true"/>
        </w:rPr>
        <w:t xml:space="preserve">. </w:t>
      </w:r>
      <w:r>
        <w:rPr>
          <w:rtl w:val="true"/>
        </w:rPr>
        <w:t>בתום הדיון נקבע</w:t>
      </w:r>
      <w:r>
        <w:rPr>
          <w:rtl w:val="true"/>
        </w:rPr>
        <w:t xml:space="preserve">, </w:t>
      </w:r>
      <w:r>
        <w:rPr>
          <w:rtl w:val="true"/>
        </w:rPr>
        <w:t>כי טרם שיוחלט אם להתיר למבקש לחזור בו מהודאתו</w:t>
      </w:r>
      <w:r>
        <w:rPr>
          <w:rtl w:val="true"/>
        </w:rPr>
        <w:t xml:space="preserve">, </w:t>
      </w:r>
      <w:r>
        <w:rPr>
          <w:rtl w:val="true"/>
        </w:rPr>
        <w:t>יש לאפשר לו להסדיר את ייצוגו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21.11.2022</w:t>
      </w:r>
      <w:r>
        <w:rPr>
          <w:rtl w:val="true"/>
        </w:rPr>
        <w:t xml:space="preserve"> </w:t>
      </w:r>
      <w:r>
        <w:rPr>
          <w:rtl w:val="true"/>
        </w:rPr>
        <w:t>התקיים דיון בבקשת המערער לחזור בו מהודאתו</w:t>
      </w:r>
      <w:r>
        <w:rPr>
          <w:rtl w:val="true"/>
        </w:rPr>
        <w:t xml:space="preserve">, </w:t>
      </w:r>
      <w:r>
        <w:rPr>
          <w:rtl w:val="true"/>
        </w:rPr>
        <w:t>לאחר שמונה לו סנגור לשם כך מטעם הסנגוריה הציבורית</w:t>
      </w:r>
      <w:r>
        <w:rPr>
          <w:rtl w:val="true"/>
        </w:rPr>
        <w:t xml:space="preserve">. </w:t>
      </w:r>
      <w:r>
        <w:rPr>
          <w:rtl w:val="true"/>
        </w:rPr>
        <w:t>הבקשה – נדחתה</w:t>
      </w:r>
      <w:r>
        <w:rPr>
          <w:rtl w:val="true"/>
        </w:rPr>
        <w:t xml:space="preserve">. </w:t>
      </w:r>
      <w:r>
        <w:rPr>
          <w:rtl w:val="true"/>
        </w:rPr>
        <w:t xml:space="preserve">בהחלטה מיום </w:t>
      </w:r>
      <w:r>
        <w:rPr/>
        <w:t>22.11.2022</w:t>
      </w:r>
      <w:r>
        <w:rPr>
          <w:rtl w:val="true"/>
        </w:rPr>
        <w:t xml:space="preserve"> </w:t>
      </w:r>
      <w:r>
        <w:rPr>
          <w:rtl w:val="true"/>
        </w:rPr>
        <w:t>קבע בית המשפט כי לא מתקיים אף לא אחד מהתנאים לחזרה מהודאה 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נקבע כי בשים לב לכך שהודיית המערער בכתב האישום המתוקן באה בעקבות הליך גישור ממושך שנערך בפני שופט</w:t>
      </w:r>
      <w:r>
        <w:rPr>
          <w:rtl w:val="true"/>
        </w:rPr>
        <w:t xml:space="preserve">, </w:t>
      </w:r>
      <w:r>
        <w:rPr>
          <w:rtl w:val="true"/>
        </w:rPr>
        <w:t>הרי שאין לקבל את טענתו כי נפל פגם בהודאתו במישור רצונו החופשי</w:t>
      </w:r>
      <w:r>
        <w:rPr>
          <w:rtl w:val="true"/>
        </w:rPr>
        <w:t xml:space="preserve">. </w:t>
      </w:r>
      <w:r>
        <w:rPr>
          <w:rtl w:val="true"/>
        </w:rPr>
        <w:t>בהקשר זה הודגש כי אף אם המערער קיווה כי ייטב לו בעקבות הודייתו</w:t>
      </w:r>
      <w:r>
        <w:rPr>
          <w:rtl w:val="true"/>
        </w:rPr>
        <w:t xml:space="preserve">, </w:t>
      </w:r>
      <w:r>
        <w:rPr>
          <w:rtl w:val="true"/>
        </w:rPr>
        <w:t>הרי שאין זה בגדר לחץ חיצוני פסול שיוכל לפגום בהודייתו</w:t>
      </w:r>
      <w:r>
        <w:rPr>
          <w:rtl w:val="true"/>
        </w:rPr>
        <w:t xml:space="preserve">. </w:t>
      </w:r>
      <w:r>
        <w:rPr>
          <w:rtl w:val="true"/>
        </w:rPr>
        <w:t>כן נדחתה הטענה כי נפל כשל בייצוגו של המערער</w:t>
      </w:r>
      <w:r>
        <w:rPr>
          <w:rtl w:val="true"/>
        </w:rPr>
        <w:t xml:space="preserve">. </w:t>
      </w:r>
      <w:r>
        <w:rPr>
          <w:rtl w:val="true"/>
        </w:rPr>
        <w:t>לעניין זה הפנה בית המשפט לעמדת בא</w:t>
      </w:r>
      <w:r>
        <w:rPr>
          <w:rtl w:val="true"/>
        </w:rPr>
        <w:t>-</w:t>
      </w:r>
      <w:r>
        <w:rPr>
          <w:rtl w:val="true"/>
        </w:rPr>
        <w:t>כוחו הקודם של המערער</w:t>
      </w:r>
      <w:r>
        <w:rPr>
          <w:rtl w:val="true"/>
        </w:rPr>
        <w:t xml:space="preserve">, </w:t>
      </w:r>
      <w:r>
        <w:rPr>
          <w:rtl w:val="true"/>
        </w:rPr>
        <w:t>אשר הדגיש כי הוא מעולם לא הציג בפני המערער כל תוצאה שתתרחש באופן וודאי בעקבות הודייתו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נקבע כי בקשת המערער לחזרה מהודאה לא באה בעקבות רצון כן מצדו לחשוף את האמת</w:t>
      </w:r>
      <w:r>
        <w:rPr>
          <w:rtl w:val="true"/>
        </w:rPr>
        <w:t xml:space="preserve">, </w:t>
      </w:r>
      <w:r>
        <w:rPr>
          <w:rtl w:val="true"/>
        </w:rPr>
        <w:t>אלא כדי לשפר עמדות מול התביעה</w:t>
      </w:r>
      <w:r>
        <w:rPr>
          <w:rtl w:val="true"/>
        </w:rPr>
        <w:t xml:space="preserve">. </w:t>
      </w:r>
      <w:r>
        <w:rPr>
          <w:rtl w:val="true"/>
        </w:rPr>
        <w:t>בית המשפט הפנה לדבריו של המערער במסגרת בקשתו הראשונה לחזור מהודאה</w:t>
      </w:r>
      <w:r>
        <w:rPr>
          <w:rtl w:val="true"/>
        </w:rPr>
        <w:t xml:space="preserve">, </w:t>
      </w:r>
      <w:r>
        <w:rPr>
          <w:rtl w:val="true"/>
        </w:rPr>
        <w:t xml:space="preserve">בה ציין המערער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חדשה</w:t>
      </w:r>
      <w:r>
        <w:rPr>
          <w:rtl w:val="true"/>
        </w:rPr>
        <w:t xml:space="preserve">". </w:t>
      </w:r>
      <w:r>
        <w:rPr>
          <w:rtl w:val="true"/>
        </w:rPr>
        <w:t>לפני סיום הוסיף בית המשפט כי אף המועד שבו הוגשה הבקשה לחזרה מהודאה</w:t>
      </w:r>
      <w:r>
        <w:rPr>
          <w:rtl w:val="true"/>
        </w:rPr>
        <w:t xml:space="preserve">, </w:t>
      </w:r>
      <w:r>
        <w:rPr>
          <w:rtl w:val="true"/>
        </w:rPr>
        <w:t>מלמד על חוסר כנותה</w:t>
      </w:r>
      <w:r>
        <w:rPr>
          <w:rtl w:val="true"/>
        </w:rPr>
        <w:t xml:space="preserve">, </w:t>
      </w:r>
      <w:r>
        <w:rPr>
          <w:rtl w:val="true"/>
        </w:rPr>
        <w:t xml:space="preserve">ועל ניסיון </w:t>
      </w:r>
      <w:r>
        <w:rPr>
          <w:rtl w:val="true"/>
        </w:rPr>
        <w:t>'</w:t>
      </w:r>
      <w:r>
        <w:rPr>
          <w:rtl w:val="true"/>
        </w:rPr>
        <w:t>תכסיסנות</w:t>
      </w:r>
      <w:r>
        <w:rPr>
          <w:rtl w:val="true"/>
        </w:rPr>
        <w:t xml:space="preserve">' </w:t>
      </w:r>
      <w:r>
        <w:rPr>
          <w:rtl w:val="true"/>
        </w:rPr>
        <w:t>מצד המערער שאין ליתן לו יד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משהרשעת המערער נותרה על כנה</w:t>
      </w:r>
      <w:r>
        <w:rPr>
          <w:rtl w:val="true"/>
        </w:rPr>
        <w:t xml:space="preserve">, </w:t>
      </w:r>
      <w:r>
        <w:rPr>
          <w:rtl w:val="true"/>
        </w:rPr>
        <w:t>נשמעו טיעוני הצדדים לעונש</w:t>
      </w:r>
      <w:r>
        <w:rPr>
          <w:rtl w:val="true"/>
        </w:rPr>
        <w:t xml:space="preserve">. </w:t>
      </w:r>
      <w:r>
        <w:rPr>
          <w:rtl w:val="true"/>
        </w:rPr>
        <w:t>הערעור שלפנינו אינו נסוב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ועל כן אסתפק בציון העובדה כי על המערער נגזר עונש של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בניכוי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לצד מאסרים מותנים ופיצוי למתלונן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 בפתח הדברים</w:t>
      </w:r>
      <w:r>
        <w:rPr>
          <w:rtl w:val="true"/>
        </w:rPr>
        <w:t xml:space="preserve">, </w:t>
      </w:r>
      <w:r>
        <w:rPr>
          <w:rtl w:val="true"/>
        </w:rPr>
        <w:t>הערעור שלפנינו ממוקד בהחלטת בית המשפט המחוזי שלא לאפשר למערער לחזור בו מהודייתו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 xml:space="preserve">כי יש לקבל את בקשתו לחזרה מהודאה בשל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עילות</w:t>
      </w:r>
      <w:r>
        <w:rPr>
          <w:rtl w:val="true"/>
        </w:rPr>
        <w:t xml:space="preserve">: </w:t>
      </w:r>
      <w:r>
        <w:rPr>
          <w:rtl w:val="true"/>
        </w:rPr>
        <w:t>פגם ברצון החופשי</w:t>
      </w:r>
      <w:r>
        <w:rPr>
          <w:rtl w:val="true"/>
        </w:rPr>
        <w:t xml:space="preserve">; </w:t>
      </w:r>
      <w:r>
        <w:rPr>
          <w:rtl w:val="true"/>
        </w:rPr>
        <w:t>רצון כן לחשיפת האמת העובדתית</w:t>
      </w:r>
      <w:r>
        <w:rPr>
          <w:rtl w:val="true"/>
        </w:rPr>
        <w:t xml:space="preserve">; </w:t>
      </w:r>
      <w:r>
        <w:rPr>
          <w:rtl w:val="true"/>
        </w:rPr>
        <w:t>וכשל בייצוג המשפטי</w:t>
      </w:r>
      <w:r>
        <w:rPr>
          <w:rtl w:val="true"/>
        </w:rPr>
        <w:t xml:space="preserve">. </w:t>
      </w:r>
      <w:r>
        <w:rPr>
          <w:rtl w:val="true"/>
        </w:rPr>
        <w:t>עוד הובהר</w:t>
      </w:r>
      <w:r>
        <w:rPr>
          <w:rtl w:val="true"/>
        </w:rPr>
        <w:t xml:space="preserve">, </w:t>
      </w:r>
      <w:r>
        <w:rPr>
          <w:rtl w:val="true"/>
        </w:rPr>
        <w:t>כי המערער מודה באישום העשירי והאחד עשר</w:t>
      </w:r>
      <w:r>
        <w:rPr>
          <w:rtl w:val="true"/>
        </w:rPr>
        <w:t xml:space="preserve">, </w:t>
      </w:r>
      <w:r>
        <w:rPr>
          <w:rtl w:val="true"/>
        </w:rPr>
        <w:t>וכופר ביתר האישומים שבהם הודה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למערער רצון כן לחשוף את האמת העובדתית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עדות המתלונן רצופה בסתירות ושקרים</w:t>
      </w:r>
      <w:r>
        <w:rPr>
          <w:rtl w:val="true"/>
        </w:rPr>
        <w:t xml:space="preserve">. </w:t>
      </w:r>
      <w:r>
        <w:rPr>
          <w:rtl w:val="true"/>
        </w:rPr>
        <w:t>לצורך ביסוס טענות אלו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ביקש המערער לצרף לערעור חוזה שכירות של דירתו מהתקופה הרלוונטית לאירועים שפורטו בכתב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החוזה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Fonts w:ascii="Century" w:hAnsi="Century" w:cs="Century"/>
          <w:sz w:val="22"/>
          <w:sz w:val="22"/>
          <w:rtl w:val="true"/>
        </w:rPr>
        <w:t xml:space="preserve"> בהתאמה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מדובר ב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אובייקטיבית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אשר הושגה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ידו </w:t>
      </w:r>
      <w:r>
        <w:rPr>
          <w:rtl w:val="true"/>
        </w:rPr>
        <w:t>במהלך המשפט</w:t>
      </w:r>
      <w:r>
        <w:rPr>
          <w:rtl w:val="true"/>
        </w:rPr>
        <w:t xml:space="preserve">, </w:t>
      </w:r>
      <w:r>
        <w:rPr>
          <w:rtl w:val="true"/>
        </w:rPr>
        <w:t>ולא הייתה ברשות מי מהצדדים בעת הגשת כתב האישום</w:t>
      </w:r>
      <w:r>
        <w:rPr>
          <w:rtl w:val="true"/>
        </w:rPr>
        <w:t xml:space="preserve">. </w:t>
      </w:r>
      <w:r>
        <w:rPr>
          <w:rtl w:val="true"/>
        </w:rPr>
        <w:t>לפי הטענה</w:t>
      </w:r>
      <w:r>
        <w:rPr>
          <w:rtl w:val="true"/>
        </w:rPr>
        <w:t xml:space="preserve">, </w:t>
      </w:r>
      <w:r>
        <w:rPr>
          <w:rtl w:val="true"/>
        </w:rPr>
        <w:t xml:space="preserve">המתלונן העיד על אודות אירועים שאירעו בדירה במהלך חודש אוקטובר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בעוד החוזה מלמד כי המערער התגורר בדירה החל מחודש נובמבר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 xml:space="preserve">עוד התבקש לצרף לערעור ראיות נוספות לצורך הוכחת </w:t>
      </w:r>
      <w:r>
        <w:rPr>
          <w:rtl w:val="true"/>
        </w:rPr>
        <w:t>'</w:t>
      </w:r>
      <w:r>
        <w:rPr>
          <w:rtl w:val="true"/>
        </w:rPr>
        <w:t>שקרי</w:t>
      </w:r>
      <w:r>
        <w:rPr>
          <w:rtl w:val="true"/>
        </w:rPr>
        <w:t xml:space="preserve">'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הפרקליטות ובא כוחו בהליך הקודם</w:t>
      </w:r>
      <w:r>
        <w:rPr>
          <w:rtl w:val="true"/>
        </w:rPr>
        <w:t xml:space="preserve">, </w:t>
      </w:r>
      <w:r>
        <w:rPr>
          <w:rtl w:val="true"/>
        </w:rPr>
        <w:t>ובהן דו</w:t>
      </w:r>
      <w:r>
        <w:rPr>
          <w:rtl w:val="true"/>
        </w:rPr>
        <w:t>"</w:t>
      </w:r>
      <w:r>
        <w:rPr>
          <w:rtl w:val="true"/>
        </w:rPr>
        <w:t>חות משטרתיים</w:t>
      </w:r>
      <w:r>
        <w:rPr>
          <w:rtl w:val="true"/>
        </w:rPr>
        <w:t xml:space="preserve">; </w:t>
      </w:r>
      <w:r>
        <w:rPr>
          <w:rtl w:val="true"/>
        </w:rPr>
        <w:t>מזכרים</w:t>
      </w:r>
      <w:r>
        <w:rPr>
          <w:rtl w:val="true"/>
        </w:rPr>
        <w:t xml:space="preserve">; </w:t>
      </w:r>
      <w:r>
        <w:rPr>
          <w:rtl w:val="true"/>
        </w:rPr>
        <w:t>חלקים מעדויותיהם של המתלונן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ויועצת בית הספר שלו במשטרה</w:t>
      </w:r>
      <w:r>
        <w:rPr>
          <w:rtl w:val="true"/>
        </w:rPr>
        <w:t xml:space="preserve">; </w:t>
      </w:r>
      <w:r>
        <w:rPr>
          <w:rtl w:val="true"/>
        </w:rPr>
        <w:t>התכתבות בין המתלונן למערער</w:t>
      </w:r>
      <w:r>
        <w:rPr>
          <w:rtl w:val="true"/>
        </w:rPr>
        <w:t xml:space="preserve">; </w:t>
      </w:r>
      <w:r>
        <w:rPr>
          <w:rtl w:val="true"/>
        </w:rPr>
        <w:t>מסמכים מתיק העציר של המערער</w:t>
      </w:r>
      <w:r>
        <w:rPr>
          <w:rtl w:val="true"/>
        </w:rPr>
        <w:t xml:space="preserve">; </w:t>
      </w:r>
      <w:r>
        <w:rPr>
          <w:rtl w:val="true"/>
        </w:rPr>
        <w:t>ותצהיר בחתימתו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 לפגם ברצון החופשי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המערער מסר הודאת שווא אך כדי להשתחרר ממעצר</w:t>
      </w:r>
      <w:r>
        <w:rPr>
          <w:rtl w:val="true"/>
        </w:rPr>
        <w:t xml:space="preserve">, </w:t>
      </w:r>
      <w:r>
        <w:rPr>
          <w:rtl w:val="true"/>
        </w:rPr>
        <w:t>נוכח המצב הנפשי והגופני הקשה בו היה שרוי במהלך הגישור הפלילי שנערך בעניינו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ההודאה נמסרה בהתאם להמלצת המותב המגשר ובא כוחו דאז</w:t>
      </w:r>
      <w:r>
        <w:rPr>
          <w:rtl w:val="true"/>
        </w:rPr>
        <w:t xml:space="preserve">, </w:t>
      </w:r>
      <w:r>
        <w:rPr>
          <w:rtl w:val="true"/>
        </w:rPr>
        <w:t>שלא להגיע להסדר הכולל הסכמה לעונש</w:t>
      </w:r>
      <w:r>
        <w:rPr>
          <w:rtl w:val="true"/>
        </w:rPr>
        <w:t xml:space="preserve">, </w:t>
      </w:r>
      <w:r>
        <w:rPr>
          <w:rtl w:val="true"/>
        </w:rPr>
        <w:t>כיוון שהוסכם שלאחר הודאתו ישוחרר המערער ממעצרו להליך 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שיביא להקלה משמעותית בעונשו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בא</w:t>
      </w:r>
      <w:r>
        <w:rPr>
          <w:rtl w:val="true"/>
        </w:rPr>
        <w:t>-</w:t>
      </w:r>
      <w:r>
        <w:rPr>
          <w:rtl w:val="true"/>
        </w:rPr>
        <w:t xml:space="preserve">כוחו דאז ייעץ לו שיוכל לחזור בו מהודאתו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יסתדר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הפרקליטות</w:t>
      </w:r>
      <w:r>
        <w:rPr>
          <w:rtl w:val="true"/>
        </w:rPr>
        <w:t xml:space="preserve">".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המערער לא היה מעורב בהליך הגישור ולא הבין את מלוא כתב האישום המתוקן</w:t>
      </w:r>
      <w:r>
        <w:rPr>
          <w:rtl w:val="true"/>
        </w:rPr>
        <w:t xml:space="preserve">, </w:t>
      </w:r>
      <w:r>
        <w:rPr>
          <w:rtl w:val="true"/>
        </w:rPr>
        <w:t>בטרם הודייתו</w:t>
      </w:r>
      <w:r>
        <w:rPr>
          <w:rtl w:val="true"/>
        </w:rPr>
        <w:t xml:space="preserve">; </w:t>
      </w:r>
      <w:r>
        <w:rPr>
          <w:rtl w:val="true"/>
        </w:rPr>
        <w:t>וכדבריו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בפגישות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נידונו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נידונו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[...]".</w:t>
      </w:r>
    </w:p>
    <w:p>
      <w:pPr>
        <w:pStyle w:val="Ruller41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מידרו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tl w:val="true"/>
        </w:rPr>
        <w:t xml:space="preserve">; </w:t>
      </w:r>
      <w:r>
        <w:rPr>
          <w:rtl w:val="true"/>
        </w:rPr>
        <w:t>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והציג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לעיתוי הבקשה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רלוונטי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</w:rPr>
        <w:t>20.6.22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המעצרים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חיכה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להשתחרר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מעצר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עקב ההחלטה על המשך מעצרו</w:t>
      </w:r>
      <w:r>
        <w:rPr>
          <w:rtl w:val="true"/>
        </w:rPr>
        <w:t xml:space="preserve">, </w:t>
      </w:r>
      <w:r>
        <w:rPr>
          <w:rtl w:val="true"/>
        </w:rPr>
        <w:t>מצבו הנפשי הידרדר משמעותית</w:t>
      </w:r>
      <w:r>
        <w:rPr>
          <w:rtl w:val="true"/>
        </w:rPr>
        <w:t xml:space="preserve">, </w:t>
      </w:r>
      <w:r>
        <w:rPr>
          <w:rtl w:val="true"/>
        </w:rPr>
        <w:t xml:space="preserve">ובתקופה של כשמונים ימים המערער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tl w:val="true"/>
        </w:rPr>
        <w:t xml:space="preserve">".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הבקשה הועלתה בהזדמנות הראשונה</w:t>
      </w:r>
      <w:r>
        <w:rPr>
          <w:rtl w:val="true"/>
        </w:rPr>
        <w:t xml:space="preserve">, </w:t>
      </w:r>
      <w:r>
        <w:rPr>
          <w:rtl w:val="true"/>
        </w:rPr>
        <w:t>בדיון העוקב לאחר הדיון בו הודה</w:t>
      </w:r>
      <w:r>
        <w:rPr>
          <w:rtl w:val="true"/>
        </w:rPr>
        <w:t xml:space="preserve">, </w:t>
      </w:r>
      <w:r>
        <w:rPr>
          <w:rtl w:val="true"/>
        </w:rPr>
        <w:t>ובטרם שמיעת הטיעונים לעונש</w:t>
      </w:r>
      <w:r>
        <w:rPr>
          <w:rtl w:val="true"/>
        </w:rPr>
        <w:t xml:space="preserve">. </w:t>
      </w:r>
      <w:r>
        <w:rPr>
          <w:rtl w:val="true"/>
        </w:rPr>
        <w:t>עוד הוער</w:t>
      </w:r>
      <w:r>
        <w:rPr>
          <w:rtl w:val="true"/>
        </w:rPr>
        <w:t xml:space="preserve">, </w:t>
      </w:r>
      <w:r>
        <w:rPr>
          <w:rtl w:val="true"/>
        </w:rPr>
        <w:t>כי ניתן היה ללמוד על רצונו לחזור בו מהודאתו כבר מהתסקיר שנערך עובר לדיון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בבקשתו אין כל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טאקטי</w:t>
      </w:r>
      <w:r>
        <w:rPr>
          <w:rtl w:val="true"/>
        </w:rPr>
        <w:t xml:space="preserve">", </w:t>
      </w:r>
      <w:r>
        <w:rPr>
          <w:rtl w:val="true"/>
        </w:rPr>
        <w:t>כיוון שאין הסכמה בדבר העונש</w:t>
      </w:r>
      <w:r>
        <w:rPr>
          <w:rtl w:val="true"/>
        </w:rPr>
        <w:t xml:space="preserve">, </w:t>
      </w:r>
      <w:r>
        <w:rPr>
          <w:rtl w:val="true"/>
        </w:rPr>
        <w:t>ומשום שבאם בקשתו תתקבל</w:t>
      </w:r>
      <w:r>
        <w:rPr>
          <w:rtl w:val="true"/>
        </w:rPr>
        <w:t xml:space="preserve">, </w:t>
      </w:r>
      <w:r>
        <w:rPr>
          <w:rtl w:val="true"/>
        </w:rPr>
        <w:t>ולא יושג הסדר טיעון חדש</w:t>
      </w:r>
      <w:r>
        <w:rPr>
          <w:rtl w:val="true"/>
        </w:rPr>
        <w:t xml:space="preserve">, </w:t>
      </w:r>
      <w:r>
        <w:rPr>
          <w:rtl w:val="true"/>
        </w:rPr>
        <w:t>המערער מסכים לעמוד לדין בגין כתב האישום המקורי והחמור יותר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>כי בתחילה הערעור הוגש על</w:t>
      </w:r>
      <w:r>
        <w:rPr>
          <w:rtl w:val="true"/>
        </w:rPr>
        <w:t>-</w:t>
      </w:r>
      <w:r>
        <w:rPr>
          <w:rtl w:val="true"/>
        </w:rPr>
        <w:t>ידי המערער בעצמו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06.09.2023</w:t>
      </w:r>
      <w:r>
        <w:rPr>
          <w:rtl w:val="true"/>
        </w:rPr>
        <w:t xml:space="preserve"> </w:t>
      </w:r>
      <w:r>
        <w:rPr>
          <w:rtl w:val="true"/>
        </w:rPr>
        <w:t>הוגשו נימוקי ערעור מתוקנים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בליווי הסניגוריה הציבורית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07.04.2024</w:t>
      </w:r>
      <w:r>
        <w:rPr>
          <w:rtl w:val="true"/>
        </w:rPr>
        <w:t xml:space="preserve"> </w:t>
      </w:r>
      <w:r>
        <w:rPr>
          <w:rtl w:val="true"/>
        </w:rPr>
        <w:t>הוגשו עיקרי טיעון מטעם המערער</w:t>
      </w:r>
      <w:r>
        <w:rPr>
          <w:rtl w:val="true"/>
        </w:rPr>
        <w:t xml:space="preserve">, </w:t>
      </w:r>
      <w:r>
        <w:rPr>
          <w:rtl w:val="true"/>
        </w:rPr>
        <w:t>לאחר ששכר את שירותיו של עו</w:t>
      </w:r>
      <w:r>
        <w:rPr>
          <w:rtl w:val="true"/>
        </w:rPr>
        <w:t>"</w:t>
      </w:r>
      <w:r>
        <w:rPr>
          <w:rtl w:val="true"/>
        </w:rPr>
        <w:t>ד פרטי</w:t>
      </w:r>
      <w:r>
        <w:rPr>
          <w:rtl w:val="true"/>
        </w:rPr>
        <w:t xml:space="preserve">; </w:t>
      </w:r>
      <w:r>
        <w:rPr>
          <w:rtl w:val="true"/>
        </w:rPr>
        <w:t xml:space="preserve">ביום </w:t>
      </w:r>
      <w:r>
        <w:rPr/>
        <w:t>30.04.2024</w:t>
      </w:r>
      <w:r>
        <w:rPr>
          <w:rtl w:val="true"/>
        </w:rPr>
        <w:t xml:space="preserve"> </w:t>
      </w:r>
      <w:r>
        <w:rPr>
          <w:rtl w:val="true"/>
        </w:rPr>
        <w:t>התקבלה בקשת המערער לשחרר את עורך דינו מייצוג</w:t>
      </w:r>
      <w:r>
        <w:rPr>
          <w:rtl w:val="true"/>
        </w:rPr>
        <w:t xml:space="preserve">, </w:t>
      </w:r>
      <w:r>
        <w:rPr>
          <w:rtl w:val="true"/>
        </w:rPr>
        <w:t>ולהורות לסניגוריה הציבורית לחזור ולייצגו</w:t>
      </w:r>
      <w:r>
        <w:rPr>
          <w:rtl w:val="true"/>
        </w:rPr>
        <w:t xml:space="preserve">, </w:t>
      </w:r>
      <w:r>
        <w:rPr>
          <w:rtl w:val="true"/>
        </w:rPr>
        <w:t>כך שביום הדיון המערער יוצג על</w:t>
      </w:r>
      <w:r>
        <w:rPr>
          <w:rtl w:val="true"/>
        </w:rPr>
        <w:t>-</w:t>
      </w:r>
      <w:r>
        <w:rPr>
          <w:rtl w:val="true"/>
        </w:rPr>
        <w:t>ידי עו</w:t>
      </w:r>
      <w:r>
        <w:rPr>
          <w:rtl w:val="true"/>
        </w:rPr>
        <w:t>"</w:t>
      </w:r>
      <w:r>
        <w:rPr>
          <w:rtl w:val="true"/>
        </w:rPr>
        <w:t>ד מטעם הסניגוריה הציבורית</w:t>
      </w:r>
      <w:r>
        <w:rPr>
          <w:rtl w:val="true"/>
        </w:rPr>
        <w:t xml:space="preserve">, </w:t>
      </w:r>
      <w:r>
        <w:rPr>
          <w:rtl w:val="true"/>
        </w:rPr>
        <w:t>וטען גם בעצמו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המשיבה מצידה טענה</w:t>
      </w:r>
      <w:r>
        <w:rPr>
          <w:rtl w:val="true"/>
        </w:rPr>
        <w:t xml:space="preserve">, </w:t>
      </w:r>
      <w:r>
        <w:rPr>
          <w:rtl w:val="true"/>
        </w:rPr>
        <w:t>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משום שלא הורם הנטל להוכיח כי מתקיימים נימוקים מיוחדים המצדיקים חזרה מהודאה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לטענה לפגם ברצון החופשי</w:t>
      </w:r>
      <w:r>
        <w:rPr>
          <w:rtl w:val="true"/>
        </w:rPr>
        <w:t xml:space="preserve">, </w:t>
      </w:r>
      <w:r>
        <w:rPr>
          <w:rtl w:val="true"/>
        </w:rPr>
        <w:t>נטען כי המערער לא הצביע על כל אינדיקציה ללחץ חיצוני שהופעל עליו</w:t>
      </w:r>
      <w:r>
        <w:rPr>
          <w:rtl w:val="true"/>
        </w:rPr>
        <w:t xml:space="preserve">, </w:t>
      </w:r>
      <w:r>
        <w:rPr>
          <w:rtl w:val="true"/>
        </w:rPr>
        <w:t>להבדיל מהלחצים הטבעיים והרגילים הגלומים בהליך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כתב האישום המתוקן היה תוצר של מספר ישיבות גישור</w:t>
      </w:r>
      <w:r>
        <w:rPr>
          <w:rtl w:val="true"/>
        </w:rPr>
        <w:t xml:space="preserve">; </w:t>
      </w:r>
      <w:r>
        <w:rPr>
          <w:rtl w:val="true"/>
        </w:rPr>
        <w:t>כי ההצעות שעלו בגישור והתיקונים המוצעים הוסברו למערער</w:t>
      </w:r>
      <w:r>
        <w:rPr>
          <w:rtl w:val="true"/>
        </w:rPr>
        <w:t xml:space="preserve">, </w:t>
      </w:r>
      <w:r>
        <w:rPr>
          <w:rtl w:val="true"/>
        </w:rPr>
        <w:t>כאשר חלק מהתיקונים התבקשו על</w:t>
      </w:r>
      <w:r>
        <w:rPr>
          <w:rtl w:val="true"/>
        </w:rPr>
        <w:t>-</w:t>
      </w:r>
      <w:r>
        <w:rPr>
          <w:rtl w:val="true"/>
        </w:rPr>
        <w:t>ידי המערער עצמו</w:t>
      </w:r>
      <w:r>
        <w:rPr>
          <w:rtl w:val="true"/>
        </w:rPr>
        <w:t xml:space="preserve">; </w:t>
      </w:r>
      <w:r>
        <w:rPr>
          <w:rtl w:val="true"/>
        </w:rPr>
        <w:t xml:space="preserve">וכן כי הלה לקח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הגישור</w:t>
      </w:r>
      <w:r>
        <w:rPr>
          <w:rtl w:val="true"/>
        </w:rPr>
        <w:t xml:space="preserve">".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הודגש כי במועד הכרעת הדין הצהיר המערער כי הוא מכיר את עובדות כתב האישום המתוקן והסדר הטיעון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 כי יש לדחות את טענת המערער שלפיה הוא הודה בעובדות כתב אישום שלא היו מוכרות 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לטענה לכשל בייצוג</w:t>
      </w:r>
      <w:r>
        <w:rPr>
          <w:rtl w:val="true"/>
        </w:rPr>
        <w:t xml:space="preserve">, </w:t>
      </w:r>
      <w:r>
        <w:rPr>
          <w:rtl w:val="true"/>
        </w:rPr>
        <w:t>נטען כי האפשרות לשחרורו ממעצר הועלתה</w:t>
      </w:r>
      <w:r>
        <w:rPr>
          <w:rtl w:val="true"/>
        </w:rPr>
        <w:t xml:space="preserve">, </w:t>
      </w:r>
      <w:r>
        <w:rPr>
          <w:rtl w:val="true"/>
        </w:rPr>
        <w:t>נידונה והוסברה למערער על ידי בא</w:t>
      </w:r>
      <w:r>
        <w:rPr>
          <w:rtl w:val="true"/>
        </w:rPr>
        <w:t>-</w:t>
      </w:r>
      <w:r>
        <w:rPr>
          <w:rtl w:val="true"/>
        </w:rPr>
        <w:t>כוחו דאז ועל ידי המותב המגשר</w:t>
      </w:r>
      <w:r>
        <w:rPr>
          <w:rtl w:val="true"/>
        </w:rPr>
        <w:t xml:space="preserve">, </w:t>
      </w:r>
      <w:r>
        <w:rPr>
          <w:rtl w:val="true"/>
        </w:rPr>
        <w:t>כאשר לא היה מדובר באפשרות מופרכת או בהמלצת שווא</w:t>
      </w:r>
      <w:r>
        <w:rPr>
          <w:rtl w:val="true"/>
        </w:rPr>
        <w:t xml:space="preserve">, </w:t>
      </w:r>
      <w:r>
        <w:rPr>
          <w:rtl w:val="true"/>
        </w:rPr>
        <w:t>אלא בהערכה מקצועית ומבוססת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המערער היה מעורב בהליך הגישור</w:t>
      </w:r>
      <w:r>
        <w:rPr>
          <w:rtl w:val="true"/>
        </w:rPr>
        <w:t xml:space="preserve">, </w:t>
      </w:r>
      <w:r>
        <w:rPr>
          <w:rtl w:val="true"/>
        </w:rPr>
        <w:t>וקשה להלום את הטענה לפיה לא הוצג לו כתב האישום המתוקן</w:t>
      </w:r>
      <w:r>
        <w:rPr>
          <w:rtl w:val="true"/>
        </w:rPr>
        <w:t xml:space="preserve">. </w:t>
      </w:r>
      <w:r>
        <w:rPr>
          <w:rtl w:val="true"/>
        </w:rPr>
        <w:t>באשר לטענות המערער ביחס להתנהגות פסולה של בא</w:t>
      </w:r>
      <w:r>
        <w:rPr>
          <w:rtl w:val="true"/>
        </w:rPr>
        <w:t>-</w:t>
      </w:r>
      <w:r>
        <w:rPr>
          <w:rtl w:val="true"/>
        </w:rPr>
        <w:t>כוחו דאז כלפיו</w:t>
      </w:r>
      <w:r>
        <w:rPr>
          <w:rtl w:val="true"/>
        </w:rPr>
        <w:t xml:space="preserve">, </w:t>
      </w:r>
      <w:r>
        <w:rPr>
          <w:rtl w:val="true"/>
        </w:rPr>
        <w:t>הוסבר כי מדובר בטענות חדשות שהועלו לראשונה במסגרת הערעור</w:t>
      </w:r>
      <w:r>
        <w:rPr>
          <w:rtl w:val="true"/>
        </w:rPr>
        <w:t xml:space="preserve">, </w:t>
      </w:r>
      <w:r>
        <w:rPr>
          <w:rtl w:val="true"/>
        </w:rPr>
        <w:t>וממילא אין כל אינדיקציה שהלה פעל באופן לא מקצועי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דבריו של המערער אינם משקפים רצון כן להוכחת חפותו</w:t>
      </w:r>
      <w:r>
        <w:rPr>
          <w:rtl w:val="true"/>
        </w:rPr>
        <w:t xml:space="preserve">, </w:t>
      </w:r>
      <w:r>
        <w:rPr>
          <w:rtl w:val="true"/>
        </w:rPr>
        <w:t>שכן הובהר כי רצונו לחזור בו מהודאתו התעורר לאחר שנכזבה תקוותו להשתחרר ממעצר</w:t>
      </w:r>
      <w:r>
        <w:rPr>
          <w:rtl w:val="true"/>
        </w:rPr>
        <w:t xml:space="preserve">, </w:t>
      </w:r>
      <w:r>
        <w:rPr>
          <w:rtl w:val="true"/>
        </w:rPr>
        <w:t>שעה שהיה משוכנע כי הדבר טומן בחובו אפשרות להקלה בעונש</w:t>
      </w:r>
      <w:r>
        <w:rPr>
          <w:rtl w:val="true"/>
        </w:rPr>
        <w:t xml:space="preserve">. </w:t>
      </w:r>
      <w:r>
        <w:rPr>
          <w:rtl w:val="true"/>
        </w:rPr>
        <w:t>משום כך נטען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במקרה מובהק 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בכדאיות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העסקה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לעיתוי הבקשה</w:t>
      </w:r>
      <w:r>
        <w:rPr>
          <w:rtl w:val="true"/>
        </w:rPr>
        <w:t xml:space="preserve">, </w:t>
      </w:r>
      <w:r>
        <w:rPr>
          <w:rtl w:val="true"/>
        </w:rPr>
        <w:t>הודגש כי מדובר במבחן עזר</w:t>
      </w:r>
      <w:r>
        <w:rPr>
          <w:rtl w:val="true"/>
        </w:rPr>
        <w:t xml:space="preserve">, </w:t>
      </w:r>
      <w:r>
        <w:rPr>
          <w:rtl w:val="true"/>
        </w:rPr>
        <w:t>העשוי לסייע בבחינת המבחן המהותי – הוא מבחן המניע לחזרה מהודאה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המערער ביקש לחזור בו מהודאתו רק לאחר שהתאכזב מכך שהוא לא שוחרר ממעצר ושולב בהליך טיפולי</w:t>
      </w:r>
      <w:r>
        <w:rPr>
          <w:rtl w:val="true"/>
        </w:rPr>
        <w:t xml:space="preserve">, </w:t>
      </w:r>
      <w:r>
        <w:rPr>
          <w:rtl w:val="true"/>
        </w:rPr>
        <w:t>דבר שלהבנתו היה יכול להשפיע על עונשו</w:t>
      </w:r>
      <w:r>
        <w:rPr>
          <w:rtl w:val="true"/>
        </w:rPr>
        <w:t xml:space="preserve">, </w:t>
      </w:r>
      <w:r>
        <w:rPr>
          <w:rtl w:val="true"/>
        </w:rPr>
        <w:t>ומכאן שהעיתוי מלמד על המניע בבסיס הבקשה לחזרה מהודאה – באופן המעלה חשש ממשי כי מדובר במהלך טקטי פסול</w:t>
      </w:r>
      <w:r>
        <w:rPr>
          <w:rtl w:val="true"/>
        </w:rPr>
        <w:t xml:space="preserve">. </w:t>
      </w:r>
      <w:r>
        <w:rPr>
          <w:rtl w:val="true"/>
        </w:rPr>
        <w:t>עוד הוער</w:t>
      </w:r>
      <w:r>
        <w:rPr>
          <w:rtl w:val="true"/>
        </w:rPr>
        <w:t xml:space="preserve">, </w:t>
      </w:r>
      <w:r>
        <w:rPr>
          <w:rtl w:val="true"/>
        </w:rPr>
        <w:t>כי המערער יכול היה לפנות לבית המשפט באופן עצמאי</w:t>
      </w:r>
      <w:r>
        <w:rPr>
          <w:rtl w:val="true"/>
        </w:rPr>
        <w:t xml:space="preserve">, </w:t>
      </w:r>
      <w:r>
        <w:rPr>
          <w:rtl w:val="true"/>
        </w:rPr>
        <w:t>סמוך לאחר הודאתו</w:t>
      </w:r>
      <w:r>
        <w:rPr>
          <w:rtl w:val="true"/>
        </w:rPr>
        <w:t xml:space="preserve">, </w:t>
      </w:r>
      <w:r>
        <w:rPr>
          <w:rtl w:val="true"/>
        </w:rPr>
        <w:t>לוּ רצה לחזור בו מהודאתו בזמן אמת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במסגרת הדיון שהתקיים בפנינו ביום </w:t>
      </w:r>
      <w:r>
        <w:rPr/>
        <w:t>15.05.2024</w:t>
      </w:r>
      <w:r>
        <w:rPr>
          <w:rtl w:val="true"/>
        </w:rPr>
        <w:t xml:space="preserve">, </w:t>
      </w:r>
      <w:r>
        <w:rPr>
          <w:rtl w:val="true"/>
        </w:rPr>
        <w:t>חזרו הצדדים על עיקרי טענותיהם בכתובים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המערער הבהיר</w:t>
      </w:r>
      <w:r>
        <w:rPr>
          <w:rtl w:val="true"/>
        </w:rPr>
        <w:t xml:space="preserve">, </w:t>
      </w:r>
      <w:r>
        <w:rPr>
          <w:rtl w:val="true"/>
        </w:rPr>
        <w:t>כי הוא מודה באישום האחד עשר בלבד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כוחו עמד על כך שמשמעות אמרת המערער כי ברצונו לעשות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חדשה</w:t>
      </w:r>
      <w:r>
        <w:rPr>
          <w:rtl w:val="true"/>
        </w:rPr>
        <w:t xml:space="preserve">", </w:t>
      </w:r>
      <w:r>
        <w:rPr>
          <w:rtl w:val="true"/>
        </w:rPr>
        <w:t>היא כי ברצונו לחזור להליך הגישור</w:t>
      </w:r>
      <w:r>
        <w:rPr>
          <w:rtl w:val="true"/>
        </w:rPr>
        <w:t xml:space="preserve">, </w:t>
      </w:r>
      <w:r>
        <w:rPr>
          <w:rtl w:val="true"/>
        </w:rPr>
        <w:t xml:space="preserve">על מנת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לשכנע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שלם</w:t>
      </w:r>
      <w:r>
        <w:rPr>
          <w:rtl w:val="true"/>
        </w:rPr>
        <w:t xml:space="preserve">". </w:t>
      </w:r>
      <w:r>
        <w:rPr>
          <w:rtl w:val="true"/>
        </w:rPr>
        <w:t>המשיבה מצידה</w:t>
      </w:r>
      <w:r>
        <w:rPr>
          <w:rtl w:val="true"/>
        </w:rPr>
        <w:t xml:space="preserve">, </w:t>
      </w:r>
      <w:r>
        <w:rPr>
          <w:rtl w:val="true"/>
        </w:rPr>
        <w:t>חזרה על כך שהמערער היה מעורב בהליך הגישור</w:t>
      </w:r>
      <w:r>
        <w:rPr>
          <w:rtl w:val="true"/>
        </w:rPr>
        <w:t xml:space="preserve">, </w:t>
      </w:r>
      <w:r>
        <w:rPr>
          <w:rtl w:val="true"/>
        </w:rPr>
        <w:t>כאשר המניע לבקשתו לחזרה מהודאה אינו חשיפת האמת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בית המשפט קמא התרשם מהמערער באופן ישיר</w:t>
      </w:r>
      <w:r>
        <w:rPr>
          <w:rtl w:val="true"/>
        </w:rPr>
        <w:t xml:space="preserve">, </w:t>
      </w:r>
      <w:r>
        <w:rPr>
          <w:rtl w:val="true"/>
        </w:rPr>
        <w:t>והעריך כי הוא היה כשיר לתת הודאה</w:t>
      </w:r>
      <w:r>
        <w:rPr>
          <w:rtl w:val="true"/>
        </w:rPr>
        <w:t xml:space="preserve">.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האינטרס שבאי הבאת המתלונן לצורך מתן עדות</w:t>
      </w:r>
      <w:r>
        <w:rPr>
          <w:rtl w:val="true"/>
        </w:rPr>
        <w:t xml:space="preserve">, </w:t>
      </w:r>
      <w:r>
        <w:rPr>
          <w:rtl w:val="true"/>
        </w:rPr>
        <w:t>בראי חלוף הזמן מעת ביצוע העבירות</w:t>
      </w:r>
      <w:r>
        <w:rPr>
          <w:rtl w:val="true"/>
        </w:rPr>
        <w:t xml:space="preserve">. </w:t>
      </w:r>
    </w:p>
    <w:p>
      <w:pPr>
        <w:pStyle w:val="Ruller41"/>
        <w:keepNext w:val="true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נאשם רשאי לחזור בו מהודאתו</w:t>
      </w:r>
      <w:r>
        <w:rPr>
          <w:rtl w:val="true"/>
        </w:rPr>
        <w:t xml:space="preserve">, </w:t>
      </w:r>
      <w:r>
        <w:rPr>
          <w:rtl w:val="true"/>
        </w:rPr>
        <w:t>בכל שלב של המשפט</w:t>
      </w:r>
      <w:r>
        <w:rPr>
          <w:rtl w:val="true"/>
        </w:rPr>
        <w:t xml:space="preserve">, </w:t>
      </w:r>
      <w:r>
        <w:rPr>
          <w:rtl w:val="true"/>
        </w:rPr>
        <w:t xml:space="preserve">אם הרשה זאת בית המשפט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tl w:val="true"/>
        </w:rPr>
        <w:t xml:space="preserve">". </w:t>
      </w:r>
      <w:r>
        <w:rPr>
          <w:rtl w:val="true"/>
        </w:rPr>
        <w:t>בפסיקה התבססו שלוש עילות מרכזיות</w:t>
      </w:r>
      <w:r>
        <w:rPr>
          <w:rtl w:val="true"/>
        </w:rPr>
        <w:t xml:space="preserve">, </w:t>
      </w:r>
      <w:r>
        <w:rPr>
          <w:rtl w:val="true"/>
        </w:rPr>
        <w:t>שבהתקיים אחת מהן ישקול בית המשפט להתיר לנאשם לחזור בו מהודאתו</w:t>
      </w:r>
      <w:r>
        <w:rPr>
          <w:rtl w:val="true"/>
        </w:rPr>
        <w:t xml:space="preserve">: </w:t>
      </w:r>
      <w:r>
        <w:rPr>
          <w:rtl w:val="true"/>
        </w:rPr>
        <w:t>פגם ברצון החופשי</w:t>
      </w:r>
      <w:r>
        <w:rPr>
          <w:rtl w:val="true"/>
        </w:rPr>
        <w:t xml:space="preserve">; </w:t>
      </w:r>
      <w:r>
        <w:rPr>
          <w:rtl w:val="true"/>
        </w:rPr>
        <w:t>כשל בייצוג המשפטי</w:t>
      </w:r>
      <w:r>
        <w:rPr>
          <w:rtl w:val="true"/>
        </w:rPr>
        <w:t xml:space="preserve">; </w:t>
      </w:r>
      <w:r>
        <w:rPr>
          <w:rtl w:val="true"/>
        </w:rPr>
        <w:t xml:space="preserve">ורצון כן בחשיפת האמת העובדתית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נשימוב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18-17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10.06.2013</w:t>
      </w:r>
      <w:r>
        <w:rPr>
          <w:rtl w:val="true"/>
        </w:rPr>
        <w:t xml:space="preserve">)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08.09.2022</w:t>
      </w:r>
      <w:r>
        <w:rPr>
          <w:rtl w:val="true"/>
        </w:rPr>
        <w:t xml:space="preserve">)). </w:t>
      </w:r>
      <w:r>
        <w:rPr>
          <w:rtl w:val="true"/>
        </w:rPr>
        <w:t>עוד נקבע בפסיקה</w:t>
      </w:r>
      <w:r>
        <w:rPr>
          <w:rtl w:val="true"/>
        </w:rPr>
        <w:t xml:space="preserve">, </w:t>
      </w:r>
      <w:r>
        <w:rPr>
          <w:rtl w:val="true"/>
        </w:rPr>
        <w:t>כי המבחן העיקרי שעל פיו תוכרע בקשתו של נאשם לחזור בו מהודאתו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'</w:t>
      </w:r>
      <w:r>
        <w:rPr>
          <w:rtl w:val="true"/>
        </w:rPr>
        <w:t>מבחן המניע</w:t>
      </w:r>
      <w:r>
        <w:rPr>
          <w:rtl w:val="true"/>
        </w:rPr>
        <w:t xml:space="preserve">' – </w:t>
      </w:r>
      <w:r>
        <w:rPr>
          <w:rtl w:val="true"/>
        </w:rPr>
        <w:t>קרי הסיבה לבקשת הנאשם לחזור בו מהודאתו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במסגרת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נדרש לבחון האם לנאשם יש רצון כן ואמיתי להוכיח את חפותו ולחזור בו מהודאת שווא שמסר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שמא מדובר בתכסיס טקטי שנועד להשיג תועלת משפטית כלשהי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20-19</w:t>
      </w:r>
      <w:r>
        <w:rPr>
          <w:rtl w:val="true"/>
        </w:rPr>
        <w:t>).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לצד כל האמור</w:t>
      </w:r>
      <w:r>
        <w:rPr>
          <w:rtl w:val="true"/>
        </w:rPr>
        <w:t xml:space="preserve">, </w:t>
      </w:r>
      <w:r>
        <w:rPr>
          <w:rtl w:val="true"/>
        </w:rPr>
        <w:t>נקבע בפסיקה כי יש משמעות רבה לשאלת העיתוי</w:t>
      </w:r>
      <w:r>
        <w:rPr>
          <w:rtl w:val="true"/>
        </w:rPr>
        <w:t xml:space="preserve">, </w:t>
      </w:r>
      <w:r>
        <w:rPr>
          <w:rtl w:val="true"/>
        </w:rPr>
        <w:t>קרי באיזה שלב דיוני מבקש הנאשם לחזור בו מהודאתו – האם לפני מתן גזר הדין</w:t>
      </w:r>
      <w:r>
        <w:rPr>
          <w:rtl w:val="true"/>
        </w:rPr>
        <w:t xml:space="preserve">, </w:t>
      </w:r>
      <w:r>
        <w:rPr>
          <w:rtl w:val="true"/>
        </w:rPr>
        <w:t>או לאחריו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במקרה שחזרה נעשית לפני מתן גזר הדין</w:t>
      </w:r>
      <w:r>
        <w:rPr>
          <w:rtl w:val="true"/>
        </w:rPr>
        <w:t xml:space="preserve">, </w:t>
      </w:r>
      <w:r>
        <w:rPr>
          <w:rtl w:val="true"/>
        </w:rPr>
        <w:t>ייטה בית המשפט להתיר לנאשם לחזור בו מהודאתו בהתקיים אחת מהעילות המצוינות לעיל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במקרה בו החזרה מההודאה נעשית לאחר מתן גזר הדין או בשלב הערעור</w:t>
      </w:r>
      <w:r>
        <w:rPr>
          <w:rtl w:val="true"/>
        </w:rPr>
        <w:t xml:space="preserve">, </w:t>
      </w:r>
      <w:r>
        <w:rPr>
          <w:rtl w:val="true"/>
        </w:rPr>
        <w:t>ידו של בית המשפט במתן ההיתר תהא קפוצה יותר</w:t>
      </w:r>
      <w:r>
        <w:rPr>
          <w:rtl w:val="true"/>
        </w:rPr>
        <w:t xml:space="preserve">, </w:t>
      </w:r>
      <w:r>
        <w:rPr>
          <w:rtl w:val="true"/>
        </w:rPr>
        <w:t xml:space="preserve">נוכח החשש הכבד כי חזרת הנאשם מהודאתו נובעת משיקולים טקטיים ומתכססנות </w:t>
      </w:r>
      <w:r>
        <w:rPr>
          <w:rFonts w:cs="Century" w:ascii="Century" w:hAnsi="Century"/>
          <w:sz w:val="22"/>
          <w:rtl w:val="true"/>
        </w:rPr>
        <w:t>(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29.10.2019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 הובהר בפסיקה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העיתוי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המניע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20</w:t>
      </w:r>
      <w:r>
        <w:rPr>
          <w:rtl w:val="true"/>
        </w:rPr>
        <w:t xml:space="preserve"> (</w:t>
      </w:r>
      <w:r>
        <w:rPr>
          <w:rtl w:val="true"/>
        </w:rPr>
        <w:t>ההדגשה במקור – 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')), </w:t>
      </w:r>
      <w:r>
        <w:rPr>
          <w:rtl w:val="true"/>
        </w:rPr>
        <w:t xml:space="preserve">וכי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העיתוי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tl w:val="true"/>
        </w:rPr>
        <w:t>" 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11.08.2020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בתוך כך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אף במצב שבו נאשם ביקש לחזור בו מהודאתו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בטרם מתן גזר הדין</w:t>
      </w:r>
      <w:r>
        <w:rPr>
          <w:rtl w:val="true"/>
        </w:rPr>
        <w:t xml:space="preserve">, </w:t>
      </w:r>
      <w:r>
        <w:rPr>
          <w:rtl w:val="true"/>
        </w:rPr>
        <w:t>אין להיעתר לבקשה באופן אוטומטי</w:t>
      </w:r>
      <w:r>
        <w:rPr>
          <w:rtl w:val="true"/>
        </w:rPr>
        <w:t xml:space="preserve">, </w:t>
      </w:r>
      <w:r>
        <w:rPr>
          <w:rtl w:val="true"/>
        </w:rPr>
        <w:t>אלא נדרש להתחשב ביתר הנסיבות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נקבע כי תיתכן תכסיסנות מצד נאשם גם טרם מתן גזר הדין</w:t>
      </w:r>
      <w:r>
        <w:rPr>
          <w:rtl w:val="true"/>
        </w:rPr>
        <w:t xml:space="preserve">, </w:t>
      </w:r>
      <w:r>
        <w:rPr>
          <w:rtl w:val="true"/>
        </w:rPr>
        <w:t>כאשר הוא מסכים להסדר טיעון ומתחרט</w:t>
      </w:r>
      <w:r>
        <w:rPr>
          <w:rtl w:val="true"/>
        </w:rPr>
        <w:t xml:space="preserve">, </w:t>
      </w:r>
      <w:r>
        <w:rPr>
          <w:rtl w:val="true"/>
        </w:rPr>
        <w:t>לאחר שהוא מגלה ששירות המבחן ערך בעניינו תסקיר שלילי</w:t>
      </w:r>
      <w:r>
        <w:rPr>
          <w:rtl w:val="true"/>
        </w:rPr>
        <w:t xml:space="preserve">, </w:t>
      </w:r>
      <w:r>
        <w:rPr>
          <w:rtl w:val="true"/>
        </w:rPr>
        <w:t xml:space="preserve">העלול להשפיע לרעתו בשלב הטיעונים לעונש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20.03.2014</w:t>
      </w:r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30.03.2009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מצאתי כי מתקיימת בעניינו של המערער אף לא אחת מהעילות שתוארו לעיל לצורך חזרה מהודאתו</w:t>
      </w:r>
      <w:r>
        <w:rPr>
          <w:rtl w:val="true"/>
        </w:rPr>
        <w:t xml:space="preserve">; </w:t>
      </w:r>
      <w:r>
        <w:rPr>
          <w:rtl w:val="true"/>
        </w:rPr>
        <w:t>ואבאר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 מצאתי כי יש מקום להתערב בקביעת בית משפט קמא</w:t>
      </w:r>
      <w:r>
        <w:rPr>
          <w:rtl w:val="true"/>
        </w:rPr>
        <w:t xml:space="preserve">, </w:t>
      </w:r>
      <w:r>
        <w:rPr>
          <w:rtl w:val="true"/>
        </w:rPr>
        <w:t>לפיה לא נפל פגם ברצונו החופשי של המערער בעת הודייתו</w:t>
      </w:r>
      <w:r>
        <w:rPr>
          <w:rtl w:val="true"/>
        </w:rPr>
        <w:t xml:space="preserve">. </w:t>
      </w:r>
      <w:r>
        <w:rPr>
          <w:rtl w:val="true"/>
        </w:rPr>
        <w:t>לעניין זה נקבע בפסיקה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וסתמית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בלחצים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שהביאוהו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מאחר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שההליך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מלחיץ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מטיבו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ומטבעו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ובלחצים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הרגילים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גיבושו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בלחצים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ופסולים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שכנעוהו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הלחצים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האמורים</w:t>
      </w:r>
      <w:r>
        <w:rPr>
          <w:rtl w:val="true"/>
        </w:rPr>
        <w:t>" (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29.10.2019</w:t>
      </w:r>
      <w:r>
        <w:rPr>
          <w:rtl w:val="true"/>
        </w:rPr>
        <w:t>) (</w:t>
      </w:r>
      <w:r>
        <w:rPr>
          <w:rtl w:val="true"/>
        </w:rPr>
        <w:t>ההדגשה הוספה – ח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הובהר לא אחת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הרובץ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ואילוצים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שפגעו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15.12.2021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 הוכרו שני סוגים של פגמים ברצון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נעוץ בנאשם עצמו</w:t>
      </w:r>
      <w:r>
        <w:rPr>
          <w:rtl w:val="true"/>
        </w:rPr>
        <w:t xml:space="preserve">, </w:t>
      </w:r>
      <w:r>
        <w:rPr>
          <w:rtl w:val="true"/>
        </w:rPr>
        <w:t xml:space="preserve">אם בית המשפט סבור כי </w:t>
      </w:r>
      <w:r>
        <w:rPr>
          <w:rFonts w:ascii="Century" w:hAnsi="Century" w:cs="Century"/>
          <w:sz w:val="22"/>
          <w:sz w:val="22"/>
          <w:rtl w:val="true"/>
        </w:rPr>
        <w:t>נוכח מצבו הסובייקטיבי לא ראוי להותיר את ההרשעה על כנה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נעוץ בהליך עצמו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למשל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העניין</w:t>
      </w:r>
      <w:r>
        <w:rPr>
          <w:rtl w:val="true"/>
        </w:rPr>
        <w:t>" 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24.01.2011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מעלה הלכה למעשה</w:t>
      </w:r>
      <w:r>
        <w:rPr>
          <w:rtl w:val="true"/>
        </w:rPr>
        <w:t xml:space="preserve">, </w:t>
      </w:r>
      <w:r>
        <w:rPr>
          <w:rtl w:val="true"/>
        </w:rPr>
        <w:t>טענות בדבר שני סוגי הפגמים – האחת</w:t>
      </w:r>
      <w:r>
        <w:rPr>
          <w:rtl w:val="true"/>
        </w:rPr>
        <w:t xml:space="preserve">, </w:t>
      </w:r>
      <w:r>
        <w:rPr>
          <w:rtl w:val="true"/>
        </w:rPr>
        <w:t>כי הודה מתוך מצב נפשי קשה בשל הליך המעצר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כי לא היה מעורב בהליך הגישור ולא הכיר את כתב האישום במלואו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לטענה הראשונה</w:t>
      </w:r>
      <w:r>
        <w:rPr>
          <w:rtl w:val="true"/>
        </w:rPr>
        <w:t xml:space="preserve">, </w:t>
      </w:r>
      <w:r>
        <w:rPr>
          <w:rtl w:val="true"/>
        </w:rPr>
        <w:t>איני מקל ראש בקשיים עמם התמודד במהלך המעצר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המערער לא עמד בנטל להוכיח שהופעלו עליו לחצים אשר חורגים מהלחצים הרגילים</w:t>
      </w:r>
      <w:r>
        <w:rPr>
          <w:rtl w:val="true"/>
        </w:rPr>
        <w:t xml:space="preserve">, </w:t>
      </w:r>
      <w:r>
        <w:rPr>
          <w:rtl w:val="true"/>
        </w:rPr>
        <w:t>הנובעים מעצם קיומו של המעצר במסגרת ההליך הפלילי</w:t>
      </w:r>
      <w:r>
        <w:rPr>
          <w:rtl w:val="true"/>
        </w:rPr>
        <w:t xml:space="preserve">. </w:t>
      </w:r>
      <w:r>
        <w:rPr>
          <w:rtl w:val="true"/>
        </w:rPr>
        <w:t>הודאת המערער ניתנה לאחר משא ומתן שנוהל בהליך גישור ממושך</w:t>
      </w:r>
      <w:r>
        <w:rPr>
          <w:rtl w:val="true"/>
        </w:rPr>
        <w:t xml:space="preserve">, </w:t>
      </w:r>
      <w:r>
        <w:rPr>
          <w:rtl w:val="true"/>
        </w:rPr>
        <w:t>שכלל מספר מפגשים</w:t>
      </w:r>
      <w:r>
        <w:rPr>
          <w:rtl w:val="true"/>
        </w:rPr>
        <w:t xml:space="preserve">, </w:t>
      </w:r>
      <w:r>
        <w:rPr>
          <w:rtl w:val="true"/>
        </w:rPr>
        <w:t>אשר התנהלו בפני שופט מגשר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כפי שהעיר בית משפט קמא</w:t>
      </w:r>
      <w:r>
        <w:rPr>
          <w:rtl w:val="true"/>
        </w:rPr>
        <w:t xml:space="preserve">, </w:t>
      </w:r>
      <w:r>
        <w:rPr>
          <w:rtl w:val="true"/>
        </w:rPr>
        <w:t>חזקה כי השופט המגשר ווידא</w:t>
      </w:r>
      <w:r>
        <w:rPr>
          <w:rtl w:val="true"/>
        </w:rPr>
        <w:t xml:space="preserve">, </w:t>
      </w:r>
      <w:r>
        <w:rPr>
          <w:rtl w:val="true"/>
        </w:rPr>
        <w:t>כמיטב ניסיונו וחוכמתו</w:t>
      </w:r>
      <w:r>
        <w:rPr>
          <w:rtl w:val="true"/>
        </w:rPr>
        <w:t xml:space="preserve">, </w:t>
      </w:r>
      <w:r>
        <w:rPr>
          <w:rtl w:val="true"/>
        </w:rPr>
        <w:t>שהמערער הבין את משמעות ההליך</w:t>
      </w:r>
      <w:r>
        <w:rPr>
          <w:rtl w:val="true"/>
        </w:rPr>
        <w:t xml:space="preserve">. </w:t>
      </w:r>
      <w:r>
        <w:rPr>
          <w:rtl w:val="true"/>
        </w:rPr>
        <w:t>המערער הוסיף וטען</w:t>
      </w:r>
      <w:r>
        <w:rPr>
          <w:rtl w:val="true"/>
        </w:rPr>
        <w:t xml:space="preserve">, </w:t>
      </w:r>
      <w:r>
        <w:rPr>
          <w:rtl w:val="true"/>
        </w:rPr>
        <w:t xml:space="preserve">כי אילו היה בית משפט קמא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ביסודיות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הודייתו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והשלכותיה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להשתחרר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ממעצרו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לעניין זה נקבע בפסיקה</w:t>
      </w:r>
      <w:r>
        <w:rPr>
          <w:rtl w:val="true"/>
        </w:rPr>
        <w:t xml:space="preserve">, </w:t>
      </w:r>
      <w:r>
        <w:rPr>
          <w:rtl w:val="true"/>
        </w:rPr>
        <w:t>אך לאחרונה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לסרוק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במסרקות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להתפרש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המוסכמות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שבבסיס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ותחתור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2812/23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18.08.2024</w:t>
      </w:r>
      <w:r>
        <w:rPr>
          <w:rFonts w:cs="Century" w:ascii="Century" w:hAnsi="Century"/>
          <w:sz w:val="22"/>
          <w:rtl w:val="true"/>
        </w:rPr>
        <w:t>)(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דברים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חלים גם בענייננו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הצדדים בענייננו הגיעו להסדר טיעון לאחר הליך גישור ממושך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הצהיר במעמד הודאתו כי הוא מכיר את עובדות כתב האישום המתוקן ומודה בהן</w:t>
      </w:r>
      <w:r>
        <w:rPr>
          <w:rtl w:val="true"/>
        </w:rPr>
        <w:t xml:space="preserve">, </w:t>
      </w:r>
      <w:r>
        <w:rPr>
          <w:rtl w:val="true"/>
        </w:rPr>
        <w:t>וכן כי הוא מכיר את הסדר הטיעון עליו הוא חתום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 xml:space="preserve">כי אף לא נטען בפנינו שכתב האישום המתוקן לא הוצג למערער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 xml:space="preserve">אלא נטען כי המערער עיין בחלקים ממנו במסגרת פגישות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tl w:val="true"/>
        </w:rPr>
        <w:t xml:space="preserve">" </w:t>
      </w:r>
      <w:r>
        <w:rPr>
          <w:rtl w:val="true"/>
        </w:rPr>
        <w:t xml:space="preserve">במהלכן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נידונו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[...]".</w:t>
      </w:r>
      <w:r>
        <w:rPr>
          <w:rtl w:val="true"/>
        </w:rPr>
        <w:t xml:space="preserve"> </w:t>
      </w: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לא ניתן לקבל את הטענה שלפיה המערער לא היה מעורב בהליך הגישור</w:t>
      </w:r>
      <w:r>
        <w:rPr>
          <w:rtl w:val="true"/>
        </w:rPr>
        <w:t xml:space="preserve">, </w:t>
      </w:r>
      <w:r>
        <w:rPr>
          <w:rtl w:val="true"/>
        </w:rPr>
        <w:t>או כי לא הכיר את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וזאת בפרט לנוכח הנטל הכבד הנדרש על מנת לבסס טענה בדבר שלילת הרצון החופשי</w:t>
      </w:r>
      <w:r>
        <w:rPr>
          <w:rtl w:val="true"/>
        </w:rPr>
        <w:t xml:space="preserve">. </w:t>
      </w:r>
      <w:r>
        <w:rPr>
          <w:rtl w:val="true"/>
        </w:rPr>
        <w:t>בהקשר זה יובהר</w:t>
      </w:r>
      <w:r>
        <w:rPr>
          <w:rtl w:val="true"/>
        </w:rPr>
        <w:t xml:space="preserve">, </w:t>
      </w:r>
      <w:r>
        <w:rPr>
          <w:rtl w:val="true"/>
        </w:rPr>
        <w:t xml:space="preserve">כי אין בהמלצת סנגורו של המערער או אף בהמלצת המותב המגשר להודות </w:t>
      </w:r>
      <w:r>
        <w:rPr>
          <w:rtl w:val="true"/>
        </w:rPr>
        <w:t>(</w:t>
      </w:r>
      <w:r>
        <w:rPr>
          <w:rtl w:val="true"/>
        </w:rPr>
        <w:t>ככל שההמלצה זו אכן ניתנה</w:t>
      </w:r>
      <w:r>
        <w:rPr>
          <w:rtl w:val="true"/>
        </w:rPr>
        <w:t xml:space="preserve">) </w:t>
      </w:r>
      <w:r>
        <w:rPr>
          <w:rtl w:val="true"/>
        </w:rPr>
        <w:t>כדי להצדיק חזרה מהודאה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נקבע בפסיקה כי אין פסול בהמלצה מסוג זה</w:t>
      </w:r>
      <w:r>
        <w:rPr>
          <w:rtl w:val="true"/>
        </w:rPr>
        <w:t xml:space="preserve">, </w:t>
      </w:r>
      <w:r>
        <w:rPr>
          <w:rtl w:val="true"/>
        </w:rPr>
        <w:t xml:space="preserve">כל עוד אין בה כדי לשלול את רצונו החופשי של הנאשם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09.11.2022</w:t>
      </w:r>
      <w:r>
        <w:rPr>
          <w:rtl w:val="true"/>
        </w:rPr>
        <w:t xml:space="preserve">)). </w:t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>לא הוכח כי זה הוא המקרה בענייננו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כל האמור</w:t>
      </w:r>
      <w:r>
        <w:rPr>
          <w:rtl w:val="true"/>
        </w:rPr>
        <w:t xml:space="preserve">, </w:t>
      </w:r>
      <w:r>
        <w:rPr>
          <w:rtl w:val="true"/>
        </w:rPr>
        <w:t>לא הורם הנטל הכבד להוכחה כי נשלל רצונו החופשי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 מצאתי כי המערער עמד בנטל להוכיח כי נפל כשל בייצוגו</w:t>
      </w:r>
      <w:r>
        <w:rPr>
          <w:rtl w:val="true"/>
        </w:rPr>
        <w:t xml:space="preserve">. </w:t>
      </w:r>
      <w:r>
        <w:rPr>
          <w:rtl w:val="true"/>
        </w:rPr>
        <w:t xml:space="preserve">בפסיקה </w:t>
      </w:r>
      <w:r>
        <w:rPr>
          <w:rFonts w:ascii="Century" w:hAnsi="Century" w:cs="Century"/>
          <w:sz w:val="22"/>
          <w:sz w:val="22"/>
          <w:rtl w:val="true"/>
        </w:rPr>
        <w:t>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>טענה לכשל בייצוג תתקבל רק מקום בו יוכח כי נגרם עיוות דין של ממש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במבחן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הייצוג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משתנה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24</w:t>
      </w:r>
      <w:r>
        <w:rPr>
          <w:rtl w:val="true"/>
        </w:rPr>
        <w:t xml:space="preserve">); </w:t>
      </w:r>
      <w:r>
        <w:rPr>
          <w:rtl w:val="true"/>
        </w:rPr>
        <w:t xml:space="preserve">וכי הנטל על מי שמבקש לטעון טענה זו – הוא כבד מאוד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18.06.2023</w:t>
      </w:r>
      <w:r>
        <w:rPr>
          <w:rtl w:val="true"/>
        </w:rPr>
        <w:t xml:space="preserve">)). </w:t>
      </w:r>
      <w:r>
        <w:rPr>
          <w:rtl w:val="true"/>
        </w:rPr>
        <w:t>לעניין זה הובהר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אין בהמלצתו של סנגור לנאשם להודות</w:t>
      </w:r>
      <w:r>
        <w:rPr>
          <w:rtl w:val="true"/>
        </w:rPr>
        <w:t xml:space="preserve">, </w:t>
      </w:r>
      <w:r>
        <w:rPr>
          <w:rtl w:val="true"/>
        </w:rPr>
        <w:t>תוך הבהרה שאם לא יודה צפוי לו עונש כבד יותר</w:t>
      </w:r>
      <w:r>
        <w:rPr>
          <w:rtl w:val="true"/>
        </w:rPr>
        <w:t xml:space="preserve">, </w:t>
      </w:r>
      <w:r>
        <w:rPr>
          <w:rtl w:val="true"/>
        </w:rPr>
        <w:t xml:space="preserve">כדי להצדיק מתן היתר לחזרה מהודאה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03.07.2018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26.11.2007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tl w:val="true"/>
        </w:rPr>
        <w:t xml:space="preserve">" </w:t>
      </w:r>
      <w:r>
        <w:rPr>
          <w:rtl w:val="true"/>
        </w:rPr>
        <w:t xml:space="preserve">שאכן הובטח למערער כי ישוחרר ממעצר אם יודה בכתב האישום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להחלטה מיום </w:t>
      </w:r>
      <w:r>
        <w:rPr/>
        <w:t>22.11.2022</w:t>
      </w:r>
      <w:r>
        <w:rPr>
          <w:rtl w:val="true"/>
        </w:rPr>
        <w:t xml:space="preserve">). </w:t>
      </w:r>
      <w:r>
        <w:rPr>
          <w:rtl w:val="true"/>
        </w:rPr>
        <w:t>די בכך לטעמי כדי לדחות טענה זו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הובהר כי אין כל ערך להבטחה שכזו</w:t>
      </w:r>
      <w:r>
        <w:rPr>
          <w:rtl w:val="true"/>
        </w:rPr>
        <w:t xml:space="preserve">, </w:t>
      </w:r>
      <w:r>
        <w:rPr>
          <w:rtl w:val="true"/>
        </w:rPr>
        <w:t>שכן ברי כי ההחלטה בנדון נתונה לשיקול דעתו של המותב הדן בהליך המעצר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טענות המערער בכל הנוגע לאופן ההתנהלות של בא כוחו דאז כלפיו – נטענו בעלמא</w:t>
      </w:r>
      <w:r>
        <w:rPr>
          <w:rtl w:val="true"/>
        </w:rPr>
        <w:t xml:space="preserve">, </w:t>
      </w:r>
      <w:r>
        <w:rPr>
          <w:rtl w:val="true"/>
        </w:rPr>
        <w:t>בהיעדר תימוכין של ממש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>לא מצאתי כי המערער עמד ברף ההוכחה הנדרש בפסיקה באשר לקיומו של כשל בייצוג</w:t>
      </w:r>
      <w:r>
        <w:rPr>
          <w:rtl w:val="true"/>
        </w:rPr>
        <w:t xml:space="preserve">, </w:t>
      </w:r>
      <w:r>
        <w:rPr>
          <w:rtl w:val="true"/>
        </w:rPr>
        <w:t>וקל וחומר באשר לקיום קשר סיבתי בין כשל נטען זה לבין תוצאות ההליך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אף לא מצאתי כי הבקשה לחזרה מהודאה נובעת מרצון כן ואמיתי לחשיפת האמת העובדתית</w:t>
      </w:r>
      <w:r>
        <w:rPr>
          <w:rtl w:val="true"/>
        </w:rPr>
        <w:t xml:space="preserve">. </w:t>
      </w:r>
      <w:r>
        <w:rPr>
          <w:rtl w:val="true"/>
        </w:rPr>
        <w:t xml:space="preserve">עילה זו הוכרה בפסק הדין 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 xml:space="preserve">בגדרו נדון מקרה בו נאשם ביקש לחזור בו מהודאתו אך בשל טעות בשיקול דעתו ורצונו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צדקתו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tl w:val="true"/>
        </w:rPr>
        <w:t xml:space="preserve">", </w:t>
      </w:r>
      <w:r>
        <w:rPr>
          <w:rtl w:val="true"/>
        </w:rPr>
        <w:t>כאשר ברור היה שלא נפל בהודאתו כל פגם – הן לעניין רצונו החופשי</w:t>
      </w:r>
      <w:r>
        <w:rPr>
          <w:rtl w:val="true"/>
        </w:rPr>
        <w:t xml:space="preserve">, </w:t>
      </w:r>
      <w:r>
        <w:rPr>
          <w:rtl w:val="true"/>
        </w:rPr>
        <w:t xml:space="preserve">והן לעניין ייצוגו המשפטי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3754/91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798</w:t>
      </w:r>
      <w:r>
        <w:rPr>
          <w:rtl w:val="true"/>
        </w:rPr>
        <w:t xml:space="preserve">, </w:t>
      </w:r>
      <w:r>
        <w:rPr/>
        <w:t>802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כאשר בקשה לחזרה מהודאה מוגשת עובר לגזר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והאמיתית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בשיקוליו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ההזדמנות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במשקלם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802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29.10.2019</w:t>
      </w:r>
      <w:r>
        <w:rPr>
          <w:rtl w:val="true"/>
        </w:rPr>
        <w:t xml:space="preserve">)).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הובהר בפסיקה כי אין די בכך שהנאשם טוען שברצונו להוכיח את חפותו</w:t>
      </w:r>
      <w:r>
        <w:rPr>
          <w:rtl w:val="true"/>
        </w:rPr>
        <w:t xml:space="preserve">, </w:t>
      </w:r>
      <w:r>
        <w:rPr>
          <w:rtl w:val="true"/>
        </w:rPr>
        <w:t>שכן קביעה כזו תייתר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את הדרישה ל</w:t>
      </w:r>
      <w:r>
        <w:rPr>
          <w:rtl w:val="true"/>
        </w:rPr>
        <w:t>'</w:t>
      </w:r>
      <w:r>
        <w:rPr>
          <w:rtl w:val="true"/>
        </w:rPr>
        <w:t>נימוקים מיוחדים</w:t>
      </w:r>
      <w:r>
        <w:rPr>
          <w:rtl w:val="true"/>
        </w:rPr>
        <w:t xml:space="preserve">' </w:t>
      </w:r>
      <w:r>
        <w:rPr>
          <w:rtl w:val="true"/>
        </w:rPr>
        <w:t xml:space="preserve">הקבועה בהוראת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נקבע כי על הנאשם להוכיח את כנות רצונו לחשוף את האמת העובדתית</w:t>
      </w:r>
      <w:r>
        <w:rPr>
          <w:rtl w:val="true"/>
        </w:rPr>
        <w:t xml:space="preserve">, </w:t>
      </w:r>
      <w:r>
        <w:rPr>
          <w:rtl w:val="true"/>
        </w:rPr>
        <w:t>והדבר יכול להיות מוכח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כאשר בפרק הזמן שבין מתן ההודאה לבין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הנאשם גילה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בחפותו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כך שבנסיבות המתאימות</w:t>
      </w:r>
      <w:r>
        <w:rPr>
          <w:rtl w:val="true"/>
        </w:rPr>
        <w:t xml:space="preserve">, </w:t>
      </w:r>
      <w:r>
        <w:rPr>
          <w:rtl w:val="true"/>
        </w:rPr>
        <w:t xml:space="preserve">הדבר עלול להטות את הכף כלפי היעתרות לבקשתו לחזרה מהודאה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יישום המבחנים שנקבעו בפסיקה לצורך הוכחת עילה זו מוביל למסקנה כי יש לדחות את בקשת המערער לחזרה מהודאה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בכל הנוגע לטענותיו של המערער בדבר עילה זו</w:t>
      </w:r>
      <w:r>
        <w:rPr>
          <w:rtl w:val="true"/>
        </w:rPr>
        <w:t xml:space="preserve">, </w:t>
      </w:r>
      <w:r>
        <w:rPr>
          <w:rtl w:val="true"/>
        </w:rPr>
        <w:t xml:space="preserve">הלה טען כי בידיו ראיות שיוכלו להוכיח את </w:t>
      </w:r>
      <w:r>
        <w:rPr>
          <w:rtl w:val="true"/>
        </w:rPr>
        <w:t>'</w:t>
      </w:r>
      <w:r>
        <w:rPr>
          <w:rtl w:val="true"/>
        </w:rPr>
        <w:t>שקרי</w:t>
      </w:r>
      <w:r>
        <w:rPr>
          <w:rtl w:val="true"/>
        </w:rPr>
        <w:t xml:space="preserve">'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הפרקליטות ובא כוחו דאז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עיון בנימוקי הערעור המתוקנים על הכרעת הדין שהוגשו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מלמד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פברואר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המתוארת</w:t>
      </w:r>
      <w:r>
        <w:rPr>
          <w:rtl w:val="true"/>
        </w:rPr>
        <w:t xml:space="preserve">". </w:t>
      </w:r>
      <w:r>
        <w:rPr>
          <w:rtl w:val="true"/>
        </w:rPr>
        <w:t>עוד הוסיף המערער לטעון</w:t>
      </w:r>
      <w:r>
        <w:rPr>
          <w:rtl w:val="true"/>
        </w:rPr>
        <w:t xml:space="preserve">, </w:t>
      </w:r>
      <w:r>
        <w:rPr>
          <w:rtl w:val="true"/>
        </w:rPr>
        <w:t>ומוטב כי יובאו דברים כלשונם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15/11/19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הבעיה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שניצבת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גישור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מדברים אלו עולה באופן ברור ומפורש</w:t>
      </w:r>
      <w:r>
        <w:rPr>
          <w:rtl w:val="true"/>
        </w:rPr>
        <w:t xml:space="preserve">, </w:t>
      </w:r>
      <w:r>
        <w:rPr>
          <w:rtl w:val="true"/>
        </w:rPr>
        <w:t xml:space="preserve">שלא מדובר בראיה שהושגה בפרק הזמן שבין מתן ההודאה ביום </w:t>
      </w:r>
      <w:r>
        <w:rPr/>
        <w:t>04.04.2022</w:t>
      </w:r>
      <w:r>
        <w:rPr>
          <w:rtl w:val="true"/>
        </w:rPr>
        <w:t xml:space="preserve"> </w:t>
      </w:r>
      <w:r>
        <w:rPr>
          <w:rtl w:val="true"/>
        </w:rPr>
        <w:t>לבין מתן גזר הדין</w:t>
      </w:r>
      <w:r>
        <w:rPr>
          <w:rtl w:val="true"/>
        </w:rPr>
        <w:t xml:space="preserve">, </w:t>
      </w:r>
      <w:r>
        <w:rPr>
          <w:rtl w:val="true"/>
        </w:rPr>
        <w:t>עליה לא ידע המערער קודם לכן – אלא בראיה שהושגה לפני מתן ההודאה</w:t>
      </w:r>
      <w:r>
        <w:rPr>
          <w:rtl w:val="true"/>
        </w:rPr>
        <w:t xml:space="preserve">, </w:t>
      </w:r>
      <w:r>
        <w:rPr>
          <w:rtl w:val="true"/>
        </w:rPr>
        <w:t>ואף לפני תיקון כתב האישום</w:t>
      </w:r>
      <w:r>
        <w:rPr>
          <w:rtl w:val="true"/>
        </w:rPr>
        <w:t xml:space="preserve">, </w:t>
      </w:r>
      <w:r>
        <w:rPr>
          <w:rtl w:val="true"/>
        </w:rPr>
        <w:t>עליה כמובן ידע המערער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מדובר בראיה שלפי הנטען הובאה לתשומת לב הפרקליטות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וראיה זו אף הובילה לניסוח כתב האישום המתוקן בו הודה</w:t>
      </w:r>
      <w:r>
        <w:rPr>
          <w:rtl w:val="true"/>
        </w:rPr>
        <w:t xml:space="preserve">. </w:t>
      </w:r>
      <w:r>
        <w:rPr>
          <w:rtl w:val="true"/>
        </w:rPr>
        <w:t>גם ביחס ליתר הראיות שצירופן התבקש – המערער לא הסביר מדוע הוא נמנע מהצגתן בהליך שהתנהל נגדו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משעה שלא נטען </w:t>
      </w:r>
      <w:r>
        <w:rPr>
          <w:rtl w:val="true"/>
        </w:rPr>
        <w:t>(</w:t>
      </w:r>
      <w:r>
        <w:rPr>
          <w:rtl w:val="true"/>
        </w:rPr>
        <w:t>וממילא לא הוכח</w:t>
      </w:r>
      <w:r>
        <w:rPr>
          <w:rtl w:val="true"/>
        </w:rPr>
        <w:t xml:space="preserve">) </w:t>
      </w:r>
      <w:r>
        <w:rPr>
          <w:rtl w:val="true"/>
        </w:rPr>
        <w:t xml:space="preserve">כי הראיות החדשות הגיעו לידי המערער 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הודאתו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אין בראיות אלו כדי לבסס את הטענה בדבר רצונו להוכיח את חפותו באמצעותן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בנתון לאמור לעיל שוכנעתי</w:t>
      </w:r>
      <w:r>
        <w:rPr>
          <w:rtl w:val="true"/>
        </w:rPr>
        <w:t xml:space="preserve">, </w:t>
      </w:r>
      <w:r>
        <w:rPr>
          <w:rtl w:val="true"/>
        </w:rPr>
        <w:t>כי מקרה זה לא בא בקהל אותם מקרים חריגים בהם הפסיקה הכירה באפשרות להתיר לנאשם לחזור בו מהודאתו כדי לחשוף את האמת</w:t>
      </w:r>
      <w:r>
        <w:rPr>
          <w:rtl w:val="true"/>
        </w:rPr>
        <w:t xml:space="preserve">. </w:t>
      </w:r>
      <w:r>
        <w:rPr>
          <w:rtl w:val="true"/>
        </w:rPr>
        <w:t>משלא הושגה בפרק הזמן שבין מתן ההודאה ומתן גזר הדין ראיה אובייקטיבית חיצונית</w:t>
      </w:r>
      <w:r>
        <w:rPr>
          <w:rtl w:val="true"/>
        </w:rPr>
        <w:t xml:space="preserve">, </w:t>
      </w:r>
      <w:r>
        <w:rPr>
          <w:rtl w:val="true"/>
        </w:rPr>
        <w:t>עליה המערער לא ידע קודם</w:t>
      </w:r>
      <w:r>
        <w:rPr>
          <w:rtl w:val="true"/>
        </w:rPr>
        <w:t xml:space="preserve">, </w:t>
      </w:r>
      <w:r>
        <w:rPr>
          <w:rtl w:val="true"/>
        </w:rPr>
        <w:t xml:space="preserve">לא מתעוררים בעניינו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tl w:val="true"/>
        </w:rPr>
        <w:t xml:space="preserve">" </w:t>
      </w:r>
      <w:r>
        <w:rPr>
          <w:rtl w:val="true"/>
        </w:rPr>
        <w:t>המצדיקים היעתרות לבקשתו לחזור מהודאתו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עולה חשש משמעותי כי הטעם האמיתי לבקשת המערער לחזרה מהודאה נטוע בניסיון טקטי לשפר עמדות מול התביעה במסגרת משא ומתן מחודש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אמסלם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); </w:t>
      </w:r>
      <w:r>
        <w:rPr>
          <w:rtl w:val="true"/>
        </w:rPr>
        <w:t>ואבאר</w:t>
      </w:r>
      <w:r>
        <w:rPr>
          <w:rtl w:val="true"/>
        </w:rPr>
        <w:t xml:space="preserve">. </w:t>
      </w:r>
      <w:r>
        <w:rPr>
          <w:rtl w:val="true"/>
        </w:rPr>
        <w:t>הסיכוי שעמד לנגד עיני המערער בעת הודאתו הוא כי יתקבל בעניינו תסקיר שירות מבחן חיובי והוא ישוחרר ממעצרו</w:t>
      </w:r>
      <w:r>
        <w:rPr>
          <w:rtl w:val="true"/>
        </w:rPr>
        <w:t xml:space="preserve">, </w:t>
      </w:r>
      <w:r>
        <w:rPr>
          <w:rtl w:val="true"/>
        </w:rPr>
        <w:t xml:space="preserve">כך שיגדל הסיכוי כי העונש שייגזר עליו יהיה מתון </w:t>
      </w:r>
      <w:r>
        <w:rPr>
          <w:rtl w:val="true"/>
        </w:rPr>
        <w:t>(</w:t>
      </w:r>
      <w:r>
        <w:rPr>
          <w:rtl w:val="true"/>
        </w:rPr>
        <w:t xml:space="preserve">וכפי שתיאר זאת המערער בפרוטוקול הדיון בבית משפט קמא מיום </w:t>
      </w:r>
      <w:r>
        <w:rPr/>
        <w:t>07.09.2022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</w:t>
      </w:r>
      <w:r>
        <w:rPr>
          <w:rtl w:val="true"/>
        </w:rPr>
        <w:t xml:space="preserve">").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 לנגד עיניו סיכון – לפיו אם הציפייה לתסקיר חיובי ולשחרור ממעצר לא תתממש</w:t>
      </w:r>
      <w:r>
        <w:rPr>
          <w:rtl w:val="true"/>
        </w:rPr>
        <w:t xml:space="preserve">, </w:t>
      </w:r>
      <w:r>
        <w:rPr>
          <w:rtl w:val="true"/>
        </w:rPr>
        <w:t>יגבר הסיכון לעונש מחמיר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 סבר כי במצב זה</w:t>
      </w:r>
      <w:r>
        <w:rPr>
          <w:rtl w:val="true"/>
        </w:rPr>
        <w:t xml:space="preserve">, </w:t>
      </w:r>
      <w:r>
        <w:rPr>
          <w:rtl w:val="true"/>
        </w:rPr>
        <w:t xml:space="preserve">הוא יוכל לחזור בו מן ההודאה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tl w:val="true"/>
        </w:rPr>
        <w:t>" (</w:t>
      </w:r>
      <w:r>
        <w:rPr>
          <w:rtl w:val="true"/>
        </w:rPr>
        <w:t>במילותיו</w:t>
      </w:r>
      <w:r>
        <w:rPr>
          <w:rtl w:val="true"/>
        </w:rPr>
        <w:t xml:space="preserve">, </w:t>
      </w:r>
      <w:r>
        <w:rPr>
          <w:rtl w:val="true"/>
        </w:rPr>
        <w:t>לפי ההמלצה שקיבל</w:t>
      </w:r>
      <w:r>
        <w:rPr>
          <w:rtl w:val="true"/>
        </w:rPr>
        <w:t xml:space="preserve">), </w:t>
      </w:r>
      <w:r>
        <w:rPr>
          <w:rtl w:val="true"/>
        </w:rPr>
        <w:t>והמשפט ייפתח מחדש</w:t>
      </w:r>
      <w:r>
        <w:rPr>
          <w:rtl w:val="true"/>
        </w:rPr>
        <w:t xml:space="preserve">. </w:t>
      </w:r>
      <w:r>
        <w:rPr>
          <w:rtl w:val="true"/>
        </w:rPr>
        <w:t>המערער אף ציין</w:t>
      </w:r>
      <w:r>
        <w:rPr>
          <w:rtl w:val="true"/>
        </w:rPr>
        <w:t xml:space="preserve">, </w:t>
      </w:r>
      <w:r>
        <w:rPr>
          <w:rtl w:val="true"/>
        </w:rPr>
        <w:t>באופן שאינו משתמע לשני פנים</w:t>
      </w:r>
      <w:r>
        <w:rPr>
          <w:rtl w:val="true"/>
        </w:rPr>
        <w:t xml:space="preserve">, </w:t>
      </w:r>
      <w:r>
        <w:rPr>
          <w:rtl w:val="true"/>
        </w:rPr>
        <w:t>כי הוא שינה את התייחסותו להודאתו בעקבות ההחלטה בעניין מעצרו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קשה להתעלם מהחשש כי החלטת המערער התקבלה לאחר שהעריך מחדש את הסיכויים והסיכונים לעניין העונש</w:t>
      </w:r>
      <w:r>
        <w:rPr>
          <w:rtl w:val="true"/>
        </w:rPr>
        <w:t xml:space="preserve">, </w:t>
      </w:r>
      <w:r>
        <w:rPr>
          <w:rtl w:val="true"/>
        </w:rPr>
        <w:t>באופן שגיבש בקרבו את הסברה כי בשל התסקיר השלילי שניתן לגביו וההחלטה שלא לשחררו ממעצר</w:t>
      </w:r>
      <w:r>
        <w:rPr>
          <w:rtl w:val="true"/>
        </w:rPr>
        <w:t xml:space="preserve">, </w:t>
      </w:r>
      <w:r>
        <w:rPr>
          <w:rtl w:val="true"/>
        </w:rPr>
        <w:t>גדל הסיכון שייגזר עליו עונש מחמיר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הוא ביקש</w:t>
      </w:r>
      <w:r>
        <w:rPr>
          <w:rtl w:val="true"/>
        </w:rPr>
        <w:t xml:space="preserve">, </w:t>
      </w:r>
      <w:r>
        <w:rPr>
          <w:rtl w:val="true"/>
        </w:rPr>
        <w:t xml:space="preserve">לערוך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חדשה</w:t>
      </w:r>
      <w:r>
        <w:rPr>
          <w:rtl w:val="true"/>
        </w:rPr>
        <w:t>" (</w:t>
      </w:r>
      <w:r>
        <w:rPr>
          <w:rtl w:val="true"/>
        </w:rPr>
        <w:t xml:space="preserve">כלשונו בפסקה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 xml:space="preserve">), </w:t>
      </w:r>
      <w:r>
        <w:rPr>
          <w:rtl w:val="true"/>
        </w:rPr>
        <w:t>לטרוף את קלפי ההליך הפלילי שוב</w:t>
      </w:r>
      <w:r>
        <w:rPr>
          <w:rtl w:val="true"/>
        </w:rPr>
        <w:t xml:space="preserve">, </w:t>
      </w:r>
      <w:r>
        <w:rPr>
          <w:rtl w:val="true"/>
        </w:rPr>
        <w:t>ולבוא בדין ודברים מחודש עם המשיבה על מנת להשיג הסדר מתון יותר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אין לפנינו רצון כן ואמיתי להוכחת חפות</w:t>
      </w:r>
      <w:r>
        <w:rPr>
          <w:rtl w:val="true"/>
        </w:rPr>
        <w:t xml:space="preserve">, </w:t>
      </w:r>
      <w:r>
        <w:rPr>
          <w:rtl w:val="true"/>
        </w:rPr>
        <w:t>אלא ניסיון פסול לשפר עמדות מול התביעה – לו אין לתת יד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אשר למבחן העיתוי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אף שהבקשה הוגשה בטרם מתן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חלף פרק זמן משמעותי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 כחצי שנה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מעת מתן ההודאה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וזה העיקר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אם נקבל את הטענה לפיה המערער חזר בו מן ההודאה ב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הזדמנות הראשונה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ascii="Century" w:hAnsi="Century" w:cs="Century"/>
          <w:sz w:val="22"/>
          <w:sz w:val="22"/>
          <w:rtl w:val="true"/>
        </w:rPr>
        <w:t>ואיני קובע כי אלו הם פני הדברים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כמוסבר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בנסיבות העניין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לתת למבחן העיתוי משקל מכריע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מכיוון שמדובר אך במבחן משלים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המשמש כפרוקסי לסיוע בהכרעה בשאלת המניע האמיתי לחזרה מהודאה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שניידר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20</w:t>
      </w:r>
      <w:r>
        <w:rPr>
          <w:rtl w:val="true"/>
        </w:rPr>
        <w:t xml:space="preserve">; </w:t>
      </w:r>
      <w:r>
        <w:rPr>
          <w:rtl w:val="true"/>
        </w:rPr>
        <w:t xml:space="preserve">וכמפורט בהרחבה בפסקה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ובענייננו לא התקיימה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העילות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שהוכרו בפסיקה לצורך חזרה מהודאה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הדברים מקבלים משנה תוקף נוכח החשש כי המניע בנדון דידן הוא טקטי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אין בעיתוי הבקשה כדי לסייע למערער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בשולי הדברים אך לא בשולי חשיבותם</w:t>
      </w:r>
      <w:r>
        <w:rPr>
          <w:rtl w:val="true"/>
        </w:rPr>
        <w:t xml:space="preserve">. </w:t>
      </w:r>
      <w:r>
        <w:rPr>
          <w:rtl w:val="true"/>
        </w:rPr>
        <w:t>לדידי אל לנו להתעלם מכך שהודאת המערער ניתנה במסגרת הסדר טיעון</w:t>
      </w:r>
      <w:r>
        <w:rPr>
          <w:rtl w:val="true"/>
        </w:rPr>
        <w:t xml:space="preserve">, </w:t>
      </w:r>
      <w:r>
        <w:rPr>
          <w:rtl w:val="true"/>
        </w:rPr>
        <w:t>אליו הגיעו הצדדים לאחר הליך גישור ממושך</w:t>
      </w:r>
      <w:r>
        <w:rPr>
          <w:rtl w:val="true"/>
        </w:rPr>
        <w:t xml:space="preserve">, </w:t>
      </w:r>
      <w:r>
        <w:rPr>
          <w:rtl w:val="true"/>
        </w:rPr>
        <w:t>בתיווכו של מותב מגשר</w:t>
      </w:r>
      <w:r>
        <w:rPr>
          <w:rtl w:val="true"/>
        </w:rPr>
        <w:t xml:space="preserve">. </w:t>
      </w:r>
      <w:r>
        <w:rPr>
          <w:rtl w:val="true"/>
        </w:rPr>
        <w:t xml:space="preserve">בפסיקה הוכרה זה מכבר חשיבותו של מוסד הגישור להליך הפלילי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20.07.2022</w:t>
      </w:r>
      <w:r>
        <w:rPr>
          <w:rtl w:val="true"/>
        </w:rPr>
        <w:t xml:space="preserve">); </w:t>
      </w:r>
      <w:r>
        <w:rPr>
          <w:rtl w:val="true"/>
        </w:rPr>
        <w:t xml:space="preserve">וכן ראו </w:t>
      </w:r>
      <w:hyperlink r:id="rId71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1620/22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07.06.2023</w:t>
      </w:r>
      <w:r>
        <w:rPr>
          <w:rtl w:val="true"/>
        </w:rPr>
        <w:t xml:space="preserve">)). </w:t>
      </w:r>
      <w:r>
        <w:rPr>
          <w:rtl w:val="true"/>
        </w:rPr>
        <w:t xml:space="preserve">הכרה זו באה לידי ביטוי אף בהוראות נוהל נשיאת בית המשפט העליון </w:t>
      </w:r>
      <w:r>
        <w:rPr/>
        <w:t>2-21</w:t>
      </w:r>
      <w:r>
        <w:rPr>
          <w:rtl w:val="true"/>
        </w:rPr>
        <w:t xml:space="preserve"> "</w:t>
      </w:r>
      <w:r>
        <w:rPr>
          <w:rtl w:val="true"/>
        </w:rPr>
        <w:t>גישור פלילי בבתי המשפט</w:t>
      </w:r>
      <w:r>
        <w:rPr>
          <w:rtl w:val="true"/>
        </w:rPr>
        <w:t>" (</w:t>
      </w:r>
      <w:r>
        <w:rPr/>
        <w:t>19.05.2021</w:t>
      </w:r>
      <w:r>
        <w:rPr>
          <w:rtl w:val="true"/>
        </w:rPr>
        <w:t xml:space="preserve">), </w:t>
      </w:r>
      <w:r>
        <w:rPr>
          <w:rtl w:val="true"/>
        </w:rPr>
        <w:t>שם צוין כי מטרת פרקטיקה מקובלת זו היא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להסכמות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סכסוכים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והוגן</w:t>
      </w:r>
      <w:r>
        <w:rPr>
          <w:rtl w:val="true"/>
        </w:rPr>
        <w:t>" 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הנחיית פרקליט המדינה </w:t>
      </w:r>
      <w:r>
        <w:rPr/>
        <w:t>8.4</w:t>
      </w:r>
      <w:r>
        <w:rPr>
          <w:rtl w:val="true"/>
        </w:rPr>
        <w:t xml:space="preserve"> "</w:t>
      </w:r>
      <w:r>
        <w:rPr>
          <w:rtl w:val="true"/>
        </w:rPr>
        <w:t>מדיניות התביעה בהליכי גישור פליליים</w:t>
      </w:r>
      <w:r>
        <w:rPr>
          <w:rtl w:val="true"/>
        </w:rPr>
        <w:t>" (</w:t>
      </w:r>
      <w:r>
        <w:rPr/>
        <w:t>31.06.2021</w:t>
      </w:r>
      <w:r>
        <w:rPr>
          <w:rtl w:val="true"/>
        </w:rPr>
        <w:t xml:space="preserve">); </w:t>
      </w:r>
      <w:r>
        <w:rPr>
          <w:rtl w:val="true"/>
        </w:rPr>
        <w:t xml:space="preserve">עמי </w:t>
      </w:r>
      <w:hyperlink r:id="rId72">
        <w:r>
          <w:rPr>
            <w:rStyle w:val="Hyperlink"/>
            <w:color w:val="0000FF"/>
            <w:u w:val="single"/>
            <w:rtl w:val="true"/>
          </w:rPr>
          <w:t>קובו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הגישור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 כד </w:t>
      </w:r>
      <w:r>
        <w:rPr/>
        <w:t>301</w:t>
      </w:r>
      <w:r>
        <w:rPr>
          <w:rtl w:val="true"/>
        </w:rPr>
        <w:t xml:space="preserve">, </w:t>
      </w:r>
      <w:r>
        <w:rPr/>
        <w:t>335-331</w:t>
      </w:r>
      <w:r>
        <w:rPr>
          <w:rtl w:val="true"/>
        </w:rPr>
        <w:t xml:space="preserve"> 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המונה את </w:t>
      </w:r>
      <w:r>
        <w:rPr>
          <w:rtl w:val="true"/>
        </w:rPr>
        <w:t>יתרונותיו וחסרונותיו של מוסד הגישור הפלילי</w:t>
      </w:r>
      <w:r>
        <w:rPr>
          <w:rtl w:val="true"/>
        </w:rPr>
        <w:t xml:space="preserve">). </w:t>
      </w: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בהקשר אחר</w:t>
      </w:r>
      <w:r>
        <w:rPr>
          <w:rtl w:val="true"/>
        </w:rPr>
        <w:t xml:space="preserve">, </w:t>
      </w:r>
      <w:r>
        <w:rPr>
          <w:rtl w:val="true"/>
        </w:rPr>
        <w:t xml:space="preserve">כי רק בהינתן 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 נכון שבית המשפט יסטה מהסדר טיעון שהושג בתיווכו של שופט המטפל בגישורים פליליים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10.08.2015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בקשתו של המערער שלפנינו לחזור בו מהודאתו</w:t>
      </w:r>
      <w:r>
        <w:rPr>
          <w:rtl w:val="true"/>
        </w:rPr>
        <w:t xml:space="preserve">, </w:t>
      </w:r>
      <w:r>
        <w:rPr>
          <w:rtl w:val="true"/>
        </w:rPr>
        <w:t>שניתנה כאמור לאחר הליך גישור ממושך מסוג זה</w:t>
      </w:r>
      <w:r>
        <w:rPr>
          <w:rtl w:val="true"/>
        </w:rPr>
        <w:t xml:space="preserve">, </w:t>
      </w:r>
      <w:r>
        <w:rPr>
          <w:rtl w:val="true"/>
        </w:rPr>
        <w:t>חותרת תחת עיקר מטרותיו של מוסד הגישור הפלילי – הבאת הצדדים לכדי הסכמות בעזרת גורם בלתי תלוי שאיננו דן בתיק העיקרי</w:t>
      </w:r>
      <w:r>
        <w:rPr>
          <w:rtl w:val="true"/>
        </w:rPr>
        <w:t xml:space="preserve">, </w:t>
      </w:r>
      <w:r>
        <w:rPr>
          <w:rtl w:val="true"/>
        </w:rPr>
        <w:t>תוך קיצור וייעול ההליך הפלילי – מבלי שיש בנמצא טעם מבורר לעשות כן</w:t>
      </w:r>
      <w:r>
        <w:rPr>
          <w:rtl w:val="true"/>
        </w:rPr>
        <w:t xml:space="preserve">. </w:t>
      </w:r>
      <w:r>
        <w:rPr>
          <w:rtl w:val="true"/>
        </w:rPr>
        <w:t>ויוער</w:t>
      </w:r>
      <w:r>
        <w:rPr>
          <w:rtl w:val="true"/>
        </w:rPr>
        <w:t xml:space="preserve">, </w:t>
      </w:r>
      <w:r>
        <w:rPr>
          <w:rtl w:val="true"/>
        </w:rPr>
        <w:t>כי נוכח תכליותיו ואף יתרונותיו של מוסד הגישור הפלילי</w:t>
      </w:r>
      <w:r>
        <w:rPr>
          <w:rtl w:val="true"/>
        </w:rPr>
        <w:t xml:space="preserve">, </w:t>
      </w:r>
      <w:r>
        <w:rPr>
          <w:rtl w:val="true"/>
        </w:rPr>
        <w:t>ניתן לטעון כי כאשר הסדר הטיעון מושג בדרך זו – גוברת ההצדקה לעמידה דווקנית יותר על המבחנים שהוכרו בפסיקה לצורך היעתרות לבקשה לחזרה מהודאה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 שיקול זה מטה את הכף לעבר דחיית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spacing w:before="240" w:after="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נורה על דחיית הערעור</w:t>
      </w:r>
      <w:r>
        <w:rPr>
          <w:rtl w:val="true"/>
        </w:rPr>
        <w:t xml:space="preserve">. </w:t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end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</w:tc>
      </w:tr>
    </w:tbl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מסכימה</w:t>
      </w:r>
      <w:r>
        <w:rPr>
          <w:rtl w:val="true"/>
        </w:rPr>
        <w:t>.</w:t>
        <w:tab/>
        <w:tab/>
        <w:tab/>
        <w:tab/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1247" w:hRule="atLeast"/>
        </w:trPr>
        <w:tc>
          <w:tcPr>
            <w:tcW w:w="25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רונן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מסכימה</w:t>
      </w:r>
      <w:r>
        <w:rPr>
          <w:rtl w:val="true"/>
        </w:rPr>
        <w:t>.</w:t>
      </w:r>
    </w:p>
    <w:tbl>
      <w:tblPr>
        <w:bidiVisual w:val="true"/>
        <w:tblW w:w="255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0"/>
      </w:tblGrid>
      <w:tr>
        <w:trPr>
          <w:trHeight w:val="1247" w:hRule="atLeast"/>
        </w:trPr>
        <w:tc>
          <w:tcPr>
            <w:tcW w:w="255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  <w:tr>
        <w:trPr/>
        <w:tc>
          <w:tcPr>
            <w:tcW w:w="255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8" w:name="Nitan"/>
      <w:r>
        <w:rPr>
          <w:rFonts w:cs="FrankRuehl" w:ascii="FrankRuehl" w:hAnsi="FrankRuehl"/>
          <w:color w:val="FFFFFF"/>
          <w:spacing w:val="10"/>
          <w:sz w:val="28"/>
          <w:szCs w:val="28"/>
        </w:rPr>
        <w:t>5129371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תשרי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אוקטובר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8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color w:val="FFFFFF"/>
                <w:sz w:val="2"/>
                <w:szCs w:val="2"/>
              </w:rPr>
              <w:t>54678313</w:t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FrankRuehl"/>
                <w:spacing w:val="10"/>
                <w:szCs w:val="28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חאלד</w:t>
            </w:r>
            <w:r>
              <w:rPr>
                <w:rFonts w:ascii="Courier New" w:hAnsi="Courier New" w:eastAsia="Courier New" w:cs="Courier New"/>
                <w:spacing w:val="10"/>
                <w:szCs w:val="28"/>
                <w:rtl w:val="true"/>
              </w:rPr>
              <w:t xml:space="preserve"> </w:t>
            </w: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כבוב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Courier New" w:hAnsi="Courier New" w:cs="FrankRuehl"/>
                <w:spacing w:val="10"/>
                <w:szCs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tabs>
                <w:tab w:val="clear" w:pos="720"/>
                <w:tab w:val="left" w:pos="1470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רות רונן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  <w:tab/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דפנה ברק ארז </w:t>
      </w:r>
      <w:r>
        <w:rPr>
          <w:rFonts w:cs="David" w:ascii="David" w:hAnsi="David"/>
          <w:color w:val="000000"/>
          <w:sz w:val="22"/>
          <w:szCs w:val="22"/>
        </w:rPr>
        <w:t>54678313-5373/23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7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r>
        <w:rPr>
          <w:rFonts w:cs="FrankRuehl" w:ascii="FrankRuehl" w:hAnsi="FrankRuehl"/>
          <w:color w:val="0000FF"/>
          <w:sz w:val="28"/>
          <w:u w:val="single"/>
          <w:rtl w:val="true"/>
        </w:rPr>
      </w:r>
    </w:p>
    <w:sectPr>
      <w:headerReference w:type="default" r:id="rId75"/>
      <w:footerReference w:type="default" r:id="rId76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5373/23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445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4451&amp;lt;/CaseID&amp;gt;&#10;        &amp;lt;CaseMonth&amp;gt;7&amp;lt;/CaseMonth&amp;gt;&#10;        &amp;lt;CaseYear&amp;gt;2023&amp;lt;/CaseYear&amp;gt;&#10;        &amp;lt;CaseNumber&amp;gt;73655&amp;lt;/CaseNumber&amp;gt;&#10;        &amp;lt;NumeratorGroupID&amp;gt;1&amp;lt;/NumeratorGroupID&amp;gt;&#10;        &amp;lt;CaseName&amp;gt;אביב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5373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5373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NextDeterminingTask&amp;gt;34&amp;lt;/CaseNextDeterminingTask&amp;gt;&#10;        &amp;lt;CaseOpenDate&amp;gt;2023-07-1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דע על שחרור פסה&amp;quot;ד לאינטרנט ליום חמישי, 10.10.24, בשעות הבוקר. הודע לרחלי ביטון מהפרקליטות מחלקה פלילית. את בא כח המערער עו&amp;quot;ד נתנאל יעקב-חי לא היה ניתן להשיגו טלפונית במשך יומיים ועל כן הודע לעדן אוחנה מהסניגוריה הציבורית ת&amp;quot;א.&amp;lt;/CaseDesc&amp;gt;&#10;        &amp;lt;isExistMinorSide&amp;gt;false&amp;lt;/isExistMinorSide&amp;gt;&#10;        &amp;lt;isExistMinorWitness&amp;gt;false&amp;lt;/isExistMinorWitness&amp;gt;&#10;        &amp;lt;PreviousCaseIdentifier&amp;gt;2023005373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4451&amp;lt;/CaseID&amp;gt;&#10;        &amp;lt;CaseMonth&amp;gt;7&amp;lt;/CaseMonth&amp;gt;&#10;        &amp;lt;CaseYear&amp;gt;2023&amp;lt;/CaseYear&amp;gt;&#10;        &amp;lt;CaseNumber&amp;gt;73655&amp;lt;/CaseNumber&amp;gt;&#10;        &amp;lt;NumeratorGroupID&amp;gt;1&amp;lt;/NumeratorGroupID&amp;gt;&#10;        &amp;lt;CaseName&amp;gt;אביב (חסוי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5373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5373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NextDeterminingTask&amp;gt;34&amp;lt;/CaseNextDeterminingTask&amp;gt;&#10;        &amp;lt;CaseOpenDate&amp;gt;2023-07-1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דע על שחרור פסה&amp;quot;ד לאינטרנט ליום חמישי, 10.10.24, בשעות הבוקר. הודע לרחלי ביטון מהפרקליטות מחלקה פלילית. את בא כח המערער עו&amp;quot;ד נתנאל יעקב-חי לא היה ניתן להשיגו טלפונית במשך יומיים ועל כן הודע לעדן אוחנה מהסניגוריה הציבורית ת&amp;quot;א.&amp;lt;/CaseDesc&amp;gt;&#10;        &amp;lt;PreviousCaseIdentifier&amp;gt;2023005373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5343425&amp;lt;/DecisionID&amp;gt;&#10;        &amp;lt;DecisionName&amp;gt;פסק דין  שניתנה ע&amp;quot;י  חאלד כבוב&amp;lt;/DecisionName&amp;gt;&#10;        &amp;lt;DecisionStatusID&amp;gt;1&amp;lt;/DecisionStatusID&amp;gt;&#10;        &amp;lt;DecisionStatusChangeDate&amp;gt;2024-10-10T00:06:16.177+03:00&amp;lt;/DecisionStatusChangeDate&amp;gt;&#10;        &amp;lt;DecisionSignatureDate&amp;gt;2024-10-10T00:06:15.513+03:00&amp;lt;/DecisionSignatureDate&amp;gt;&#10;        &amp;lt;DecisionSignatureUserID&amp;gt;054785233@GOV.IL&amp;lt;/DecisionSignatureUserID&amp;gt;&#10;        &amp;lt;DecisionCreateDate&amp;gt;2024-10-07T14:17:57.47+03:00&amp;lt;/DecisionCreateDate&amp;gt;&#10;        &amp;lt;DecisionChangeDate&amp;gt;2024-10-10T00:06:16.4+03:00&amp;lt;/DecisionChangeDate&amp;gt;&#10;        &amp;lt;DecisionChangeUserID&amp;gt;200830495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7221047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478523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200830495@GOV.IL&amp;lt;/DecisionCreationUserID&amp;gt;&#10;        &amp;lt;DecisionDisplayName&amp;gt;פסק דין  שניתנה ע&amp;quot;י  חאלד כבוב&amp;lt;/DecisionDisplayName&amp;gt;&#10;        &amp;lt;IsScanned&amp;gt;false&amp;lt;/IsScanned&amp;gt;&#10;        &amp;lt;DecisionSignatureUserName&amp;gt;חאלד כבוב&amp;lt;/DecisionSignatureUserName&amp;gt;&#10;        &amp;lt;ChangePrivilegeUserID&amp;gt;054785233@GOV.IL&amp;lt;/ChangePrivilegeUserID&amp;gt;&#10;        &amp;lt;PublishInWebUserID&amp;gt;054785233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5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5-16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5343425&amp;lt;/DecisionID&amp;gt;&#10;        &amp;lt;CaseID&amp;gt;81824451&amp;lt;/CaseID&amp;gt;&#10;        &amp;lt;IsOriginal&amp;gt;true&amp;lt;/IsOriginal&amp;gt;&#10;        &amp;lt;IsDeleted&amp;gt;false&amp;lt;/IsDeleted&amp;gt;&#10;        &amp;lt;CaseName&amp;gt;אביב (חסוי) נ&amp;#39; מדינת ישראל &amp;lt;/CaseName&amp;gt;&#10;        &amp;lt;CaseDisplayIdentifier&amp;gt;ע&amp;quot;פ 5373/23&amp;lt;/CaseDisplayIdentifier&amp;gt;&#10;      &amp;lt;/dt_DecisionCase&amp;gt;&#10;    &amp;lt;/DecisionDS&amp;gt;&#10;  &amp;lt;/diffgr:diffgram&amp;gt;&#10;&amp;lt;/DecisionDS&amp;gt;"/>
    <w:docVar w:name="DecisionID" w:val="155343425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358284" TargetMode="External"/><Relationship Id="rId3" Type="http://schemas.openxmlformats.org/officeDocument/2006/relationships/hyperlink" Target="http://www.nevo.co.il/safrut/book/29512" TargetMode="External"/><Relationship Id="rId4" Type="http://schemas.openxmlformats.org/officeDocument/2006/relationships/hyperlink" Target="http://www.nevo.co.il/safrut/book/2951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193a.a.2" TargetMode="External"/><Relationship Id="rId8" Type="http://schemas.openxmlformats.org/officeDocument/2006/relationships/hyperlink" Target="http://www.nevo.co.il/law/70301/214.b1" TargetMode="External"/><Relationship Id="rId9" Type="http://schemas.openxmlformats.org/officeDocument/2006/relationships/hyperlink" Target="http://www.nevo.co.il/law/70301/214.b3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7.a.1" TargetMode="External"/><Relationship Id="rId14" Type="http://schemas.openxmlformats.org/officeDocument/2006/relationships/hyperlink" Target="http://www.nevo.co.il/law/70301/347.b" TargetMode="External"/><Relationship Id="rId15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50" TargetMode="External"/><Relationship Id="rId18" Type="http://schemas.openxmlformats.org/officeDocument/2006/relationships/hyperlink" Target="http://www.nevo.co.il/law/72507" TargetMode="External"/><Relationship Id="rId19" Type="http://schemas.openxmlformats.org/officeDocument/2006/relationships/hyperlink" Target="http://www.nevo.co.il/law/72507/3.a.3." TargetMode="External"/><Relationship Id="rId20" Type="http://schemas.openxmlformats.org/officeDocument/2006/relationships/hyperlink" Target="http://www.nevo.co.il/law/72507/3.a.4" TargetMode="External"/><Relationship Id="rId21" Type="http://schemas.openxmlformats.org/officeDocument/2006/relationships/hyperlink" Target="http://www.nevo.co.il/law/72507/3.a.6.a" TargetMode="External"/><Relationship Id="rId22" Type="http://schemas.openxmlformats.org/officeDocument/2006/relationships/hyperlink" Target="http://www.nevo.co.il/law/72507/5.a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53" TargetMode="External"/><Relationship Id="rId25" Type="http://schemas.openxmlformats.org/officeDocument/2006/relationships/hyperlink" Target="http://www.nevo.co.il/law/74903/153.a" TargetMode="External"/><Relationship Id="rId26" Type="http://schemas.openxmlformats.org/officeDocument/2006/relationships/hyperlink" Target="http://www.nevo.co.il/law/74903/153.a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29358284" TargetMode="External"/><Relationship Id="rId29" Type="http://schemas.openxmlformats.org/officeDocument/2006/relationships/hyperlink" Target="http://www.nevo.co.il/law/70301/348.a" TargetMode="External"/><Relationship Id="rId3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2507/3.a.6.a" TargetMode="External"/><Relationship Id="rId33" Type="http://schemas.openxmlformats.org/officeDocument/2006/relationships/hyperlink" Target="http://www.nevo.co.il/law/72507/3.a.3.;3.a.4" TargetMode="External"/><Relationship Id="rId34" Type="http://schemas.openxmlformats.org/officeDocument/2006/relationships/hyperlink" Target="http://www.nevo.co.il/law/72507/5.a" TargetMode="External"/><Relationship Id="rId35" Type="http://schemas.openxmlformats.org/officeDocument/2006/relationships/hyperlink" Target="http://www.nevo.co.il/law/72507" TargetMode="External"/><Relationship Id="rId36" Type="http://schemas.openxmlformats.org/officeDocument/2006/relationships/hyperlink" Target="http://www.nevo.co.il/law/70301/347.b" TargetMode="External"/><Relationship Id="rId37" Type="http://schemas.openxmlformats.org/officeDocument/2006/relationships/hyperlink" Target="http://www.nevo.co.il/law/70301/345.a.3" TargetMode="External"/><Relationship Id="rId38" Type="http://schemas.openxmlformats.org/officeDocument/2006/relationships/hyperlink" Target="http://www.nevo.co.il/law/70301/350" TargetMode="External"/><Relationship Id="rId39" Type="http://schemas.openxmlformats.org/officeDocument/2006/relationships/hyperlink" Target="http://www.nevo.co.il/law/70301/347.a.1" TargetMode="External"/><Relationship Id="rId40" Type="http://schemas.openxmlformats.org/officeDocument/2006/relationships/hyperlink" Target="http://www.nevo.co.il/law/70301/350" TargetMode="External"/><Relationship Id="rId41" Type="http://schemas.openxmlformats.org/officeDocument/2006/relationships/hyperlink" Target="http://www.nevo.co.il/law/70301/348.b" TargetMode="External"/><Relationship Id="rId42" Type="http://schemas.openxmlformats.org/officeDocument/2006/relationships/hyperlink" Target="http://www.nevo.co.il/law/70301/345.b.1" TargetMode="External"/><Relationship Id="rId43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law/70301/193a.a.2" TargetMode="External"/><Relationship Id="rId45" Type="http://schemas.openxmlformats.org/officeDocument/2006/relationships/hyperlink" Target="http://www.nevo.co.il/law/70301/192" TargetMode="External"/><Relationship Id="rId46" Type="http://schemas.openxmlformats.org/officeDocument/2006/relationships/hyperlink" Target="http://www.nevo.co.il/law/70301/214.b1" TargetMode="External"/><Relationship Id="rId47" Type="http://schemas.openxmlformats.org/officeDocument/2006/relationships/hyperlink" Target="http://www.nevo.co.il/law/70301/214.b3" TargetMode="External"/><Relationship Id="rId48" Type="http://schemas.openxmlformats.org/officeDocument/2006/relationships/hyperlink" Target="http://www.nevo.co.il/law/74903/153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4903/153.a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case/5594324" TargetMode="External"/><Relationship Id="rId53" Type="http://schemas.openxmlformats.org/officeDocument/2006/relationships/hyperlink" Target="http://www.nevo.co.il/case/28916092" TargetMode="External"/><Relationship Id="rId54" Type="http://schemas.openxmlformats.org/officeDocument/2006/relationships/hyperlink" Target="http://www.nevo.co.il/case/25225889" TargetMode="External"/><Relationship Id="rId55" Type="http://schemas.openxmlformats.org/officeDocument/2006/relationships/hyperlink" Target="http://www.nevo.co.il/case/26541508" TargetMode="External"/><Relationship Id="rId56" Type="http://schemas.openxmlformats.org/officeDocument/2006/relationships/hyperlink" Target="http://www.nevo.co.il/case/7985516" TargetMode="External"/><Relationship Id="rId57" Type="http://schemas.openxmlformats.org/officeDocument/2006/relationships/hyperlink" Target="http://www.nevo.co.il/case/5823974" TargetMode="External"/><Relationship Id="rId58" Type="http://schemas.openxmlformats.org/officeDocument/2006/relationships/hyperlink" Target="http://www.nevo.co.il/case/25225889" TargetMode="External"/><Relationship Id="rId59" Type="http://schemas.openxmlformats.org/officeDocument/2006/relationships/hyperlink" Target="http://www.nevo.co.il/case/27513376" TargetMode="External"/><Relationship Id="rId60" Type="http://schemas.openxmlformats.org/officeDocument/2006/relationships/hyperlink" Target="http://www.nevo.co.il/case/6244782" TargetMode="External"/><Relationship Id="rId61" Type="http://schemas.openxmlformats.org/officeDocument/2006/relationships/hyperlink" Target="http://www.nevo.co.il/case/29531592" TargetMode="External"/><Relationship Id="rId62" Type="http://schemas.openxmlformats.org/officeDocument/2006/relationships/hyperlink" Target="http://www.nevo.co.il/case/27648809" TargetMode="External"/><Relationship Id="rId63" Type="http://schemas.openxmlformats.org/officeDocument/2006/relationships/hyperlink" Target="http://www.nevo.co.il/case/28396294" TargetMode="External"/><Relationship Id="rId64" Type="http://schemas.openxmlformats.org/officeDocument/2006/relationships/hyperlink" Target="http://www.nevo.co.il/case/22546596" TargetMode="External"/><Relationship Id="rId65" Type="http://schemas.openxmlformats.org/officeDocument/2006/relationships/hyperlink" Target="http://www.nevo.co.il/case/5714901" TargetMode="External"/><Relationship Id="rId66" Type="http://schemas.openxmlformats.org/officeDocument/2006/relationships/hyperlink" Target="http://www.nevo.co.il/case/17920850" TargetMode="External"/><Relationship Id="rId67" Type="http://schemas.openxmlformats.org/officeDocument/2006/relationships/hyperlink" Target="http://www.nevo.co.il/case/25225889" TargetMode="External"/><Relationship Id="rId68" Type="http://schemas.openxmlformats.org/officeDocument/2006/relationships/hyperlink" Target="http://www.nevo.co.il/law/74903/153" TargetMode="External"/><Relationship Id="rId69" Type="http://schemas.openxmlformats.org/officeDocument/2006/relationships/hyperlink" Target="http://www.nevo.co.il/law/74903" TargetMode="External"/><Relationship Id="rId70" Type="http://schemas.openxmlformats.org/officeDocument/2006/relationships/hyperlink" Target="http://www.nevo.co.il/case/28760381" TargetMode="External"/><Relationship Id="rId71" Type="http://schemas.openxmlformats.org/officeDocument/2006/relationships/hyperlink" Target="http://www.nevo.co.il/case/28377137" TargetMode="External"/><Relationship Id="rId72" Type="http://schemas.openxmlformats.org/officeDocument/2006/relationships/hyperlink" Target="http://www.nevo.co.il/safrut/book/29512" TargetMode="External"/><Relationship Id="rId73" Type="http://schemas.openxmlformats.org/officeDocument/2006/relationships/hyperlink" Target="http://www.nevo.co.il/case/20503077" TargetMode="External"/><Relationship Id="rId74" Type="http://schemas.openxmlformats.org/officeDocument/2006/relationships/hyperlink" Target="http://www.nevo.co.il/advertisements/nevo-100.doc" TargetMode="Externa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numbering" Target="numbering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2024-10-10T12:26:00Z</dcterms:created>
  <dc:creator> </dc:creator>
  <dc:description/>
  <cp:keywords/>
  <dc:language>en-IL</dc:language>
  <cp:lastModifiedBy>orly</cp:lastModifiedBy>
  <cp:lastPrinted>2024-10-10T07:38:00Z</cp:lastPrinted>
  <dcterms:modified xsi:type="dcterms:W3CDTF">2024-10-10T12:26:00Z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LISTTMP1">
    <vt:lpwstr>29512</vt:lpwstr>
  </property>
  <property fmtid="{D5CDD505-2E9C-101B-9397-08002B2CF9AE}" pid="5" name="CASESLISTTMP1">
    <vt:lpwstr>29358284:2;5594324;28916092;25225889:3;26541508;7985516;5823974;27513376;6244782;29531592;27648809;28396294;22546596;5714901;17920850;28760381;28377137;20503077</vt:lpwstr>
  </property>
  <property fmtid="{D5CDD505-2E9C-101B-9397-08002B2CF9AE}" pid="6" name="DATE">
    <vt:lpwstr>20241010</vt:lpwstr>
  </property>
  <property fmtid="{D5CDD505-2E9C-101B-9397-08002B2CF9AE}" pid="7" name="ISABSTRACT">
    <vt:lpwstr>Y</vt:lpwstr>
  </property>
  <property fmtid="{D5CDD505-2E9C-101B-9397-08002B2CF9AE}" pid="8" name="JUDGE">
    <vt:lpwstr>דפנה ברק ארז;חאלד כבוב;רות רונן</vt:lpwstr>
  </property>
  <property fmtid="{D5CDD505-2E9C-101B-9397-08002B2CF9AE}" pid="9" name="LAWLISTTMP1">
    <vt:lpwstr>70301/348.a;345.a.3:2;347.b;350:2;347.a.1;348.b;345.b.1;345.a.1;193a.a.2;192;214.b1;214.b3</vt:lpwstr>
  </property>
  <property fmtid="{D5CDD505-2E9C-101B-9397-08002B2CF9AE}" pid="10" name="LAWLISTTMP2">
    <vt:lpwstr>72507/003.a.6.a;003.a.3;003.a.4;005.a</vt:lpwstr>
  </property>
  <property fmtid="{D5CDD505-2E9C-101B-9397-08002B2CF9AE}" pid="11" name="LAWLISTTMP3">
    <vt:lpwstr>74903/153:2;153.a</vt:lpwstr>
  </property>
  <property fmtid="{D5CDD505-2E9C-101B-9397-08002B2CF9AE}" pid="12" name="LAWYER">
    <vt:lpwstr>גל הרניק בלום;נתנאל יעקב חי;תמי קלנברג;עדי עיני</vt:lpwstr>
  </property>
  <property fmtid="{D5CDD505-2E9C-101B-9397-08002B2CF9AE}" pid="13" name="METAKZER">
    <vt:lpwstr>אהוד</vt:lpwstr>
  </property>
  <property fmtid="{D5CDD505-2E9C-101B-9397-08002B2CF9AE}" pid="14" name="NOSE11">
    <vt:lpwstr>דיון פלילי</vt:lpwstr>
  </property>
  <property fmtid="{D5CDD505-2E9C-101B-9397-08002B2CF9AE}" pid="15" name="NOSE110">
    <vt:lpwstr/>
  </property>
  <property fmtid="{D5CDD505-2E9C-101B-9397-08002B2CF9AE}" pid="16" name="NOSE12">
    <vt:lpwstr>דיון פלילי</vt:lpwstr>
  </property>
  <property fmtid="{D5CDD505-2E9C-101B-9397-08002B2CF9AE}" pid="17" name="NOSE13">
    <vt:lpwstr>דיון פלילי</vt:lpwstr>
  </property>
  <property fmtid="{D5CDD505-2E9C-101B-9397-08002B2CF9AE}" pid="18" name="NOSE14">
    <vt:lpwstr>דיון פלילי</vt:lpwstr>
  </property>
  <property fmtid="{D5CDD505-2E9C-101B-9397-08002B2CF9AE}" pid="19" name="NOSE15">
    <vt:lpwstr>עונשין</vt:lpwstr>
  </property>
  <property fmtid="{D5CDD505-2E9C-101B-9397-08002B2CF9AE}" pid="20" name="NOSE16">
    <vt:lpwstr/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18;18;18;18;77</vt:lpwstr>
  </property>
  <property fmtid="{D5CDD505-2E9C-101B-9397-08002B2CF9AE}" pid="25" name="NOSE21">
    <vt:lpwstr>הודאה</vt:lpwstr>
  </property>
  <property fmtid="{D5CDD505-2E9C-101B-9397-08002B2CF9AE}" pid="26" name="NOSE210">
    <vt:lpwstr/>
  </property>
  <property fmtid="{D5CDD505-2E9C-101B-9397-08002B2CF9AE}" pid="27" name="NOSE22">
    <vt:lpwstr>ייצוג</vt:lpwstr>
  </property>
  <property fmtid="{D5CDD505-2E9C-101B-9397-08002B2CF9AE}" pid="28" name="NOSE23">
    <vt:lpwstr>בירור האשמה</vt:lpwstr>
  </property>
  <property fmtid="{D5CDD505-2E9C-101B-9397-08002B2CF9AE}" pid="29" name="NOSE24">
    <vt:lpwstr>הסדר טיעון</vt:lpwstr>
  </property>
  <property fmtid="{D5CDD505-2E9C-101B-9397-08002B2CF9AE}" pid="30" name="NOSE25">
    <vt:lpwstr>ענישה</vt:lpwstr>
  </property>
  <property fmtid="{D5CDD505-2E9C-101B-9397-08002B2CF9AE}" pid="31" name="NOSE26">
    <vt:lpwstr/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456;480;449;461;1446</vt:lpwstr>
  </property>
  <property fmtid="{D5CDD505-2E9C-101B-9397-08002B2CF9AE}" pid="36" name="NOSE31">
    <vt:lpwstr>חזרה מהודאה</vt:lpwstr>
  </property>
  <property fmtid="{D5CDD505-2E9C-101B-9397-08002B2CF9AE}" pid="37" name="NOSE310">
    <vt:lpwstr/>
  </property>
  <property fmtid="{D5CDD505-2E9C-101B-9397-08002B2CF9AE}" pid="38" name="NOSE32">
    <vt:lpwstr>כשל בייצוג</vt:lpwstr>
  </property>
  <property fmtid="{D5CDD505-2E9C-101B-9397-08002B2CF9AE}" pid="39" name="NOSE33">
    <vt:lpwstr>הליך גישור</vt:lpwstr>
  </property>
  <property fmtid="{D5CDD505-2E9C-101B-9397-08002B2CF9AE}" pid="40" name="NOSE34">
    <vt:lpwstr>במסגרת הליך גישור שיפוטי</vt:lpwstr>
  </property>
  <property fmtid="{D5CDD505-2E9C-101B-9397-08002B2CF9AE}" pid="41" name="NOSE35">
    <vt:lpwstr>הסדר טיעון</vt:lpwstr>
  </property>
  <property fmtid="{D5CDD505-2E9C-101B-9397-08002B2CF9AE}" pid="42" name="NOSE36">
    <vt:lpwstr/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3598;11594;17428;16527;15822</vt:lpwstr>
  </property>
  <property fmtid="{D5CDD505-2E9C-101B-9397-08002B2CF9AE}" pid="47" name="PADIDATE">
    <vt:lpwstr>20241010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5373</vt:lpwstr>
  </property>
  <property fmtid="{D5CDD505-2E9C-101B-9397-08002B2CF9AE}" pid="51" name="PROCYEAR">
    <vt:lpwstr>23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410120241010</vt:lpwstr>
  </property>
  <property fmtid="{D5CDD505-2E9C-101B-9397-08002B2CF9AE}" pid="55" name="TYPE_N_DATE">
    <vt:lpwstr>41020241010</vt:lpwstr>
  </property>
  <property fmtid="{D5CDD505-2E9C-101B-9397-08002B2CF9AE}" pid="56" name="WORDNUMPAGES">
    <vt:lpwstr>16</vt:lpwstr>
  </property>
</Properties>
</file>