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5401/18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18"/>
          <w:szCs w:val="24"/>
        </w:rPr>
      </w:pPr>
      <w:r>
        <w:rPr>
          <w:sz w:val="18"/>
          <w:szCs w:val="24"/>
          <w:rtl w:val="true"/>
        </w:rPr>
        <w:tab/>
        <w:tab/>
        <w:tab/>
        <w:t xml:space="preserve"> 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הכרעת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בירושלים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(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פרידמן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פלדמן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,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אברבנאל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והשופטת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ח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זנדברג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)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תפ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"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ח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33454-04-17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13.6.2018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9.1.2019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  <w:tab/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צדוק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חוגי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עטיה</w:t>
            </w:r>
          </w:p>
        </w:tc>
      </w:tr>
    </w:tbl>
    <w:p>
      <w:pPr>
        <w:pStyle w:val="Ruller31"/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  <w:tab/>
        <w:tab/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פרוש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170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>*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מתאימים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בהם שוכנע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כי מצבו הנפשי של הנאשם פגע ביכולתו להבין את משמעות הודייתו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יהיה לאפשר לו לחזור ממנה ולתת לו את יומו בביהמ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על מנת שיוכל להוכיח חפותו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שבענייננו מתעורר חשש כבד כי הנאשם מנסה להתל במאבחניו בכדי שיבססו את טענתו כי הוא אינו כשיר לעמוד לדין וכי נפל פגם בהודייתו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התנהלותו המניפולטיבית ממחישה כי לא הפנים את חומרת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בה כדי לשכנע כי אינו כשיר לעמוד לדין או כי לא הבין את משמעות הודייתו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אדרבא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בה כדי להעיד כי הוא מודע למשמעות הודייתו ולעונש שניצב בפניו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ומבקש לחמוק מהדין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הודאה – חזרה מהודאה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הפסקת הליכים – חולה נפש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ייצוג – כשל בייצוג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שענייננו בקשת המערער לחזור בו מהודייתו בפני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וביטול פסק הדין שניתן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בגדרו הורשע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אשר שימש </w:t>
      </w:r>
      <w:r>
        <w:rPr>
          <w:rFonts w:ascii="Times New Roman" w:hAnsi="Times New Roman" w:cs="Times New Roman"/>
          <w:spacing w:val="0"/>
          <w:szCs w:val="26"/>
          <w:rtl w:val="true"/>
        </w:rPr>
        <w:t>כרב בתלמוד תורה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ונהג בין היתר לטפל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נוער נושר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–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פי הודייתו במסגרת 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 של 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בעילה אסורה בהסכמה מעשה סדום ומעשים מגונים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חלקם של המעשים בוצעו לפני שמלאו למתלוננת </w:t>
      </w:r>
      <w:r>
        <w:rPr>
          <w:rFonts w:cs="Times New Roman" w:ascii="Times New Roman" w:hAnsi="Times New Roman"/>
          <w:spacing w:val="0"/>
          <w:szCs w:val="26"/>
        </w:rPr>
        <w:t>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ונגזר עליו עונש של 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על תנאי ופיצוי למתלוננת בסך כולל של </w:t>
      </w:r>
      <w:r>
        <w:rPr>
          <w:rFonts w:cs="Times New Roman" w:ascii="Times New Roman" w:hAnsi="Times New Roman"/>
          <w:spacing w:val="0"/>
          <w:szCs w:val="26"/>
        </w:rPr>
        <w:t>100,000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במוקד הערעור טענותיו של בא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כוחו הנוכחי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המערער לא הבין את פרטי הסדר הטיעון ואת כתב האישום המתוקן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בשל מצבו הנפשי ואי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כשירותו לעמוד לדין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 בהסכמת השופטים 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מזוז 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hyperlink r:id="rId13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170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4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סדר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הדין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הפלילי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מורה כי על דרך הכלל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שבהם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סבור כי נאשם אינו מסוגל לעמוד לדין מחמת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היותו </w:t>
      </w:r>
      <w:r>
        <w:rPr>
          <w:rFonts w:ascii="Times New Roman" w:hAnsi="Times New Roman" w:cs="Times New Roman"/>
          <w:spacing w:val="0"/>
          <w:szCs w:val="26"/>
          <w:rtl w:val="true"/>
        </w:rPr>
        <w:t>לוקה בנפשו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ההליכים נגדו יופסקו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ההכרעה בשאלה אם נאשם אינו מסוגל לעמוד לדין תלויה בהתרשמותו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מיכולתו לתקשר עם עורך דינו באופן בסיסי ולהבין את ההליך המשפטי אשר מתנהל נגדו במובן זה שהוא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מודע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להימצאותו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ומזהה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התפקידים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האישומים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נגדו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 לא נמצא ממש בטענה לאי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כשירותו של המערער לעמוד לדין בפני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הטענות לא נתמכו בראיות כנדרש והן סותרות דברים מפורשים שטען בא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כוחו באותה העת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בפני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עמדו חוות הדעת הפסיכיאטריות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ומהוות למעשה טענה בדבר כשל בייצוג של בא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כוחו הקודם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לערעור לא צורף תצהירו של עורך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כנדרש במקרים שבהם מועלית טענה לכשל בייצוג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טענות המערער בדבר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כשירותו לעמוד לדין גם היום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נסמכה על ראיות כנדרש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יתירה מזאת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בחוות הדעת המשלימה שהוגשה לביהמ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נקבע כי המערער כשיר לעמוד לדין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כן לא נמצא מקום לאפשר למערער ל</w:t>
      </w:r>
      <w:r>
        <w:rPr>
          <w:rFonts w:ascii="Times New Roman" w:hAnsi="Times New Roman" w:cs="Times New Roman"/>
          <w:spacing w:val="0"/>
          <w:szCs w:val="26"/>
          <w:rtl w:val="true"/>
        </w:rPr>
        <w:t>חזור בו מהודייתו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hyperlink r:id="rId1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153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סדר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הדין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הפלילי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קובע את המסגרת הנורמטיבית בה תתקבל חזרתו של נאשם מהודיה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חזרה מהודיה לאחר מתן גזר הדין תתאפשר רק בנסיבות חריגות אשר בהן מתעורר חשש ממשי כי הנאשם מסר הודיית שווא אשר נמסרה בניגוד לרצונו החופשי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מבלי להבין את משמעות הודייתו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עמד לא אחת על הקושי לאפשר לנאשם לחזור בו מהודייתו לאחר גזירת 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מחשש כי הדבר ישמש כטקטיקה משפטית להמתיק את 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 כי בנסיבות אלה על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לעשות שימוש זהיר בסמכותו להתיר את חזרת נאשם מהודייתו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במקרים המתאימים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שבהם שוכנע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כי מצבו הנפשי של הנאשם פגע ביכולתו להבין את משמעות הודייתו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יהיה לאפשר לו לחזור ממנה ולתת לו את יומו בביהמ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על מנת שיוכל להוכיח את חפותו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החלטת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לקבל את הודיית המערער נשענה על התרשמות בלתי אמצעית ממצבו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והתקבלה מתוך מודעות לכושר השיפוט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להבנתו את עובדות כתב האישום המתוקן ופרטי ההסדר העונשי כפי שהוצג לביהמ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גם אם בשלב הטיעונים לעונש נעשה ניסיון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לכרסום בעונש המוסכם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די בכך כדי לעורר קושי של ממש בטענה כי נסיבות מתן ההודיה מצדיקות את פסילתה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מתעורר בענייננו חשש כבד כי הנאשם מנסה להתל במאבחניו בכדי שיבססו את טענתו כי הוא אינו כשיר לעמוד לדין וכי נפל פגם בהודייתו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התנהלותו המניפולטיבית של המערער ממחישה כי לא הפנים את חומרת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בה כדי לשכנע כי אינו כשיר לעמוד לדין או כי לא הבין את משמעות הודייתו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אדרבא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בה כדי להעיד כי הוא מודע למשמעות הודייתו ולעונש שניצב בפניו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ומבקש לחמוק מהדין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בנסיבות אלו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אינו סבור כי ראוי לאפשר לו לחזור בו מהודייתו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כן הערעור נדחה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bookmarkStart w:id="14" w:name="Start_Write"/>
      <w:bookmarkEnd w:id="14"/>
      <w:r>
        <w:rPr>
          <w:rFonts w:ascii="Century" w:hAnsi="Century" w:cs="Century"/>
          <w:sz w:val="22"/>
          <w:sz w:val="22"/>
          <w:rtl w:val="true"/>
        </w:rPr>
        <w:t>עניינו של הערעור בקשת המערער לחזור בו מהודייתו בפני בית המשפט המחוזי בירושלים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וביטול פסק הדין שניתן בעניינו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המערער הורשע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פי הודייתו במסגרת הסדר טיעון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בעבירות של אינוס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1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1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1977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בעילה אסורה בהסכמה לפי </w:t>
      </w:r>
      <w:hyperlink r:id="rId1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346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מעשה סדום לפי </w:t>
      </w:r>
      <w:hyperlink r:id="rId2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347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בנסיבות </w:t>
      </w:r>
      <w:hyperlink r:id="rId2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וכן לפי </w:t>
      </w:r>
      <w:hyperlink r:id="rId2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347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ומעשים מגונים לפי </w:t>
      </w:r>
      <w:hyperlink r:id="rId2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348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ובנסיבות </w:t>
      </w:r>
      <w:hyperlink r:id="rId2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לחוק וכן לפי </w:t>
      </w:r>
      <w:hyperlink r:id="rId2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348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עובדות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על פי המתואר בכתב האישום המתוקן שהוגש נגד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הלה שימש כרב בתלמוד תורה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ונהג בין היתר לטפל ב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נוער נושר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על רקע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פנה אביה של המתלוננת למערער בבקשה שיסייע לה לשוב למסגרת לימודית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נענה לבקשה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והחל לטפח עם המתלוננת מערכת יחסים אשר במסגרתה ניהל עמה שיחות ארוכות וייעץ לה בנושאים שונים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על פי הנטען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המתלוננת פיתחה במערער תלות רגשית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לבסוף נוצלה על ידו בכדי לבצע בה מעשים מיניים רבים ללא הסכמתה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במסגרת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נטען כי המערער ביצע במתלוננת שורה של מעשים מיניים במהלך פגישותיהם שהתקיימו במכוניתו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וכי חלקם בוצעו לפני שמלאו למתלוננת </w:t>
      </w:r>
      <w:r>
        <w:rPr>
          <w:rFonts w:cs="Century" w:ascii="Century" w:hAnsi="Century"/>
          <w:sz w:val="22"/>
        </w:rPr>
        <w:t>16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בכלל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נטען כי המערער הניח את ידה על איבר מינו ללא הסכמתה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החדיר את אצבעותיו לאיבר מינה על אף התנגדותה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וכן החדיר את איבר מינו לפיה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עוד תואר בכתב האישום כי המתלוננת נהגה להשגיח על ילדיו של המערער בביתו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לבקשתו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הוא ורעייתו לא היו בביתם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נטען כי לעיתים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שב המערער לביתו לפני רעייתו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וביצע במתלוננת מעשים מיניים ללא הסכמתה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במספר הזדמנויות שונות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אשר חלקן התרחשו לפני שמלאו למתלוננת </w:t>
      </w:r>
      <w:r>
        <w:rPr>
          <w:rFonts w:cs="Century" w:ascii="Century" w:hAnsi="Century"/>
          <w:sz w:val="22"/>
        </w:rPr>
        <w:t>16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הצמיד את המתלוננת לקיר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ועל אף התנגדותה מישש את גופה מעל לבגדיה ודיבר אליה בבוטות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בחלק מהמקרים החדיר המערער את אצבעותיו לאיבר מינה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ובמקרה אחר דרש ממנה לשפשף את איבר מינו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המערער נהג לעיתים להסיע את המתלוננת מביתו לתחנת אוטובוס סמוכה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ובמהלך נסיעות אלו נגע ברגליה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בחזהּ ובמפשעתה בניגוד לרצונה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לבסוף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תואר כי באחד הערבים המתלוננת ישנה בביתו של המערער לאחר שהשגיחה על ילדיו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והלה העיר אותה בשעת לילה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דרש ממנה לבצע בו מין אוראלי והחדיר את אצבעותיו לאיבר מינה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בפתח ההליך בפני בית המשפט המחוזי כפר המערער באישומים שיוחסו לו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בקשת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כוחו כי יופנה לבדיקה פסיכיאטרית לצורך בחינת כשירותו לעמוד לדין נדחתה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ונקבע מועד לשמיעת ראיות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מועד הדיון נדחה מספר פעמים בטענות כי נבצר מהמערער להתייצב מחמת טיפוליו הפסיכיאטריים ובשל טיפולים תרופתיים שניתנו לו על רקע מצוקתו הנפשית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בעקבות זאת נתבקשה והוגשה חוות דעת מטעם הפסיכיאטר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נערכה על ידי 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רטנר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מנהלת מחלקה במרכז לבריאות הנפש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שער מנשה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שבה נקבע כי המערער כשיר לעמוד לדין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כוחו של המערער לא חלק על קביעה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בהתבסס על חוות דעתו של הרופא המטפל במערער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בונצל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יש לדחות את מועד הדיונים בעניינו לנוכח הטיפולים התרופתיים שבהם הוא מטופל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משהמערער לא הופיע בפני בית המשפט פעם נוספת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הוגשה לבקשת בית המשפט חוות דעת שניה על ידי 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רטנר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עליה נחקרה בבית המשפט המחוזי ביום </w:t>
      </w:r>
      <w:r>
        <w:rPr>
          <w:rFonts w:cs="Century" w:ascii="Century" w:hAnsi="Century"/>
          <w:sz w:val="22"/>
        </w:rPr>
        <w:t>4.6.2018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בחוות הדעת נכתב כי חל שיפור במצבו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אם יקפיד על נטילת תרופותיו הפסיכיאטריות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מניעה כי יתייצב לדיוני בית המשפט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בהמשך ההליך הגיש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המערער חוות דעת נוספת מטעם 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בונצל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ובה נקבע כי המערער אינו כשיר להתייצב בפני בית המשפט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וזאת בשל השפעותיהן של התרופות הפסיכיאטריות שאותן הוא נוטל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יצוין כי בהסכמת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כוחו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בונצל לא נחקר על חוות דעתו זו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במחלוקת בין המומחים הפסיכיאטרים העדיף בית המשפט את חוות דעתה של 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רטנר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וקבע כי אין מקום לדחות פעם נוספת את דיון ההוכחות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וזאת בכפוף לכך שהמערער ייבדק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רטנר עובר למועד הדיון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בהתאם להנחיית בית המשפט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הוכנה חוות דעת משלימה מטעם 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רטנר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בה נקבע כי המערער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יכול להשתתף בדיון משפטי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לשתף פעולה עם עורך דינו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להבדיל בין טוב לרע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 מותר לאסור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שיפוטו סביר</w:t>
      </w:r>
      <w:r>
        <w:rPr>
          <w:rFonts w:cs="Century" w:ascii="Century" w:hAnsi="Century"/>
          <w:sz w:val="22"/>
          <w:rtl w:val="true"/>
        </w:rPr>
        <w:t xml:space="preserve">". 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בד בבד ניהלו באי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הצדדים הליך גישור ממושך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לצורך הגעה להסדר טיעון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13.6.2018</w:t>
      </w:r>
      <w:r>
        <w:rPr>
          <w:rtl w:val="true"/>
        </w:rPr>
        <w:t xml:space="preserve">, </w:t>
      </w:r>
      <w:r>
        <w:rPr>
          <w:rtl w:val="true"/>
        </w:rPr>
        <w:t>בפתח דיון הוכחות שנקבע בבית המשפט המחוזי</w:t>
      </w:r>
      <w:r>
        <w:rPr>
          <w:rtl w:val="true"/>
        </w:rPr>
        <w:t xml:space="preserve">, </w:t>
      </w:r>
      <w:r>
        <w:rPr>
          <w:rtl w:val="true"/>
        </w:rPr>
        <w:t>הודיע בא</w:t>
      </w:r>
      <w:r>
        <w:rPr>
          <w:rtl w:val="true"/>
        </w:rPr>
        <w:t>-</w:t>
      </w:r>
      <w:r>
        <w:rPr>
          <w:rtl w:val="true"/>
        </w:rPr>
        <w:t>כוח המערער דאז כי הלה מעוניין להגיע להסדר טיעון</w:t>
      </w:r>
      <w:r>
        <w:rPr>
          <w:rtl w:val="true"/>
        </w:rPr>
        <w:t xml:space="preserve">, </w:t>
      </w:r>
      <w:r>
        <w:rPr>
          <w:rtl w:val="true"/>
        </w:rPr>
        <w:t>אך נותרו מספר פרטים נוספים במחלוקת אותם על הצדדים להשלים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ניתנה לבאי</w:t>
      </w:r>
      <w:r>
        <w:rPr>
          <w:rtl w:val="true"/>
        </w:rPr>
        <w:t>-</w:t>
      </w:r>
      <w:r>
        <w:rPr>
          <w:rtl w:val="true"/>
        </w:rPr>
        <w:t>כוח הצדדים שהות לדון בפרטי ההסדר מחוץ לכותלי בית המשפט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במסגרת הסדר הטיעון </w:t>
      </w:r>
      <w:r>
        <w:rPr>
          <w:rtl w:val="true"/>
        </w:rPr>
        <w:t>שאליו הגיעו באי</w:t>
      </w:r>
      <w:r>
        <w:rPr>
          <w:rtl w:val="true"/>
        </w:rPr>
        <w:t>-</w:t>
      </w:r>
      <w:r>
        <w:rPr>
          <w:rtl w:val="true"/>
        </w:rPr>
        <w:t>כוח הצדדים מאוחר יותר באותו יום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הוסכם כי כתב האישום המקורי שהוגש נגד המערער יתוקן באופן של השמטת שני אישומים שהופיעו בו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כמו גם התאמת הוראות החיקוק המיוחסות לו בעקבות כך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עוד הוסכם כי הצדדים יעתרו לעונש של 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 בפועל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מאסר על תנאי ופיצוי למתלוננת בסך </w:t>
      </w:r>
      <w:r>
        <w:rPr>
          <w:rFonts w:cs="Century" w:ascii="Century" w:hAnsi="Century"/>
          <w:sz w:val="22"/>
        </w:rPr>
        <w:t>100,000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עוד באותו היום הרשיע בית המשפט המחוזי את המערער על פי הודייתו בכתב האישום המתוקן בהתאם להסדר הטיעון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וזאת לאחר שהלה אישר במעמד הדיון כי קרא את כתב האישום המתוקן והודה בעובדותיו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הבין את פרטי ההסדר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במסגרת הטיעונים לעונש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המשיבה ביקש כי בית המשפט יאמץ את ההסדר בשל הקשיים הראייתיים הקיימים בתיק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כן התבקש בית המשפט להתחשב במצבו הנפשי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ולזקוף לזכותו את העובדה שעוד לפני הגשת התלונה על ידי המתלוננת הוסכם כי המערער ישלם לה פיצוי כספי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מנגד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כוחו של המערער ביקש לחרוג מהסדר הטיעון ולהקל עם המערער בשל נסיבותיו האישיות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ואף המערער עצמו ביקש כי בית המשפט יתחשב בנסיבותיו האישיות בקביעת עונשו תוך שהביע חרטה ונטל אחריות על מעשיו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אני רק רוצה לבקש סליחה על מה שעשיתי ולוקח אחריות על מה שעשיתי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אני מבקש מבית המשפט להתחשב בי בבקשה שיש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 xml:space="preserve">לי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ארבעה</w:t>
      </w:r>
      <w:r>
        <w:rPr>
          <w:rFonts w:ascii="Century" w:hAnsi="Century" w:cs="Century"/>
          <w:rtl w:val="true"/>
        </w:rPr>
        <w:t xml:space="preserve"> ילדים ושלא יהיה להם</w:t>
      </w:r>
      <w:r>
        <w:rPr>
          <w:rFonts w:ascii="Century" w:hAnsi="Century" w:cs="Century"/>
          <w:rtl w:val="true"/>
        </w:rPr>
        <w:t xml:space="preserve"> אבא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הלקח שלי למדתי ואני לוקח אחריות</w:t>
      </w:r>
      <w:r>
        <w:rPr>
          <w:rFonts w:cs="Century" w:ascii="Century" w:hAnsi="Century"/>
          <w:rtl w:val="true"/>
        </w:rPr>
        <w:t>" 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82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26.6.2018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בית המשפט המחוזי אימץ את הסדר הטיעון לעניין העונש כפי שהוסכם בין הצדדים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וגזר על המערער עונש של 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 בפועל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חודשי מאסר על תנאי לבל יעבור עבירת מין מסוג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פשע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למשך שלוש שנים מיום שחרורו ממאסר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ופיצוי למתלוננת בסך כולל של </w:t>
      </w:r>
      <w:r>
        <w:rPr>
          <w:rFonts w:cs="Century" w:ascii="Century" w:hAnsi="Century"/>
          <w:sz w:val="22"/>
        </w:rPr>
        <w:t>100,000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טיעוני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במסגרת הערעור טוען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כוחו הנוכחי של המערער כי הלה לא היה כשיר לעמוד לדין בפני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ואף אינו כשיר לעמוד לדין כיום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כן נטען כי הודייתו של המערער בפני בית המשפט המחוזי ניתנה מבלי שהבין את הסדר הטיעון ואת ההליך המשפטי בשל מחלת הנפש 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פי הנטען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 לוקה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ועל כן יש לבטל את פסק דינו של בית המשפט המחוזי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לטענת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היה על בית המשפט המחוזי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להזהיר עצמו בשאלת כשירותו של המערער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על רקע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יכולתו להתייצב למספר דיונים בשל מצבו הרפואי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ואף היה על בית המשפט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לקרוא בין השורות ולהבין כי המערער אינו כשיר לעמוד לדין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כלשונו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לביסוס טענתו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מפנה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 היתר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לחווֹת הדעת שהוגשו בעניין המערער לבית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ולפיהן הוא סובל מהפרעות נפשיות אשר אינן מאפשרות לו להשתתף בדיונים משפטיים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המערער הוסיף והדגיש כי באחת מחוות הדעת צוין כי המערער נבדק יום לפני הדיון שבו הודה במעשים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ר בונצל התרשם כי הלה אינו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במצב שפיט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כהגדרתו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עוד טוען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המערער כי חוות הדעת של 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רטנר לוקה בפגמים מהותיים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ועל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לשיטתו אין לקבל הקביעות בחוות דעת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ולפיהן המערער היה כשיר להגיע לדיון שבו נמסרה הודייתו וסוכם על דבר הסדר הטיעון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כפי שצוין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במוקד הערעור שבפנינו הטענה כי המערער לא הבין את פרטי הסדר הטיעון ואת כתב האישום המתוקן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וזאת בשל מצבו הנפשי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לא אפשר לו להבין את ההתנהלות המשפטית ביום בו סוכם ההסדר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לצורך כך הפנה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המערער לבקשתו של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כוחו הקודם מבית המשפט שלא לפנות באופן ישיר למערער בכדי לאשר את הודייתו וזאת מחשש שהדבר עשוי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להעמיס עליו יותר מדי בגלל מצבו הנפשי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ולגרום לו לחזור בו מכוונתו להודות במיוחס לו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בנוסף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נטען כי עריכת הסדר הטיעון ביום הדיון והשינויים שנערכו לפיו בכתב האישום המתוקן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הקשו אף הם על המערער בהבנת פרטי ההסדר והשלכותיו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את דברי המערער בדיון כי הבין את הסדר הטיעון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ובכלל זה את הודייתו בכתב האישום המתוקן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הגדיר בא כוחו הנוכחי כדברים שנאמרו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בצורה אוטומטית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כלשונו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מנגד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המשיבה ביקשה לדחות את הערעור ולא לאפשר לו לחזור בו מהודייתו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תוך שציינה כי הלה היה מיוצג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עורך דין במסגרת ההליך בבית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והדגישה כי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כוחו דאז כלל לא חלק על כשירותו לעמוד לדין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דבר אשר מצא ביטוי בתשובותיו לשאלות בית המשפט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tl w:val="true"/>
        </w:rPr>
        <w:tab/>
      </w:r>
      <w:r>
        <w:rPr>
          <w:rtl w:val="true"/>
        </w:rPr>
        <w:t xml:space="preserve">בנוסף נטען כי </w:t>
      </w:r>
      <w:r>
        <w:rPr>
          <w:rFonts w:ascii="Century" w:hAnsi="Century" w:cs="Century"/>
          <w:rtl w:val="true"/>
        </w:rPr>
        <w:t>הסדר הטיעון שעליו הוסכם בסופו של יום היה תוצאה של הליך גישור ממושך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לטענת המערער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כשל בייצוג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נטען כי לא צורף תצהיר של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דאז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בהתייחס למצבו הנפשי של המערער והודייתו בפני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הפנתה המשיבה לחוות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דעתה 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רטנר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ולפיה המערער היה כשיר לעמוד לדין ואף להתייצב לדיון בו הודה במעשיו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וטענה כי התבטאויותיו של המערער בשלב הטיעונים לעונש</w:t>
      </w:r>
      <w:r>
        <w:rPr>
          <w:rFonts w:cs="Century" w:ascii="Century" w:hAnsi="Century"/>
          <w:sz w:val="22"/>
          <w:rtl w:val="true"/>
        </w:rPr>
        <w:t xml:space="preserve">,  </w:t>
      </w:r>
      <w:r>
        <w:rPr>
          <w:rFonts w:ascii="Century" w:hAnsi="Century" w:cs="Century"/>
          <w:sz w:val="22"/>
          <w:sz w:val="22"/>
          <w:rtl w:val="true"/>
        </w:rPr>
        <w:t>ממחישות אף הן את מודעותו לאישומים אשר יוחסו לו ולהשלכות הסדר הטיעון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יצוין כי בשל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התייצבותו של המערער לדיון בעניינו בעבר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משפט זה נעתר לבקשת באת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המשיבה והורה על בדיקתו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מנת לעמוד על יכולתו להתייצב לדיונים בעניינו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ואכן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המערער נבדק פעם נוספת במרכז לבריאות הנפש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שער מנשה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על ידי 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יהלום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בחוות הדעת נכתב 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התנהגותו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 xml:space="preserve">של המערער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עשתה רושם של ניסיון בוטה להדמייה של תסמינים נפשיים אשר נראה כמעט כפארודיה על מחלת נפש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וכי 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ר יהלום התרשמה שהלה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דימה תסמיני מחלת נפש למטרת רווח משני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הימלטות מאימת הדין</w:t>
      </w:r>
      <w:r>
        <w:rPr>
          <w:rFonts w:cs="Century" w:ascii="Century" w:hAnsi="Century"/>
          <w:sz w:val="22"/>
          <w:rtl w:val="true"/>
        </w:rPr>
        <w:t xml:space="preserve">)". </w:t>
      </w:r>
      <w:r>
        <w:rPr>
          <w:rFonts w:ascii="Century" w:hAnsi="Century" w:cs="Century"/>
          <w:sz w:val="22"/>
          <w:sz w:val="22"/>
          <w:rtl w:val="true"/>
        </w:rPr>
        <w:t>על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סברה 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ר יהלום כי המערער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כשיר לעמוד לדין מנקודת מבט פסיכיאטרית</w:t>
      </w:r>
      <w:r>
        <w:rPr>
          <w:rFonts w:cs="Century" w:ascii="Century" w:hAnsi="Century"/>
          <w:sz w:val="22"/>
          <w:rtl w:val="true"/>
        </w:rPr>
        <w:t>".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ליבת הערעור שלפנינו בטענות המערער כי יש לאפשר לו לחזור בו מהודייתו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וזאת בשל מצבו הנפשי ואי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כשירותו לעמוד לדין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אפנה תחילה לבחון את המסגרת הנורמטיבית בהתייחס לכשירות נאשם לעמוד לדין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מורה כי על דרך הכלל</w:t>
      </w:r>
      <w:r>
        <w:rPr>
          <w:rtl w:val="true"/>
        </w:rPr>
        <w:t xml:space="preserve">, </w:t>
      </w:r>
      <w:r>
        <w:rPr>
          <w:rtl w:val="true"/>
        </w:rPr>
        <w:t xml:space="preserve">במקרים שבהם בית המשפט סבור כי נאשם אינו מסוגל לעמוד לדין מחמת </w:t>
      </w:r>
      <w:r>
        <w:rPr>
          <w:rtl w:val="true"/>
        </w:rPr>
        <w:t xml:space="preserve">היותו </w:t>
      </w:r>
      <w:r>
        <w:rPr>
          <w:rtl w:val="true"/>
        </w:rPr>
        <w:t>לוקה בנפשו</w:t>
      </w:r>
      <w:r>
        <w:rPr>
          <w:rtl w:val="true"/>
        </w:rPr>
        <w:t xml:space="preserve">, </w:t>
      </w:r>
      <w:r>
        <w:rPr>
          <w:rtl w:val="true"/>
        </w:rPr>
        <w:t>ההליכים נגדו יופסקו</w:t>
      </w:r>
      <w:r>
        <w:rPr>
          <w:rtl w:val="true"/>
        </w:rPr>
        <w:t>:</w:t>
      </w:r>
    </w:p>
    <w:p>
      <w:pPr>
        <w:pStyle w:val="Ruller5"/>
        <w:ind w:end="1282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קבע בית המשפט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לפי סעיף </w:t>
      </w:r>
      <w:r>
        <w:rPr>
          <w:rStyle w:val="default"/>
          <w:rFonts w:cs="Century" w:ascii="Century" w:hAnsi="Century"/>
        </w:rPr>
        <w:t>6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א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לחוק לטיפול בחולי נפש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תשט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ו</w:t>
      </w:r>
      <w:r>
        <w:rPr>
          <w:rStyle w:val="default"/>
          <w:rFonts w:cs="Century" w:ascii="Century" w:hAnsi="Century"/>
          <w:rtl w:val="true"/>
        </w:rPr>
        <w:t>-</w:t>
      </w:r>
      <w:r>
        <w:rPr>
          <w:rStyle w:val="default"/>
          <w:rFonts w:cs="Century" w:ascii="Century" w:hAnsi="Century"/>
        </w:rPr>
        <w:t>1955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או לפי סעיף </w:t>
      </w:r>
      <w:r>
        <w:rPr>
          <w:rStyle w:val="default"/>
          <w:rFonts w:cs="Century" w:ascii="Century" w:hAnsi="Century"/>
        </w:rPr>
        <w:t>19</w:t>
      </w:r>
      <w:r>
        <w:rPr>
          <w:rStyle w:val="default"/>
          <w:rFonts w:ascii="Century" w:hAnsi="Century" w:cs="Century"/>
          <w:rtl w:val="true"/>
        </w:rPr>
        <w:t>ב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1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 xml:space="preserve">לחוק הסעד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טיפול באנשים עם מוגבלות שכלית</w:t>
      </w:r>
      <w:r>
        <w:rPr>
          <w:rStyle w:val="default"/>
          <w:rFonts w:cs="Century" w:ascii="Century" w:hAnsi="Century"/>
          <w:rtl w:val="true"/>
        </w:rPr>
        <w:t>-</w:t>
      </w:r>
      <w:r>
        <w:rPr>
          <w:rStyle w:val="default"/>
          <w:rFonts w:ascii="Century" w:hAnsi="Century" w:cs="Century"/>
          <w:rtl w:val="true"/>
        </w:rPr>
        <w:t>התפתחותית</w:t>
      </w:r>
      <w:r>
        <w:rPr>
          <w:rStyle w:val="default"/>
          <w:rFonts w:cs="Century" w:ascii="Century" w:hAnsi="Century"/>
          <w:rtl w:val="true"/>
        </w:rPr>
        <w:t xml:space="preserve">), </w:t>
      </w:r>
      <w:r>
        <w:rPr>
          <w:rStyle w:val="default"/>
          <w:rFonts w:ascii="Century" w:hAnsi="Century" w:cs="Century"/>
          <w:rtl w:val="true"/>
        </w:rPr>
        <w:t>תשכ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ט</w:t>
      </w:r>
      <w:r>
        <w:rPr>
          <w:rStyle w:val="default"/>
          <w:rFonts w:cs="Century" w:ascii="Century" w:hAnsi="Century"/>
          <w:rtl w:val="true"/>
        </w:rPr>
        <w:t>-</w:t>
      </w:r>
      <w:r>
        <w:rPr>
          <w:rStyle w:val="default"/>
          <w:rFonts w:cs="Century" w:ascii="Century" w:hAnsi="Century"/>
        </w:rPr>
        <w:t>1969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שנאשם אינו מסוגל לעמוד בדין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יפסיק את ההליכים נגדו</w:t>
      </w:r>
      <w:r>
        <w:rPr>
          <w:rStyle w:val="default"/>
          <w:rFonts w:cs="Century" w:ascii="Century" w:hAnsi="Century"/>
          <w:rtl w:val="true"/>
        </w:rPr>
        <w:t xml:space="preserve">; </w:t>
      </w:r>
      <w:r>
        <w:rPr>
          <w:rStyle w:val="default"/>
          <w:rFonts w:ascii="Century" w:hAnsi="Century" w:cs="Century"/>
          <w:rtl w:val="true"/>
        </w:rPr>
        <w:t>אולם אם ביקש הסניגור לברר את אשמתו של הנאשם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יברר בית המשפט את האשמה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ורשאי הוא לעשות כן אף מיזמתו מטעמים מיוחדים שיירשמו</w:t>
      </w:r>
      <w:r>
        <w:rPr>
          <w:rStyle w:val="default"/>
          <w:rFonts w:cs="Century" w:ascii="Century" w:hAnsi="Century"/>
          <w:rtl w:val="true"/>
        </w:rPr>
        <w:t>".</w:t>
      </w:r>
    </w:p>
    <w:p>
      <w:pPr>
        <w:pStyle w:val="Ruller5"/>
        <w:spacing w:lineRule="auto" w:line="360"/>
        <w:ind w:end="1282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כידוע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ההכרעה בשאלה אם נאשם אינו מסוגל לעמוד לדין תלויה בהתרשמותו של בית המשפט מיכולתו לתקשר עם עורך דינו באופן בסיסי ולהבין את ההליך המשפטי אשר מתנהל נגדו במובן זה שהוא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מודע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להימצאותו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באולם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המשפט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ומזהה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בעלי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התפקידים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השונים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האישומים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נגדו</w:t>
      </w:r>
      <w:r>
        <w:rPr>
          <w:rFonts w:cs="Century" w:ascii="Century" w:hAnsi="Century"/>
          <w:sz w:val="22"/>
          <w:rtl w:val="true"/>
        </w:rPr>
        <w:t>" (</w:t>
      </w:r>
      <w:hyperlink r:id="rId2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9687/09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לפסק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דינה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השופטת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ארבל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17.1.2013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ראו גם </w:t>
      </w:r>
      <w:hyperlink r:id="rId2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3230/05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‏ 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22.1.2007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</w:t>
      </w:r>
      <w:hyperlink r:id="rId3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10166/09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49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11.10.2010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לטענות המערער כי לא היה כשיר לעמוד לדין בפני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אני סבור כי אלה אינן נתמכות בראיות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וסותרות את הדברים המפורשים שטען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כוחו באותה העת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בפני בית המשפט עמדו חוות הדעת הפסיכיאטריות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עיון בפרוטוקולים מהדיונים שהתקיימו בפני בית המשפט המחוזי מגלה כי באי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כוחו של המערער שבו והדגישו מספר פעמים כי הם אינם טוענים שהמערער אינו מסוגל לעמוד לדין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כך למשל בהחלטתו מיום </w:t>
      </w:r>
      <w:r>
        <w:rPr>
          <w:rFonts w:cs="Century" w:ascii="Century" w:hAnsi="Century"/>
          <w:sz w:val="22"/>
        </w:rPr>
        <w:t>4.6.2018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ציין בית המשפט המחוזי במפורש 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במהלך הדיון אישרה ההגנה כי אין מחלוקת בשאלת הכשירות לדין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וכי הסוגיה שהתעוררה בפניו נוגעת רק ליכולתו של המערער להתייצב לדיון ובצורך לדחות את מועד קיומו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טענותיו של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כוחו הנוכחי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שלפיהן הוא לא מסוגל היה לעמוד לדין במהלך הדיון בבית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סותרות קביעות אלו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ומהוות למעשה טענה בדבר כשל בייצוג של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כוחו הקודם של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לערעור לא צורף תצהירו של עורך הדין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כנדרש במקרים שבהם מועלית טענה לכשל בייצוג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 והשוו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3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6229/07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מוופק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20.11.2008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מוופק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32">
        <w:bookmarkStart w:id="15" w:name="Text1"/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9447/12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bookmarkEnd w:id="15"/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20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2.2.2014</w:t>
      </w:r>
      <w:r>
        <w:rPr>
          <w:rFonts w:cs="Century" w:ascii="Century" w:hAnsi="Century"/>
          <w:sz w:val="22"/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יצוין כי התיעוד הרפואי שצורף לערעור בתמיכה לטענות המערער כי לא היה מסוגל לעמוד לדין לא התייחס לסוגיה זו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אלא התמקד בהשפעות טיפוליו התרופתיים של המערער על יכולתו להתייצב לדיון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וזאת על רקע בקשותיו לדחות את מועדי הדיונים בעניינו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תיעוד רפואי זה עניינו בהשלכות המידיות של הטיפול התרופתי שעבר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עולה ממנו כי בעת ניהול ההליך בבית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לא היה מסוגל להבין את האישומים המופנים נגדו או לתקשר עם עורך דינו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עמד על כך אף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כוחו של המערער דאז שהדגיש בפני בית המשפט המחוזי כי הרופא המטפל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לא מתעמת עם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 xml:space="preserve">הקביעה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שהוא כשיר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לעמוד לדין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אך גורס כי יש לדחות את מועד הדיון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עמוד </w:t>
      </w:r>
      <w:r>
        <w:rPr>
          <w:rFonts w:cs="Century" w:ascii="Century" w:hAnsi="Century"/>
          <w:sz w:val="22"/>
        </w:rPr>
        <w:t>19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לפרוטוקול הדיון בפני בית המשפט המחוזי מיום </w:t>
      </w:r>
      <w:r>
        <w:rPr>
          <w:rFonts w:cs="Century" w:ascii="Century" w:hAnsi="Century"/>
          <w:sz w:val="22"/>
        </w:rPr>
        <w:t>15.4.2018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כשירותו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כנדרש</w:t>
      </w:r>
      <w:r>
        <w:rPr>
          <w:rtl w:val="true"/>
        </w:rPr>
        <w:t xml:space="preserve">. </w:t>
      </w:r>
      <w:r>
        <w:rPr>
          <w:rtl w:val="true"/>
        </w:rPr>
        <w:t>יתירה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בסיכומם של דברים</w:t>
      </w:r>
      <w:r>
        <w:rPr>
          <w:rtl w:val="true"/>
        </w:rPr>
        <w:t xml:space="preserve">, </w:t>
      </w:r>
      <w:r>
        <w:rPr>
          <w:sz w:val="22"/>
          <w:sz w:val="22"/>
          <w:rtl w:val="true"/>
        </w:rPr>
        <w:t>אני סבור כי אין ממש בטענה לאי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כשירותו של המערער לעמוד לדין בפני בית המשפט המחוזי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ואף</w:t>
      </w:r>
      <w:r>
        <w:rPr>
          <w:rtl w:val="true"/>
        </w:rPr>
        <w:t xml:space="preserve"> לא לצורך הדיון בערעור שבעניינו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אפנה עתה לבחון את טענת המערער כי יש לאפשר לו ל</w:t>
      </w:r>
      <w:r>
        <w:rPr>
          <w:rtl w:val="true"/>
        </w:rPr>
        <w:t>חזור בו מהודייתו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קובע את המסגרת הנורמטיבית בה תתקבל חזרתו של נאשם מהודיה</w:t>
      </w:r>
      <w:r>
        <w:rPr>
          <w:rtl w:val="true"/>
        </w:rPr>
        <w:t>: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הודה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בעובדה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בהודיה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שבכתב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במהלך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רשאי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לחזור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ההודיה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מקצתה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מנימוקים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מיוחדים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שיירשמו</w:t>
      </w:r>
      <w:r>
        <w:rPr>
          <w:rFonts w:cs="Century" w:ascii="Century" w:hAnsi="Century"/>
          <w:rtl w:val="true"/>
        </w:rPr>
        <w:t>".</w:t>
      </w:r>
    </w:p>
    <w:p>
      <w:pPr>
        <w:pStyle w:val="Ruller5"/>
        <w:spacing w:lineRule="auto" w:line="360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נקבע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חזרה מהודיה לאחר מתן גזר הדין תתאפשר רק בנסיבות חריגות אשר בהן מתעורר חשש ממשי כי הנאשם מסר הודיית שווא אשר נמסרה בניגוד לרצונו החופשי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או מבלי להבין את משמעות הודייתו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 למשל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3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945/85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פלוני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מא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572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580-579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1987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3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763/03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שמואל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14.04.2003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;</w:t>
      </w:r>
      <w:r>
        <w:rPr>
          <w:rFonts w:cs="Century" w:ascii="Century" w:hAnsi="Century"/>
          <w:sz w:val="22"/>
          <w:rtl w:val="true"/>
        </w:rPr>
        <w:t xml:space="preserve"> </w:t>
      </w:r>
      <w:hyperlink r:id="rId3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3914/08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עאסלה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8.9.2008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3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6028/13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20.3.2014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התנאים הנוקשים שנקבעו בפסיקה לחזרה מהודיה לאחר מתן גזר הדין נובעים מהחשש כי חזרתו של הנאשם מהודייתו בשלב מאוחר זה של ההליך תהווה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מהלך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טקטי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שנועד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לגרוף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תועלת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משפטית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כלשהי</w:t>
      </w:r>
      <w:r>
        <w:rPr>
          <w:rFonts w:cs="Century" w:ascii="Century" w:hAnsi="Century"/>
          <w:sz w:val="22"/>
          <w:rtl w:val="true"/>
        </w:rPr>
        <w:t>" (</w:t>
      </w:r>
      <w:hyperlink r:id="rId3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6349/11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שניידר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נשימוב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20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לפסק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דינו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השופט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כתוארו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אז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מלצר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10.6.2013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הנאשם עשוי לבקש לחזור מהודייתו כאשר הוא מאוכזב מהעונש שהושת עליו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או במטרה לדחות את מועד ריצוי עונשו </w:t>
      </w:r>
      <w:r>
        <w:rPr>
          <w:rFonts w:cs="Century" w:ascii="Century" w:hAnsi="Century"/>
          <w:sz w:val="22"/>
          <w:rtl w:val="true"/>
        </w:rPr>
        <w:t>(</w:t>
      </w:r>
      <w:hyperlink r:id="rId4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10518/06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בטאט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29.3.2007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הנטל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להוכח</w:t>
      </w:r>
      <w:r>
        <w:rPr>
          <w:rFonts w:ascii="Century" w:hAnsi="Century" w:cs="Century"/>
          <w:sz w:val="22"/>
          <w:sz w:val="22"/>
          <w:rtl w:val="true"/>
        </w:rPr>
        <w:t>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טענות </w:t>
      </w:r>
      <w:r>
        <w:rPr>
          <w:rFonts w:ascii="Century" w:hAnsi="Century" w:cs="Century"/>
          <w:sz w:val="22"/>
          <w:sz w:val="22"/>
          <w:rtl w:val="true"/>
        </w:rPr>
        <w:t>נאשם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Fonts w:ascii="Century" w:hAnsi="Century" w:cs="Century"/>
          <w:sz w:val="22"/>
          <w:sz w:val="22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הבין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משמעות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הודייתו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מצבו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הנפשי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מוטל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>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במסגרת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נראה כי לא די בהצגת חווׂת דעת כלליות על מצבו הנפשי של הנאשם בכדי לאפשר את חזרתו מהודיה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אלא יש להוכיח כי מצבו הנפשי לא אפשר לו להבין את משמעות הודייתו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 למשל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4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5955/08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טז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23.10.2008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שוכנעתי כי מלאו התנאים לאפשר למערער לחזור בו מהודייתו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שנמסרה בבית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אם בשל כך שהמערער לא היה מודע לפרטי הסדר הטיעון מחמת מצבו הנפשי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ואם בשל האופן שבו נערך ההסדר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בית המשפט הורה על קיום דיון ההוכחות לאחר שהורה על התייצבות מטפליו של המערער לעדות ולאחר שד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רטנר נחקרה בחקירה נגדית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בפני בית המשפט עמדו אף חוות הדעת הסותרות שהוכנו בסמוך למועד הדיון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החלטת בית המשפט לקבל את הודיית המערער נשענה על התרשמות בלתי אמצעית ממצבו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והתקבלה מתוך מודעות לכושר השיפוט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וכן להבנתו את עובדות כתב האישום המתוקן ופרטי ההסדר העונשי כפי שהוצג לבית המשפט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גם אם בשלב הטיעונים לעונש נעשה ניסיון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נוסף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לכרסום בעונש המוסכם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די בכך כדי לעורר קושי של ממש בטענה כי נסיבות מתן ההודיה מצדיקות את פסילתה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 והשוו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4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6067/10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6.1.2011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יתירה מזאת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הסדר הטיעון בין הצדדים הושג כאמור לאחר משא ומתן ממושך בין באי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הצדדים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המשכו וסיומו אכן היה מחוץ לאולם בית המשפט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בא כוח המערער עמד על תיקונים נוספים שביקש לבצע בכתב האישום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וכן עמד על הסדר עונשי מוסכם אשר ייטיב עם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יודגש כי בפרק זמן זה המערער נכח יחד עם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כוחו בבית המשפט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לא צירף תצהיר מטעם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שייצגו בפני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ודי בכך כדי לדחות טענות אלה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והשוו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מוופק</w:t>
      </w:r>
      <w:r>
        <w:rPr>
          <w:rFonts w:ascii="Century" w:hAnsi="Century" w:cs="Century"/>
          <w:rtl w:val="true"/>
        </w:rPr>
        <w:t xml:space="preserve"> בפסקה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יודגש כי לאחר שהצהיר על הבנתו את מהות ההסדר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ובכלל זה כתב האישום המתוקן וההסדר העונשי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פנה המערער לבית המשפט בדברים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הביע חרטה על מעשיו וביקש להקל בעונשו נוכח נסיבותיו האישיות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התבטאויותיו של המערער במעמד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שמופיעות בפרוטוקול הדיונים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מגלות כי המערער היה מודע היטב למתרחש סביבו ולהשלכות ההסדר בפרט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קיווה שבית המשפט יאות לבקשתו וישית עליו אף עונש קל יותר מזה שהוסכם עליו בהסדר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כך יש להוסיף כי העובדה שהמערער בחר לבקש לחזור בו מהודייתו רק בשלב הערעור</w:t>
      </w:r>
      <w:r>
        <w:rPr>
          <w:rtl w:val="true"/>
        </w:rPr>
        <w:t xml:space="preserve">, </w:t>
      </w:r>
      <w:r>
        <w:rPr>
          <w:rtl w:val="true"/>
        </w:rPr>
        <w:t>לאחר שנגזר עונשו ולאחר שנדחו בקשותיו להקלה נוספת בעונש</w:t>
      </w:r>
      <w:r>
        <w:rPr>
          <w:rtl w:val="true"/>
        </w:rPr>
        <w:t xml:space="preserve">, </w:t>
      </w:r>
      <w:r>
        <w:rPr>
          <w:rtl w:val="true"/>
        </w:rPr>
        <w:t>מעבר לעונש שעליו סוכם במסגרת הסדר הטיעון</w:t>
      </w:r>
      <w:r>
        <w:rPr>
          <w:rtl w:val="true"/>
        </w:rPr>
        <w:t xml:space="preserve">, </w:t>
      </w:r>
      <w:r>
        <w:rPr>
          <w:rtl w:val="true"/>
        </w:rPr>
        <w:t xml:space="preserve">עשויה להצביע על כך שבקשת המערער לחזור בו מן ההודיה אינה משקפת את רצונו הכן והאמיתי להוכיח את חפותו </w:t>
      </w:r>
      <w:r>
        <w:rPr>
          <w:rtl w:val="true"/>
        </w:rPr>
        <w:t>–</w:t>
      </w:r>
      <w:r>
        <w:rPr>
          <w:rtl w:val="true"/>
        </w:rPr>
        <w:t xml:space="preserve"> אלא את ניסיונ</w:t>
      </w:r>
      <w:r>
        <w:rPr>
          <w:rtl w:val="true"/>
        </w:rPr>
        <w:t>ו</w:t>
      </w:r>
      <w:r>
        <w:rPr>
          <w:rtl w:val="true"/>
        </w:rPr>
        <w:t xml:space="preserve"> לחמוק מעונש</w:t>
      </w:r>
      <w:r>
        <w:rPr>
          <w:rtl w:val="true"/>
        </w:rPr>
        <w:t xml:space="preserve">. </w:t>
      </w:r>
      <w:r>
        <w:rPr>
          <w:rtl w:val="true"/>
        </w:rPr>
        <w:t xml:space="preserve">חשש זה אף מתגבר </w:t>
      </w:r>
      <w:r>
        <w:rPr>
          <w:rFonts w:ascii="Century" w:hAnsi="Century" w:cs="Century"/>
          <w:sz w:val="22"/>
          <w:sz w:val="22"/>
          <w:rtl w:val="true"/>
        </w:rPr>
        <w:t>לאור העולה מחוות הדעת של 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יהלום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המערער נטה לה</w:t>
      </w:r>
      <w:r>
        <w:rPr>
          <w:rFonts w:ascii="Century" w:hAnsi="Century" w:cs="Century"/>
          <w:sz w:val="22"/>
          <w:sz w:val="22"/>
          <w:rtl w:val="true"/>
        </w:rPr>
        <w:t>חמיר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מצבו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במכוון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ascii="Century" w:hAnsi="Century" w:cs="Century"/>
          <w:sz w:val="22"/>
          <w:sz w:val="22"/>
          <w:rtl w:val="true"/>
        </w:rPr>
        <w:t>מהלך הבדיקות</w:t>
      </w:r>
      <w:r>
        <w:rPr>
          <w:rtl w:val="true"/>
        </w:rPr>
        <w:t xml:space="preserve"> ולהתל במאבחניו</w:t>
      </w:r>
      <w:r>
        <w:rPr>
          <w:rtl w:val="true"/>
        </w:rPr>
        <w:t xml:space="preserve">, </w:t>
      </w:r>
      <w:r>
        <w:rPr>
          <w:rtl w:val="true"/>
        </w:rPr>
        <w:t>ואשר אף תיארה את התנהגותו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, "</w:t>
      </w:r>
      <w:r>
        <w:rPr>
          <w:rtl w:val="true"/>
        </w:rPr>
        <w:t>כפארודיה על מחלת נפש</w:t>
      </w:r>
      <w:r>
        <w:rPr>
          <w:rtl w:val="true"/>
        </w:rPr>
        <w:t>".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סוף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דבר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בית משפט זה עמד לא אחת על הקושי לאפשר לנאשם לחזור בו מהודייתו לאחר גזירת עונשו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מחשש כי הדבר ישמש כטקטיקה משפטית להמתיק את עונשו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על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נקבע כי בנסיבות אלה על בית המשפט לעשות שימוש זהיר בסמכותו להתיר את חזרת נאשם מהודייתו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במקרים המתאימים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שבהם שוכנע בית המשפט כי מצבו הנפשי של הנאשם פגע ביכולתו להבין את משמעות הודייתו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ניתן יהיה לאפשר לו לחזור ממנה ולתת לו את יומו בבית המשפט על מנת שיוכל להוכיח את חפותו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אלא שבענייננו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מתעורר חשש כבד כי הנאשם מנסה להתל במאבחניו בכדי שיבססו את טענתו כי הוא אינו כשיר לעמוד לדין וכי נפל פגם בהודייתו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התנהלותו המניפולטיבית של המערער ממחישה כי לא הפנים את חומרת מעשיו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ואין בה כדי לשכנע כי אינו כשיר לעמוד לדין או כי לא הבין את משמעות הודייתו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אדרבא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יש בה כדי להעיד כי הוא מודע למשמעות הודייתו ולעונש שניצב בפניו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ומבקש לחמוק מהדין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בנסיבות אלו איני סבור כי ראוי לאפשר לו לחזור בו מהודייתו</w:t>
      </w:r>
      <w:r>
        <w:rPr>
          <w:rtl w:val="true"/>
        </w:rPr>
        <w:t xml:space="preserve">, </w:t>
      </w:r>
      <w:r>
        <w:rPr>
          <w:rtl w:val="true"/>
        </w:rPr>
        <w:t>ועל כן אציע לחבריי כי נדחה את הערעור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17.2.2019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 ניצן</w:t>
      </w:r>
      <w:r>
        <w:rPr>
          <w:rtl w:val="true"/>
        </w:rPr>
        <w:t xml:space="preserve">,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מזוז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start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5.2.2019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keepNext w:val="true"/>
              <w:keepLines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keepNext w:val="true"/>
              <w:keepLines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keepNext w:val="true"/>
              <w:keepLines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keepNext w:val="true"/>
        <w:keepLines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keepNext w:val="true"/>
        <w:keepLines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keepLines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keepLines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keepNext w:val="true"/>
        <w:keepLines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keepNext w:val="true"/>
        <w:keepLines/>
        <w:ind w:end="0"/>
        <w:jc w:val="start"/>
        <w:rPr/>
      </w:pPr>
      <w:r>
        <w:rPr>
          <w:rFonts w:cs="Times New Roman"/>
          <w:sz w:val="16"/>
          <w:rtl w:val="true"/>
        </w:rPr>
        <w:t xml:space="preserve"> </w:t>
      </w:r>
      <w:r>
        <w:rPr>
          <w:rFonts w:cs="Times New Roman"/>
          <w:sz w:val="16"/>
          <w:rtl w:val="true"/>
        </w:rPr>
        <w:t xml:space="preserve"> </w:t>
      </w:r>
      <w:r>
        <w:rPr>
          <w:sz w:val="16"/>
        </w:rPr>
        <w:t>18054010</w:t>
      </w:r>
      <w:r>
        <w:rPr>
          <w:sz w:val="16"/>
          <w:rtl w:val="true"/>
        </w:rPr>
        <w:t>_</w:t>
      </w:r>
      <w:r>
        <w:rPr>
          <w:sz w:val="16"/>
        </w:rPr>
        <w:t>J27.docx</w:t>
      </w:r>
      <w:r>
        <w:rPr>
          <w:sz w:val="16"/>
          <w:rtl w:val="true"/>
        </w:rPr>
        <w:t xml:space="preserve"> 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</w:t>
      </w:r>
      <w:hyperlink r:id="rId4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מ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מזוז </w:t>
      </w:r>
      <w:r>
        <w:rPr>
          <w:rFonts w:cs="David" w:ascii="David" w:hAnsi="David"/>
          <w:color w:val="000000"/>
          <w:szCs w:val="22"/>
        </w:rPr>
        <w:t>54678313-5401/18</w:t>
      </w:r>
    </w:p>
    <w:p>
      <w:pPr>
        <w:pStyle w:val="Ruller381"/>
        <w:keepNext w:val="true"/>
        <w:keepLines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keepNext w:val="true"/>
        <w:keepLines/>
        <w:ind w:end="0"/>
        <w:jc w:val="start"/>
        <w:rPr/>
      </w:pPr>
      <w:r>
        <w:rPr>
          <w:rtl w:val="true"/>
        </w:rPr>
      </w:r>
    </w:p>
    <w:p>
      <w:pPr>
        <w:pStyle w:val="Ruller381"/>
        <w:keepNext w:val="true"/>
        <w:keepLines/>
        <w:ind w:end="0"/>
        <w:jc w:val="center"/>
        <w:rPr>
          <w:color w:val="0000FF"/>
          <w:szCs w:val="24"/>
          <w:u w:val="single"/>
        </w:rPr>
      </w:pPr>
      <w:hyperlink r:id="rId4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keepLines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5"/>
      <w:footerReference w:type="default" r:id="rId4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5401/18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b w:val="false"/>
        <w:bCs w:val="false"/>
        <w:lang w:val="en-US" w:bidi="he-I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360" w:before="0" w:after="320"/>
      <w:contextualSpacing/>
      <w:jc w:val="both"/>
      <w:outlineLvl w:val="0"/>
    </w:pPr>
    <w:rPr>
      <w:rFonts w:ascii="Century" w:hAnsi="Century" w:cs="Miriam"/>
      <w:b/>
      <w:sz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b w:val="false"/>
      <w:bCs w:val="false"/>
      <w:lang w:val="en-US" w:bidi="he-IL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entury" w:hAnsi="Century" w:cs="Miriam"/>
      <w:b/>
      <w:sz w:val="24"/>
      <w:szCs w:val="24"/>
    </w:rPr>
  </w:style>
  <w:style w:type="character" w:styleId="default">
    <w:name w:val="defaul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  <w:spacing w:before="0" w:after="360"/>
    </w:pPr>
    <w:rPr>
      <w:rFonts w:ascii="Garamond" w:hAnsi="Garamond" w:cs="Garamond"/>
      <w:sz w:val="24"/>
    </w:rPr>
  </w:style>
  <w:style w:type="paragraph" w:styleId="Style13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1" TargetMode="External"/><Relationship Id="rId4" Type="http://schemas.openxmlformats.org/officeDocument/2006/relationships/hyperlink" Target="http://www.nevo.co.il/law/70301/345.b.1" TargetMode="External"/><Relationship Id="rId5" Type="http://schemas.openxmlformats.org/officeDocument/2006/relationships/hyperlink" Target="http://www.nevo.co.il/law/70301/346.a.1" TargetMode="External"/><Relationship Id="rId6" Type="http://schemas.openxmlformats.org/officeDocument/2006/relationships/hyperlink" Target="http://www.nevo.co.il/law/70301/347.a.1" TargetMode="External"/><Relationship Id="rId7" Type="http://schemas.openxmlformats.org/officeDocument/2006/relationships/hyperlink" Target="http://www.nevo.co.il/law/70301/347.b" TargetMode="External"/><Relationship Id="rId8" Type="http://schemas.openxmlformats.org/officeDocument/2006/relationships/hyperlink" Target="http://www.nevo.co.il/law/70301/348.b" TargetMode="External"/><Relationship Id="rId9" Type="http://schemas.openxmlformats.org/officeDocument/2006/relationships/hyperlink" Target="http://www.nevo.co.il/law/70301/348.d.1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4903/153.a" TargetMode="External"/><Relationship Id="rId12" Type="http://schemas.openxmlformats.org/officeDocument/2006/relationships/hyperlink" Target="http://www.nevo.co.il/law/74903/170.a" TargetMode="External"/><Relationship Id="rId13" Type="http://schemas.openxmlformats.org/officeDocument/2006/relationships/hyperlink" Target="http://www.nevo.co.il/law/74903/170.a" TargetMode="External"/><Relationship Id="rId14" Type="http://schemas.openxmlformats.org/officeDocument/2006/relationships/hyperlink" Target="http://www.nevo.co.il/law/74903" TargetMode="External"/><Relationship Id="rId15" Type="http://schemas.openxmlformats.org/officeDocument/2006/relationships/hyperlink" Target="http://www.nevo.co.il/law/74903/153.a" TargetMode="External"/><Relationship Id="rId16" Type="http://schemas.openxmlformats.org/officeDocument/2006/relationships/hyperlink" Target="http://www.nevo.co.il/law/74903" TargetMode="External"/><Relationship Id="rId17" Type="http://schemas.openxmlformats.org/officeDocument/2006/relationships/hyperlink" Target="http://www.nevo.co.il/law/70301/345.b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46.a.1" TargetMode="External"/><Relationship Id="rId20" Type="http://schemas.openxmlformats.org/officeDocument/2006/relationships/hyperlink" Target="http://www.nevo.co.il/law/70301/347.b" TargetMode="External"/><Relationship Id="rId21" Type="http://schemas.openxmlformats.org/officeDocument/2006/relationships/hyperlink" Target="http://www.nevo.co.il/law/70301/345.a.1" TargetMode="External"/><Relationship Id="rId22" Type="http://schemas.openxmlformats.org/officeDocument/2006/relationships/hyperlink" Target="http://www.nevo.co.il/law/70301/347.a.1" TargetMode="External"/><Relationship Id="rId23" Type="http://schemas.openxmlformats.org/officeDocument/2006/relationships/hyperlink" Target="http://www.nevo.co.il/law/70301/348.b" TargetMode="External"/><Relationship Id="rId24" Type="http://schemas.openxmlformats.org/officeDocument/2006/relationships/hyperlink" Target="http://www.nevo.co.il/law/70301/345.b.1" TargetMode="External"/><Relationship Id="rId25" Type="http://schemas.openxmlformats.org/officeDocument/2006/relationships/hyperlink" Target="http://www.nevo.co.il/law/70301/348.d.1" TargetMode="External"/><Relationship Id="rId26" Type="http://schemas.openxmlformats.org/officeDocument/2006/relationships/hyperlink" Target="http://www.nevo.co.il/law/74903/170.a" TargetMode="External"/><Relationship Id="rId27" Type="http://schemas.openxmlformats.org/officeDocument/2006/relationships/hyperlink" Target="http://www.nevo.co.il/law/74903" TargetMode="External"/><Relationship Id="rId28" Type="http://schemas.openxmlformats.org/officeDocument/2006/relationships/hyperlink" Target="http://www.nevo.co.il/case/5979806" TargetMode="External"/><Relationship Id="rId29" Type="http://schemas.openxmlformats.org/officeDocument/2006/relationships/hyperlink" Target="http://www.nevo.co.il/case/5716790" TargetMode="External"/><Relationship Id="rId30" Type="http://schemas.openxmlformats.org/officeDocument/2006/relationships/hyperlink" Target="http://www.nevo.co.il/case/6243138" TargetMode="External"/><Relationship Id="rId31" Type="http://schemas.openxmlformats.org/officeDocument/2006/relationships/hyperlink" Target="http://www.nevo.co.il/case/6054993" TargetMode="External"/><Relationship Id="rId32" Type="http://schemas.openxmlformats.org/officeDocument/2006/relationships/hyperlink" Target="http://www.nevo.co.il/case/6249168" TargetMode="External"/><Relationship Id="rId33" Type="http://schemas.openxmlformats.org/officeDocument/2006/relationships/hyperlink" Target="http://www.nevo.co.il/law/74903/153.a" TargetMode="External"/><Relationship Id="rId34" Type="http://schemas.openxmlformats.org/officeDocument/2006/relationships/hyperlink" Target="http://www.nevo.co.il/law/74903" TargetMode="External"/><Relationship Id="rId35" Type="http://schemas.openxmlformats.org/officeDocument/2006/relationships/hyperlink" Target="http://www.nevo.co.il/case/17932850" TargetMode="External"/><Relationship Id="rId36" Type="http://schemas.openxmlformats.org/officeDocument/2006/relationships/hyperlink" Target="http://www.nevo.co.il/case/5724430" TargetMode="External"/><Relationship Id="rId37" Type="http://schemas.openxmlformats.org/officeDocument/2006/relationships/hyperlink" Target="http://www.nevo.co.il/case/5880027" TargetMode="External"/><Relationship Id="rId38" Type="http://schemas.openxmlformats.org/officeDocument/2006/relationships/hyperlink" Target="http://www.nevo.co.il/case/7985516" TargetMode="External"/><Relationship Id="rId39" Type="http://schemas.openxmlformats.org/officeDocument/2006/relationships/hyperlink" Target="http://www.nevo.co.il/case/5594324" TargetMode="External"/><Relationship Id="rId40" Type="http://schemas.openxmlformats.org/officeDocument/2006/relationships/hyperlink" Target="http://www.nevo.co.il/case/6163698" TargetMode="External"/><Relationship Id="rId41" Type="http://schemas.openxmlformats.org/officeDocument/2006/relationships/hyperlink" Target="http://www.nevo.co.il/case/6041519" TargetMode="External"/><Relationship Id="rId42" Type="http://schemas.openxmlformats.org/officeDocument/2006/relationships/hyperlink" Target="http://www.nevo.co.il/case/6246826" TargetMode="External"/><Relationship Id="rId43" Type="http://schemas.openxmlformats.org/officeDocument/2006/relationships/hyperlink" Target="http://supreme.court.gov.il/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2019-02-06T09:04:00Z</dcterms:created>
  <dc:creator>h3</dc:creator>
  <dc:description/>
  <cp:keywords/>
  <dc:language>en-IL</dc:language>
  <cp:lastModifiedBy>orly</cp:lastModifiedBy>
  <cp:lastPrinted>2019-02-05T09:03:00Z</cp:lastPrinted>
  <dcterms:modified xsi:type="dcterms:W3CDTF">2019-02-06T09:04:00Z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5979806;5716790;6243138;6054993;6249168;17932850;5724430;5880027;7985516;5594324;6163698;6041519;6246826</vt:lpwstr>
  </property>
  <property fmtid="{D5CDD505-2E9C-101B-9397-08002B2CF9AE}" pid="9" name="CITY">
    <vt:lpwstr/>
  </property>
  <property fmtid="{D5CDD505-2E9C-101B-9397-08002B2CF9AE}" pid="10" name="DATE">
    <vt:lpwstr>20190205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מזוז;י' אלרון;ע' גרוסקופף</vt:lpwstr>
  </property>
  <property fmtid="{D5CDD505-2E9C-101B-9397-08002B2CF9AE}" pid="14" name="LAWLISTTMP1">
    <vt:lpwstr>70301/345.b.1:2;346.a.1;347.b;345.a.1;347.a.1;348.b;348.d.1</vt:lpwstr>
  </property>
  <property fmtid="{D5CDD505-2E9C-101B-9397-08002B2CF9AE}" pid="15" name="LAWLISTTMP2">
    <vt:lpwstr>74903/170.a;153.a</vt:lpwstr>
  </property>
  <property fmtid="{D5CDD505-2E9C-101B-9397-08002B2CF9AE}" pid="16" name="LAWYER">
    <vt:lpwstr>תמר פרוש;צדוק חוגי;רן עטיה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>דיון פלילי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18;18;18</vt:lpwstr>
  </property>
  <property fmtid="{D5CDD505-2E9C-101B-9397-08002B2CF9AE}" pid="38" name="NOSE21">
    <vt:lpwstr>הודאה</vt:lpwstr>
  </property>
  <property fmtid="{D5CDD505-2E9C-101B-9397-08002B2CF9AE}" pid="39" name="NOSE210">
    <vt:lpwstr/>
  </property>
  <property fmtid="{D5CDD505-2E9C-101B-9397-08002B2CF9AE}" pid="40" name="NOSE22">
    <vt:lpwstr>הפסקת הליכים</vt:lpwstr>
  </property>
  <property fmtid="{D5CDD505-2E9C-101B-9397-08002B2CF9AE}" pid="41" name="NOSE23">
    <vt:lpwstr>ייצוג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456;464;480</vt:lpwstr>
  </property>
  <property fmtid="{D5CDD505-2E9C-101B-9397-08002B2CF9AE}" pid="49" name="NOSE31">
    <vt:lpwstr>חזרה מהודאה</vt:lpwstr>
  </property>
  <property fmtid="{D5CDD505-2E9C-101B-9397-08002B2CF9AE}" pid="50" name="NOSE310">
    <vt:lpwstr/>
  </property>
  <property fmtid="{D5CDD505-2E9C-101B-9397-08002B2CF9AE}" pid="51" name="NOSE32">
    <vt:lpwstr>חולה נפש</vt:lpwstr>
  </property>
  <property fmtid="{D5CDD505-2E9C-101B-9397-08002B2CF9AE}" pid="52" name="NOSE33">
    <vt:lpwstr>כשל בייצוג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3598;3629;11594</vt:lpwstr>
  </property>
  <property fmtid="{D5CDD505-2E9C-101B-9397-08002B2CF9AE}" pid="60" name="PADIDATE">
    <vt:lpwstr>20190206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5401</vt:lpwstr>
  </property>
  <property fmtid="{D5CDD505-2E9C-101B-9397-08002B2CF9AE}" pid="66" name="PROCYEAR">
    <vt:lpwstr>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410120190205</vt:lpwstr>
  </property>
  <property fmtid="{D5CDD505-2E9C-101B-9397-08002B2CF9AE}" pid="70" name="TYPE_N_DATE">
    <vt:lpwstr>41020190205</vt:lpwstr>
  </property>
  <property fmtid="{D5CDD505-2E9C-101B-9397-08002B2CF9AE}" pid="71" name="VOLUME">
    <vt:lpwstr/>
  </property>
  <property fmtid="{D5CDD505-2E9C-101B-9397-08002B2CF9AE}" pid="72" name="WORDNUMPAGES">
    <vt:lpwstr>13</vt:lpwstr>
  </property>
</Properties>
</file>