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5432/17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קשוע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עמאד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נסאסרה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52424-07-15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נאטור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גניבה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הפעלת מאסר על תנאי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לשדוד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מכוניתו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גניבה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מחצית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ומחציתה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מושכלות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שותפיהם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טכני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שבעטיה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גניבת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לגנוב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בנהיגת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לשטחי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לגניבת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u w:val="none"/>
              </w:rPr>
            </w:pPr>
            <w:bookmarkStart w:id="8" w:name="PsakDin"/>
            <w:bookmarkStart w:id="9" w:name="BeginProtocol"/>
            <w:bookmarkStart w:id="10" w:name="secretary"/>
            <w:bookmarkEnd w:id="9"/>
            <w:bookmarkEnd w:id="10"/>
            <w:r>
              <w:rPr>
                <w:u w:val="none"/>
                <w:rtl w:val="true"/>
              </w:rPr>
              <w:t>פ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ן</w:t>
            </w:r>
            <w:bookmarkEnd w:id="8"/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 w:before="0" w:after="0"/>
        <w:ind w:end="0"/>
        <w:contextualSpacing/>
        <w:jc w:val="center"/>
        <w:rPr>
          <w:rFonts w:ascii="Century" w:hAnsi="Century" w:cs="Century"/>
          <w:b/>
          <w:bCs/>
          <w:sz w:val="24"/>
          <w:szCs w:val="24"/>
        </w:rPr>
      </w:pPr>
      <w:r>
        <w:rPr>
          <w:rFonts w:cs="Century" w:ascii="Century" w:hAnsi="Century"/>
          <w:b/>
          <w:bCs/>
          <w:sz w:val="24"/>
          <w:szCs w:val="24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  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מרשק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מרום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52424-07-15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8.6.2017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עמאד</w:t>
      </w:r>
      <w:r>
        <w:rPr>
          <w:rtl w:val="true"/>
        </w:rPr>
        <w:t xml:space="preserve">)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מחמד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רקע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אחלאם</w:t>
      </w:r>
      <w:r>
        <w:rPr>
          <w:rtl w:val="true"/>
        </w:rPr>
        <w:t xml:space="preserve">))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sz w:val="20"/>
          <w:szCs w:val="24"/>
        </w:rPr>
        <w:t>B.M.W X6</w:t>
      </w:r>
      <w:r>
        <w:rPr>
          <w:rtl w:val="true"/>
        </w:rPr>
        <w:t xml:space="preserve"> </w:t>
      </w:r>
      <w:r>
        <w:rPr>
          <w:rtl w:val="true"/>
        </w:rPr>
        <w:t>ששוויה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מכונית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הב</w:t>
      </w:r>
      <w:r>
        <w:rPr>
          <w:rFonts w:cs="Miriam"/>
          <w:b/>
          <w:spacing w:val="0"/>
          <w:szCs w:val="24"/>
          <w:rtl w:val="true"/>
        </w:rPr>
        <w:t>.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>.</w:t>
      </w:r>
      <w:r>
        <w:rPr>
          <w:rFonts w:cs="Miriam"/>
          <w:b/>
          <w:b/>
          <w:spacing w:val="0"/>
          <w:szCs w:val="24"/>
          <w:rtl w:val="true"/>
        </w:rPr>
        <w:t>וו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23.4.2015</w:t>
      </w:r>
      <w:r>
        <w:rPr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אלאא</w:t>
      </w:r>
      <w:r>
        <w:rPr>
          <w:rtl w:val="true"/>
        </w:rPr>
        <w:t xml:space="preserve">)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ופיתתה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25.4.2015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מכונית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השברולט</w:t>
      </w:r>
      <w:r>
        <w:rPr>
          <w:rtl w:val="true"/>
        </w:rPr>
        <w:t xml:space="preserve">)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.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בורגתה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tl w:val="true"/>
        </w:rPr>
        <w:t xml:space="preserve">)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). </w:t>
      </w:r>
      <w:r>
        <w:rPr>
          <w:rtl w:val="true"/>
        </w:rPr>
        <w:t>הששה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האחרים</w:t>
      </w:r>
      <w:r>
        <w:rPr>
          <w:rtl w:val="true"/>
        </w:rPr>
        <w:t xml:space="preserve">),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.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באגרוף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והעבירו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השברולט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הזהות</w:t>
      </w:r>
      <w:r>
        <w:rPr>
          <w:rtl w:val="true"/>
        </w:rPr>
        <w:t xml:space="preserve">, </w:t>
      </w:r>
      <w:r>
        <w:rPr>
          <w:rtl w:val="true"/>
        </w:rPr>
        <w:t>השעון</w:t>
      </w:r>
      <w:r>
        <w:rPr>
          <w:rtl w:val="true"/>
        </w:rPr>
        <w:t xml:space="preserve">, </w:t>
      </w:r>
      <w:r>
        <w:rPr>
          <w:rtl w:val="true"/>
        </w:rPr>
        <w:t>ומכשיר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איכתאבא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בקלנסוואה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פרמו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החזירו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לטול</w:t>
      </w:r>
      <w:r>
        <w:rPr>
          <w:rtl w:val="true"/>
        </w:rPr>
        <w:t>-</w:t>
      </w:r>
      <w:r>
        <w:rPr>
          <w:rtl w:val="true"/>
        </w:rPr>
        <w:t>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, </w:t>
      </w:r>
      <w:r>
        <w:rPr>
          <w:rtl w:val="true"/>
        </w:rPr>
        <w:t>וסיכמו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תסרוקתה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זיהויה</w:t>
      </w:r>
      <w:r>
        <w:rPr>
          <w:rtl w:val="true"/>
        </w:rPr>
        <w:t xml:space="preserve">;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ומכרה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10.1.2017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52459-07-15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tl w:val="true"/>
        </w:rPr>
        <w:t xml:space="preserve">.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תסקירי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שירות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המבחן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שאלאא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גרושה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.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בתעסוקה</w:t>
      </w:r>
      <w:r>
        <w:rPr>
          <w:rtl w:val="true"/>
        </w:rPr>
        <w:t xml:space="preserve">, </w:t>
      </w:r>
      <w:r>
        <w:rPr>
          <w:rtl w:val="true"/>
        </w:rPr>
        <w:t>ומאלימות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נידוי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הפיכה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48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שעמאד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bookmarkStart w:id="14" w:name="LawTable_End"/>
      <w:bookmarkStart w:id="15" w:name="LawTable"/>
      <w:bookmarkEnd w:id="14"/>
      <w:bookmarkEnd w:id="15"/>
      <w:r>
        <w:rPr>
          <w:rtl w:val="true"/>
        </w:rPr>
        <w:t>ת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ביצוע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העבירות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רקע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החלטה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אימפולסיבית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ופיתוי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כספי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עמאד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נטל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אחריות</w:t>
      </w:r>
      <w:r>
        <w:rPr>
          <w:rFonts w:eastAsia="Arial TUR;Arial" w:cs="Arial TUR;Arial"/>
          <w:bCs/>
          <w:rtl w:val="true"/>
        </w:rPr>
        <w:t xml:space="preserve"> </w:t>
      </w:r>
      <w:r>
        <w:rPr>
          <w:bCs/>
          <w:rtl w:val="true"/>
        </w:rPr>
        <w:t>חלקית</w:t>
      </w:r>
    </w:p>
    <w:p>
      <w:pPr>
        <w:pStyle w:val="Ruller41"/>
        <w:ind w:end="0"/>
        <w:jc w:val="both"/>
        <w:rPr/>
      </w:pP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ותציב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ומומלץ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;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;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ובפועל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והאישום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והונאה</w:t>
      </w:r>
      <w:r>
        <w:rPr>
          <w:rtl w:val="true"/>
        </w:rPr>
        <w:t xml:space="preserve">),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לשקול</w:t>
      </w:r>
      <w:r>
        <w:rPr>
          <w:rFonts w:cs="Miriam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"</w:t>
      </w:r>
      <w:r>
        <w:rPr>
          <w:rFonts w:cs="Miriam"/>
          <w:b/>
          <w:b/>
          <w:spacing w:val="0"/>
          <w:szCs w:val="24"/>
          <w:rtl w:val="true"/>
        </w:rPr>
        <w:t>שממילא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מצויות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בהלימה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לנסיבותיה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ולמצבה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המשפטי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עמאד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למחמד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>-</w:t>
      </w:r>
      <w:r>
        <w:rPr>
          <w:rtl w:val="true"/>
        </w:rPr>
        <w:t>פורמלי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המערערים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תנאי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עמאד</w:t>
      </w:r>
      <w:r>
        <w:rPr>
          <w:rtl w:val="true"/>
        </w:rPr>
        <w:t xml:space="preserve">)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למחמד</w:t>
      </w:r>
      <w:r>
        <w:rPr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5.9.2017</w:t>
      </w:r>
      <w:r>
        <w:rPr>
          <w:rtl w:val="true"/>
        </w:rPr>
        <w:t xml:space="preserve"> (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מלצר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16.7.2017</w:t>
      </w:r>
      <w:r>
        <w:rPr>
          <w:rtl w:val="true"/>
        </w:rPr>
        <w:t>).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לדידם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בקלנסוואה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;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;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ולעובדה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'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>
          <w:rFonts w:cs="Miriam"/>
          <w:b/>
          <w:highlight w:val="yellow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15.1.2018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',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Miriam"/>
          <w:b/>
          <w:sz w:val="22"/>
          <w:highlight w:val="yellow"/>
        </w:rPr>
      </w:pPr>
      <w:r>
        <w:rPr>
          <w:rFonts w:cs="Miriam"/>
          <w:b/>
          <w:sz w:val="22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2684/16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26.10.2017</w:t>
      </w:r>
      <w:r>
        <w:rPr>
          <w:sz w:val="28"/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הנדון דידן אינו בא בגדרם של אותם עניינים חריגים</w:t>
      </w:r>
      <w:r>
        <w:rPr>
          <w:rFonts w:cs="Times New Roman" w:ascii="Times New Roman" w:hAnsi="Times New Roman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שותפיהם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הפיתוי</w:t>
      </w:r>
      <w:r>
        <w:rPr>
          <w:rtl w:val="true"/>
        </w:rPr>
        <w:t xml:space="preserve">'; </w:t>
      </w:r>
      <w:r>
        <w:rPr>
          <w:rtl w:val="true"/>
        </w:rPr>
        <w:t>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; </w:t>
      </w:r>
      <w:r>
        <w:rPr>
          <w:rtl w:val="true"/>
        </w:rPr>
        <w:t>נטעה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</w:t>
      </w:r>
      <w:r>
        <w:rPr>
          <w:rtl w:val="true"/>
        </w:rPr>
        <w:t xml:space="preserve">;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תסרוקתה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שסופה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אידריס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6980/15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ומעה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18.4.2016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7997/15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פאהום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1.10.2017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תמשיך לילך במסלול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ותנצל את תקופת המאסר על מנת ללמוד ולהשתקם – לטובתה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למען בנה ולתועלת החברה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ואינו מבחן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טכני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פורמלי</w:t>
      </w:r>
      <w:r>
        <w:rPr>
          <w:rFonts w:cs="Times New Roman" w:ascii="Times New Roman" w:hAnsi="Times New Roman"/>
          <w:rtl w:val="true"/>
        </w:rPr>
        <w:t xml:space="preserve">'. </w:t>
      </w:r>
      <w:r>
        <w:rPr>
          <w:rFonts w:ascii="Times New Roman" w:hAnsi="Times New Roman" w:cs="Times New Roman"/>
          <w:rtl w:val="true"/>
        </w:rPr>
        <w:t>העיקר אינו במילות החוק היבש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בבחינת השאלה האם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שבעטייה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הורשע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מקיימת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גוטמן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בהתנהגות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האסיר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בכינויה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בַּתּוֹךְ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בקליפה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3315/04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שטרית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6420/10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סלסנר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 (</w:t>
      </w:r>
      <w:r>
        <w:rPr/>
        <w:t>23.8.2011</w:t>
      </w:r>
      <w:r>
        <w:rPr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53934-07-10</w:t>
        </w:r>
      </w:hyperlink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בנתיב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תחבורה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גניבת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רכב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סיוע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זו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נהיגה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פסילה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[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'].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',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.  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19</w:t>
      </w:r>
      <w:r>
        <w:rPr>
          <w:sz w:val="22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לחברַי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/>
          <w:sz w:val="28"/>
          <w:sz w:val="28"/>
          <w:u w:val="single"/>
          <w:rtl w:val="true"/>
        </w:rPr>
        <w:t>השופטת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ע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ברון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י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אלרון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1.3.2018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08-9787377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08-9787336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17054320</w:t>
      </w:r>
      <w:r>
        <w:rPr>
          <w:sz w:val="16"/>
          <w:rtl w:val="true"/>
        </w:rPr>
        <w:t>_</w:t>
      </w:r>
      <w:r>
        <w:rPr>
          <w:sz w:val="16"/>
        </w:rPr>
        <w:t>O03.doc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54678313-5432/17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5432/17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אלאא קשוע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652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77" TargetMode="External"/><Relationship Id="rId7" Type="http://schemas.openxmlformats.org/officeDocument/2006/relationships/hyperlink" Target="http://www.nevo.co.il/law/70301/381.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20465298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1.c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377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case/20465299" TargetMode="External"/><Relationship Id="rId18" Type="http://schemas.openxmlformats.org/officeDocument/2006/relationships/hyperlink" Target="http://www.nevo.co.il/case/5875466" TargetMode="External"/><Relationship Id="rId19" Type="http://schemas.openxmlformats.org/officeDocument/2006/relationships/hyperlink" Target="http://www.nevo.co.il/case/22303085" TargetMode="External"/><Relationship Id="rId20" Type="http://schemas.openxmlformats.org/officeDocument/2006/relationships/hyperlink" Target="http://www.nevo.co.il/case/21506839" TargetMode="External"/><Relationship Id="rId21" Type="http://schemas.openxmlformats.org/officeDocument/2006/relationships/hyperlink" Target="http://www.nevo.co.il/case/5580874" TargetMode="External"/><Relationship Id="rId22" Type="http://schemas.openxmlformats.org/officeDocument/2006/relationships/hyperlink" Target="http://www.nevo.co.il/case/20642756" TargetMode="External"/><Relationship Id="rId23" Type="http://schemas.openxmlformats.org/officeDocument/2006/relationships/hyperlink" Target="http://www.nevo.co.il/case/20683481" TargetMode="External"/><Relationship Id="rId24" Type="http://schemas.openxmlformats.org/officeDocument/2006/relationships/hyperlink" Target="http://www.nevo.co.il/case/5796872" TargetMode="External"/><Relationship Id="rId25" Type="http://schemas.openxmlformats.org/officeDocument/2006/relationships/hyperlink" Target="http://www.nevo.co.il/case/5888111" TargetMode="External"/><Relationship Id="rId26" Type="http://schemas.openxmlformats.org/officeDocument/2006/relationships/hyperlink" Target="http://www.nevo.co.il/case/6065628" TargetMode="External"/><Relationship Id="rId27" Type="http://schemas.openxmlformats.org/officeDocument/2006/relationships/hyperlink" Target="http://www.nevo.co.il/case/5601857" TargetMode="External"/><Relationship Id="rId28" Type="http://schemas.openxmlformats.org/officeDocument/2006/relationships/hyperlink" Target="http://www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2018-01-25T13:22:00Z</dcterms:created>
  <dc:creator> </dc:creator>
  <dc:description/>
  <cp:keywords/>
  <dc:language>en-IL</dc:language>
  <cp:lastModifiedBy>orly</cp:lastModifiedBy>
  <cp:lastPrinted>2018-01-21T10:21:00Z</cp:lastPrinted>
  <dcterms:modified xsi:type="dcterms:W3CDTF">2018-01-25T13:22:00Z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אלאא קשוע;עמאד נסאסרה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20465298:2;20465299;5875466;22303085;21506839;5580874;20642756;20683481;5796872;5888111;6065628;5601857</vt:lpwstr>
  </property>
  <property fmtid="{D5CDD505-2E9C-101B-9397-08002B2CF9AE}" pid="9" name="CITY">
    <vt:lpwstr/>
  </property>
  <property fmtid="{D5CDD505-2E9C-101B-9397-08002B2CF9AE}" pid="10" name="DATE">
    <vt:lpwstr>20180124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ברון;י' אלרון</vt:lpwstr>
  </property>
  <property fmtid="{D5CDD505-2E9C-101B-9397-08002B2CF9AE}" pid="14" name="LAWLISTTMP1">
    <vt:lpwstr>70301/029:3;244:2;377:2;381.c:2;499.a.1:2</vt:lpwstr>
  </property>
  <property fmtid="{D5CDD505-2E9C-101B-9397-08002B2CF9AE}" pid="15" name="LAWYER">
    <vt:lpwstr>עילית מידן;שאדי ה.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הפעלת מאסר על תנאי</vt:lpwstr>
  </property>
  <property fmtid="{D5CDD505-2E9C-101B-9397-08002B2CF9AE}" pid="52" name="NOSE34">
    <vt:lpwstr>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8982;8994;8977;14985</vt:lpwstr>
  </property>
  <property fmtid="{D5CDD505-2E9C-101B-9397-08002B2CF9AE}" pid="59" name="PADIDATE">
    <vt:lpwstr>20180125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5432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410120180124</vt:lpwstr>
  </property>
  <property fmtid="{D5CDD505-2E9C-101B-9397-08002B2CF9AE}" pid="69" name="TYPE_N_DATE">
    <vt:lpwstr>41020180124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