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5432/20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מהדי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גיהאד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קבהא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tl w:val="true"/>
              </w:rPr>
              <w:t>-</w:t>
            </w:r>
            <w:r>
              <w:rPr/>
              <w:t>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אח</w:t>
            </w:r>
            <w:r>
              <w:rPr>
                <w:rtl w:val="true"/>
              </w:rPr>
              <w:t>'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המשיבים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18410-04-19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18.06.2020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פורת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02.12.2020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9"/>
        <w:gridCol w:w="5144"/>
      </w:tblGrid>
      <w:tr>
        <w:trPr/>
        <w:tc>
          <w:tcPr>
            <w:tcW w:w="3219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המערערים</w:t>
            </w:r>
            <w:r>
              <w:rPr>
                <w:rtl w:val="true"/>
              </w:rPr>
              <w:t>:</w:t>
            </w:r>
          </w:p>
        </w:tc>
        <w:tc>
          <w:tcPr>
            <w:tcW w:w="514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נירה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שגב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חליל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ביאדי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3"/>
        <w:gridCol w:w="5150"/>
      </w:tblGrid>
      <w:tr>
        <w:trPr/>
        <w:tc>
          <w:tcPr>
            <w:tcW w:w="321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לינור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אוליאל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  <w:u w:val="none"/>
          </w:rPr>
          <w:t>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  <w:u w:val="none"/>
          </w:rPr>
          <w:t>329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  <w:u w:val="none"/>
          </w:rPr>
          <w:t>333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sz w:val="24"/>
            <w:u w:val="none"/>
          </w:rPr>
          <w:t>335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" w:ascii="FrankRuehl" w:hAnsi="FrankRuehl"/>
            <w:sz w:val="24"/>
            <w:u w:val="none"/>
          </w:rPr>
          <w:t>452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11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]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sz w:val="24"/>
            <w:u w:val="none"/>
          </w:rPr>
          <w:t>62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sz w:val="24"/>
            <w:u w:val="none"/>
          </w:rPr>
          <w:t>67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5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פקודת ביטוח רכב מנועי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1970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6">
        <w:r>
          <w:rPr>
            <w:rStyle w:val="Hyperlink"/>
            <w:rFonts w:cs="FrankRuehl" w:ascii="FrankRuehl" w:hAnsi="FrankRuehl"/>
            <w:sz w:val="24"/>
            <w:u w:val="none"/>
          </w:rPr>
          <w:t>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17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1952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19">
        <w:r>
          <w:rPr>
            <w:rStyle w:val="Hyperlink"/>
            <w:rFonts w:cs="FrankRuehl" w:ascii="FrankRuehl" w:hAnsi="FrankRuehl"/>
            <w:sz w:val="24"/>
            <w:u w:val="none"/>
          </w:rPr>
          <w:t>12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ג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>)(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24"/>
        </w:rPr>
      </w:pPr>
      <w:r>
        <w:rPr>
          <w:rFonts w:cs="FrankRuehl" w:ascii="FrankRuehl" w:hAnsi="FrankRuehl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ונוטלות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37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ועוד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שצורף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4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32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. 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שעניינן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באיומיהם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גרימת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ורכוש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ותקיפתו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הושחתו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פניו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כידוע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בבוֹאה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כאמור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לנוכח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לתוצאותיהם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המצדיקה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המסכת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מגוללת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השתלשלות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ואלימה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איימו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הסבו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נזק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לרכושם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רדפו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פגעו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בגופו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והותירו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ישמש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קין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למען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יידעו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העז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להתעמת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נטלו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לידיהם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וביקשו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הרס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משפחתו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לחומרה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בהתנהלות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ובריונית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חבורות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עבריינים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הפוגעות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הבסיסית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ונוטלות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לידיהן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ומרתיעה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כגון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בתקווה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למנוע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הישנותם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הולמים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עימם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בהתייחס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סולחה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שנערך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יודעים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מקבלים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תוקף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הסכמתם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שלילת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זכות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בהסכם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הפיצויים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לטובת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המתלונן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בתשלומים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גבייתו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קנס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לפנינו ערעור על גזר דינו של בית המשפט המחוזי בחיפה </w:t>
      </w:r>
      <w:r>
        <w:rPr>
          <w:rtl w:val="true"/>
        </w:rPr>
        <w:t>(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פורת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hyperlink r:id="rId20"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ת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sz w:val="22"/>
            <w:sz w:val="22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sz w:val="22"/>
            <w:u w:val="single"/>
          </w:rPr>
          <w:t>18410-04-19</w:t>
        </w:r>
      </w:hyperlink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18.6.2020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בגדרו נגזרו על המערערים עונשי מאסר בפועל</w:t>
      </w:r>
      <w:r>
        <w:rPr>
          <w:rFonts w:cs="Century" w:ascii="Century" w:hAnsi="Century"/>
          <w:sz w:val="22"/>
          <w:rtl w:val="true"/>
        </w:rPr>
        <w:t xml:space="preserve">. </w:t>
      </w:r>
      <w:r>
        <w:rPr>
          <w:rFonts w:ascii="Century" w:hAnsi="Century" w:cs="Century"/>
          <w:sz w:val="22"/>
          <w:sz w:val="22"/>
          <w:rtl w:val="true"/>
        </w:rPr>
        <w:t>זאת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בגין הרשעתם בשורת עבירות שעניינן בין היתר באיומיהם על המתלונן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גרימת נזק לרכושו ורכוש משפחתו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 xml:space="preserve">ותקיפתו </w:t>
      </w:r>
      <w:r>
        <w:rPr>
          <w:rFonts w:ascii="FrankRuehl" w:hAnsi="FrankRuehl" w:cs="FrankRuehl"/>
          <w:sz w:val="22"/>
          <w:sz w:val="22"/>
          <w:rtl w:val="true"/>
        </w:rPr>
        <w:t>–</w:t>
      </w:r>
      <w:r>
        <w:rPr>
          <w:rFonts w:ascii="Century" w:hAnsi="Century" w:cs="Century"/>
          <w:sz w:val="22"/>
          <w:sz w:val="22"/>
          <w:rtl w:val="true"/>
        </w:rPr>
        <w:t xml:space="preserve"> אשר במהלכה הושחתו פניו</w:t>
      </w:r>
      <w:r>
        <w:rPr>
          <w:rFonts w:cs="Century" w:ascii="Century" w:hAnsi="Century"/>
          <w:sz w:val="22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הצריכות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לעניין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המפורט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23.3.2019</w:t>
      </w:r>
      <w:r>
        <w:rPr>
          <w:rtl w:val="true"/>
        </w:rPr>
        <w:t xml:space="preserve"> </w:t>
      </w:r>
      <w:r>
        <w:rPr>
          <w:rtl w:val="true"/>
        </w:rPr>
        <w:t xml:space="preserve">נסע 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ברכבו בסמוך לחנות אשר בבעלות אחיו של המתלונן ולחנות גיסו</w:t>
      </w:r>
      <w:r>
        <w:rPr>
          <w:rtl w:val="true"/>
        </w:rPr>
        <w:t xml:space="preserve">, </w:t>
      </w:r>
      <w:r>
        <w:rPr>
          <w:rtl w:val="true"/>
        </w:rPr>
        <w:t>קילל את האח</w:t>
      </w:r>
      <w:r>
        <w:rPr>
          <w:rtl w:val="true"/>
        </w:rPr>
        <w:t xml:space="preserve">, </w:t>
      </w:r>
      <w:r>
        <w:rPr>
          <w:rtl w:val="true"/>
        </w:rPr>
        <w:t>ואיים עליו כי הוא ואחרים ישובו למקום ויגרמו נזק לחנותו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חרף החלטת בית משפט השלום בחדרה מיום </w:t>
      </w:r>
      <w:r>
        <w:rPr/>
        <w:t>9.12.2018</w:t>
      </w:r>
      <w:r>
        <w:rPr>
          <w:rtl w:val="true"/>
        </w:rPr>
        <w:t xml:space="preserve">, </w:t>
      </w:r>
      <w:r>
        <w:rPr>
          <w:rtl w:val="true"/>
        </w:rPr>
        <w:t xml:space="preserve">בגדרה אסר על בני המשפחות </w:t>
      </w:r>
      <w:r>
        <w:rPr>
          <w:rtl w:val="true"/>
        </w:rPr>
        <w:t>"</w:t>
      </w:r>
      <w:r>
        <w:rPr>
          <w:rtl w:val="true"/>
        </w:rPr>
        <w:t>ליצור כל קשר בעל תוכן מאיים</w:t>
      </w:r>
      <w:r>
        <w:rPr>
          <w:rtl w:val="true"/>
        </w:rPr>
        <w:t xml:space="preserve">" </w:t>
      </w:r>
      <w:r>
        <w:rPr>
          <w:rtl w:val="true"/>
        </w:rPr>
        <w:t>ביניהן</w:t>
      </w:r>
      <w:r>
        <w:rPr>
          <w:rtl w:val="true"/>
        </w:rPr>
        <w:t xml:space="preserve">, </w:t>
      </w:r>
      <w:r>
        <w:rPr>
          <w:rtl w:val="true"/>
        </w:rPr>
        <w:t>לשון כתב האישום המתוקן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ומלוּוים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נזק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הבחין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להוציאו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בעקבותיו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במנוסתו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לרחוב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להיחלץ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חמושים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ובסכין</w:t>
      </w:r>
      <w:r>
        <w:rPr>
          <w:rtl w:val="true"/>
        </w:rPr>
        <w:t xml:space="preserve">,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לוחית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זיהוי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מזויפת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מכבר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לצמיתות</w:t>
      </w:r>
      <w:r>
        <w:rPr>
          <w:rtl w:val="true"/>
        </w:rPr>
        <w:t xml:space="preserve">, </w:t>
      </w:r>
      <w:r>
        <w:rPr>
          <w:rtl w:val="true"/>
        </w:rPr>
        <w:t>התנגש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ובעוצמה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לעצור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ממנוסתו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מרכבם</w:t>
      </w:r>
      <w:r>
        <w:rPr>
          <w:rtl w:val="true"/>
        </w:rPr>
        <w:t xml:space="preserve">,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נפשו</w:t>
      </w:r>
      <w:r>
        <w:rPr>
          <w:rtl w:val="true"/>
        </w:rPr>
        <w:t xml:space="preserve">, </w:t>
      </w:r>
      <w:r>
        <w:rPr>
          <w:rtl w:val="true"/>
        </w:rPr>
        <w:t>ויחד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הצטרף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, </w:t>
      </w:r>
      <w:r>
        <w:rPr>
          <w:rtl w:val="true"/>
        </w:rPr>
        <w:t>היכו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ובאגרופים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תחינותיו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יניחו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שלף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התקרב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למותו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החזי</w:t>
      </w:r>
      <w:r>
        <w:rPr>
          <w:rtl w:val="true"/>
        </w:rPr>
        <w:t>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וחתכם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לאורכם</w:t>
      </w:r>
      <w:r>
        <w:rPr>
          <w:rtl w:val="true"/>
        </w:rPr>
        <w:t xml:space="preserve">, </w:t>
      </w:r>
      <w:r>
        <w:rPr>
          <w:rtl w:val="true"/>
        </w:rPr>
        <w:t>ממצחו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אוזנו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השמאלית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tl w:val="true"/>
        </w:rPr>
        <w:t>: "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בשביל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שתהיה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צלקת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החיים</w:t>
      </w:r>
      <w:r>
        <w:rPr>
          <w:rtl w:val="true"/>
        </w:rPr>
        <w:t xml:space="preserve">, </w:t>
      </w:r>
      <w:r>
        <w:rPr>
          <w:rtl w:val="true"/>
        </w:rPr>
        <w:t>שתזכור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ארצה</w:t>
      </w:r>
      <w:r>
        <w:rPr>
          <w:rtl w:val="true"/>
        </w:rPr>
        <w:t xml:space="preserve">,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, </w:t>
      </w:r>
      <w:r>
        <w:rPr>
          <w:rtl w:val="true"/>
        </w:rPr>
        <w:t>וחתכו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והגב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הפטיר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tl w:val="true"/>
        </w:rPr>
        <w:t>: "</w:t>
      </w:r>
      <w:r>
        <w:rPr>
          <w:rtl w:val="true"/>
        </w:rPr>
        <w:t>תמות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מניאק</w:t>
      </w:r>
      <w:r>
        <w:rPr>
          <w:rtl w:val="true"/>
        </w:rPr>
        <w:t xml:space="preserve">, </w:t>
      </w:r>
      <w:r>
        <w:rPr>
          <w:rtl w:val="true"/>
        </w:rPr>
        <w:t>מפה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נמלטו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רגלית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מחבלות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1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452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נוסף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כך</w:t>
      </w:r>
      <w:r>
        <w:rPr>
          <w:rFonts w:cs="Century" w:ascii="Century" w:hAnsi="Century"/>
          <w:rtl w:val="true"/>
        </w:rPr>
        <w:t>,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333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</w:rPr>
          <w:t>335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יוחסה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1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כמו כן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Century"/>
          <w:rtl w:val="true"/>
        </w:rPr>
        <w:t>יוחס</w:t>
      </w:r>
      <w:r>
        <w:rPr>
          <w:rFonts w:ascii="Century" w:hAnsi="Century" w:cs="Century"/>
          <w:rtl w:val="true"/>
        </w:rPr>
        <w:t>ו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עביר</w:t>
      </w:r>
      <w:r>
        <w:rPr>
          <w:rFonts w:ascii="Century" w:hAnsi="Century" w:cs="Century"/>
          <w:rtl w:val="true"/>
        </w:rPr>
        <w:t>ו</w:t>
      </w:r>
      <w:r>
        <w:rPr>
          <w:rtl w:val="true"/>
        </w:rPr>
        <w:t>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פסילה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67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התעבורה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>]</w:t>
      </w:r>
      <w:r>
        <w:rPr>
          <w:rtl w:val="true"/>
        </w:rPr>
        <w:t xml:space="preserve">; </w:t>
      </w:r>
      <w:r>
        <w:rPr>
          <w:rtl w:val="true"/>
        </w:rPr>
        <w:t>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בתוקף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5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6">
        <w:r>
          <w:rPr>
            <w:rStyle w:val="Hyperlink"/>
          </w:rPr>
          <w:t>62</w:t>
        </w:r>
      </w:hyperlink>
      <w:r>
        <w:rPr>
          <w:rtl w:val="true"/>
        </w:rPr>
        <w:t xml:space="preserve"> </w:t>
      </w:r>
      <w:r>
        <w:rPr>
          <w:rtl w:val="true"/>
        </w:rPr>
        <w:t>לפקודה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; </w:t>
      </w:r>
      <w:r>
        <w:rPr>
          <w:rtl w:val="true"/>
        </w:rPr>
        <w:t>ונהיגה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פוליסת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תוקף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ביטוח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רכב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מנועי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</w:t>
      </w:r>
      <w:r>
        <w:rPr>
          <w:rtl w:val="true"/>
        </w:rPr>
        <w:t>תש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1970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ההליך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המחוזי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5.4.2020</w:t>
      </w:r>
      <w:r>
        <w:rPr>
          <w:rtl w:val="true"/>
        </w:rPr>
        <w:t xml:space="preserve"> </w:t>
      </w:r>
      <w:r>
        <w:rPr>
          <w:rtl w:val="true"/>
        </w:rPr>
        <w:t>הורשעו המערערים</w:t>
      </w:r>
      <w:r>
        <w:rPr>
          <w:rtl w:val="true"/>
        </w:rPr>
        <w:t xml:space="preserve">, </w:t>
      </w:r>
      <w:r>
        <w:rPr>
          <w:rtl w:val="true"/>
        </w:rPr>
        <w:t>על פי הודאתם במסגרת הסדר טיעון</w:t>
      </w:r>
      <w:r>
        <w:rPr>
          <w:rtl w:val="true"/>
        </w:rPr>
        <w:t xml:space="preserve">, </w:t>
      </w:r>
      <w:r>
        <w:rPr>
          <w:rtl w:val="true"/>
        </w:rPr>
        <w:t>בעבירות אשר יוחסו להם בכתב האישום המתוקן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לבקשת המערער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צורף לגזר דינו תיק נוסף </w:t>
      </w:r>
      <w:r>
        <w:rPr>
          <w:rtl w:val="true"/>
        </w:rPr>
        <w:t>(</w:t>
      </w:r>
      <w:hyperlink r:id="rId3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שלום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חד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2037-05-18</w:t>
        </w:r>
      </w:hyperlink>
      <w:r>
        <w:rPr>
          <w:rtl w:val="true"/>
        </w:rPr>
        <w:t xml:space="preserve">)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שבו הורשע על פי הודאתו בעבירה של הסעת תושבים זרים שלא כדין 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הכניסה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לישראל</w:t>
        </w:r>
      </w:hyperlink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תשי</w:t>
      </w:r>
      <w:r>
        <w:rPr>
          <w:rtl w:val="true"/>
        </w:rPr>
        <w:t>"</w:t>
      </w:r>
      <w:r>
        <w:rPr>
          <w:rtl w:val="true"/>
        </w:rPr>
        <w:t>ב</w:t>
      </w:r>
      <w:r>
        <w:rPr>
          <w:rFonts w:ascii="FrankRuehl" w:hAnsi="FrankRuehl" w:cs="FrankRuehl"/>
          <w:rtl w:val="true"/>
        </w:rPr>
        <w:t>–</w:t>
      </w:r>
      <w:r>
        <w:rPr/>
        <w:t>1952</w:t>
      </w:r>
      <w:r>
        <w:rPr>
          <w:rtl w:val="true"/>
        </w:rPr>
        <w:t xml:space="preserve">, </w:t>
      </w:r>
      <w:r>
        <w:rPr>
          <w:rtl w:val="true"/>
        </w:rPr>
        <w:t xml:space="preserve">בנסיבות </w:t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חוק</w:t>
      </w:r>
      <w:r>
        <w:rPr>
          <w:rtl w:val="true"/>
        </w:rPr>
        <w:t xml:space="preserve"> </w:t>
      </w:r>
      <w:r>
        <w:rPr>
          <w:rtl w:val="true"/>
        </w:rPr>
        <w:t xml:space="preserve">זה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התיק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המצורף</w:t>
      </w:r>
      <w:r>
        <w:rPr>
          <w:rtl w:val="true"/>
        </w:rPr>
        <w:t xml:space="preserve">).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בגזר דינו מיום </w:t>
      </w:r>
      <w:r>
        <w:rPr/>
        <w:t>18.6.2020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על חומרת מעשיהם של המערערים</w:t>
      </w:r>
      <w:r>
        <w:rPr>
          <w:rtl w:val="true"/>
        </w:rPr>
        <w:t xml:space="preserve">, </w:t>
      </w:r>
      <w:r>
        <w:rPr>
          <w:rtl w:val="true"/>
        </w:rPr>
        <w:t>אשר פגעו בערכים שעניינם בהגנה על בריאות הגוף ושלמותו</w:t>
      </w:r>
      <w:r>
        <w:rPr>
          <w:rtl w:val="true"/>
        </w:rPr>
        <w:t xml:space="preserve">, </w:t>
      </w:r>
      <w:r>
        <w:rPr>
          <w:rtl w:val="true"/>
        </w:rPr>
        <w:t>ובהגנה על הרכוש</w:t>
      </w:r>
      <w:r>
        <w:rPr>
          <w:rtl w:val="true"/>
        </w:rPr>
        <w:t xml:space="preserve">, </w:t>
      </w:r>
      <w:r>
        <w:rPr>
          <w:rtl w:val="true"/>
        </w:rPr>
        <w:t>וקבע כי הפגיעה בערכים אלו היתה גבוהה לנוכח חומרת העבירות ותוצאותיהן הקשות</w:t>
      </w:r>
      <w:r>
        <w:rPr>
          <w:rtl w:val="true"/>
        </w:rPr>
        <w:t xml:space="preserve">. </w:t>
      </w:r>
      <w:r>
        <w:rPr>
          <w:rtl w:val="true"/>
        </w:rPr>
        <w:t>בהקשר זה צוין כי כעולה מתסקיר נפגע העבירה</w:t>
      </w:r>
      <w:r>
        <w:rPr>
          <w:rtl w:val="true"/>
        </w:rPr>
        <w:t xml:space="preserve">, </w:t>
      </w:r>
      <w:r>
        <w:rPr>
          <w:rtl w:val="true"/>
        </w:rPr>
        <w:t>נגרמו למתלונן נזקים קשים במישור הפיזי</w:t>
      </w:r>
      <w:r>
        <w:rPr>
          <w:rtl w:val="true"/>
        </w:rPr>
        <w:t xml:space="preserve">, </w:t>
      </w:r>
      <w:r>
        <w:rPr>
          <w:rtl w:val="true"/>
        </w:rPr>
        <w:t>הנפשי והכלכלי</w:t>
      </w:r>
      <w:r>
        <w:rPr>
          <w:rtl w:val="true"/>
        </w:rPr>
        <w:t xml:space="preserve">, </w:t>
      </w:r>
      <w:r>
        <w:rPr>
          <w:rtl w:val="true"/>
        </w:rPr>
        <w:t>שעמם ייאלץ להתמודד במשך שנים ארוכות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spacing w:val="8"/>
          <w:rtl w:val="true"/>
        </w:rPr>
        <w:tab/>
      </w:r>
      <w:r>
        <w:rPr>
          <w:spacing w:val="8"/>
          <w:rtl w:val="true"/>
        </w:rPr>
        <w:t>בהתאם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למדיניות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הענישה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הנוהגת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לנוכח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הרשעתו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1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בעבירה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חבלה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בכוונה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מחמירה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ובשים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לחלקו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הדומיננטי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בתקיפה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ובאיומים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חיי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נקבע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בעניינו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מתחם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6</w:t>
      </w:r>
      <w:r>
        <w:rPr>
          <w:rFonts w:cs="FrankRuehl" w:ascii="FrankRuehl" w:hAnsi="FrankRuehl"/>
          <w:spacing w:val="8"/>
          <w:rtl w:val="true"/>
        </w:rPr>
        <w:t>–</w:t>
      </w:r>
      <w:r>
        <w:rPr>
          <w:spacing w:val="8"/>
        </w:rPr>
        <w:t>9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שנות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בפועל</w:t>
      </w:r>
      <w:r>
        <w:rPr>
          <w:spacing w:val="8"/>
          <w:rtl w:val="true"/>
        </w:rPr>
        <w:t xml:space="preserve">; </w:t>
      </w:r>
      <w:r>
        <w:rPr>
          <w:spacing w:val="8"/>
          <w:rtl w:val="true"/>
        </w:rPr>
        <w:t>למערער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2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יחד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3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החזיק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בעת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שהתבצע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חתך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בפניו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ונהג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ברכב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על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אף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שרישיונו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נשלל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לצמיתות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rFonts w:ascii="FrankRuehl" w:hAnsi="FrankRuehl"/>
          <w:spacing w:val="8"/>
          <w:rtl w:val="true"/>
        </w:rPr>
        <w:t>–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נקבע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מתחם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40</w:t>
      </w:r>
      <w:r>
        <w:rPr>
          <w:rFonts w:cs="FrankRuehl" w:ascii="FrankRuehl" w:hAnsi="FrankRuehl"/>
          <w:spacing w:val="8"/>
          <w:rtl w:val="true"/>
        </w:rPr>
        <w:t>–</w:t>
      </w:r>
      <w:r>
        <w:rPr>
          <w:spacing w:val="8"/>
        </w:rPr>
        <w:t>72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חודשי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בפועל</w:t>
      </w:r>
      <w:r>
        <w:rPr>
          <w:spacing w:val="8"/>
          <w:rtl w:val="true"/>
        </w:rPr>
        <w:t xml:space="preserve">; </w:t>
      </w:r>
      <w:r>
        <w:rPr>
          <w:spacing w:val="8"/>
          <w:rtl w:val="true"/>
        </w:rPr>
        <w:t>למערער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3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נקבע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מתחם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35</w:t>
      </w:r>
      <w:r>
        <w:rPr>
          <w:rFonts w:cs="FrankRuehl" w:ascii="FrankRuehl" w:hAnsi="FrankRuehl"/>
          <w:spacing w:val="8"/>
          <w:rtl w:val="true"/>
        </w:rPr>
        <w:t>–</w:t>
      </w:r>
      <w:r>
        <w:rPr>
          <w:spacing w:val="8"/>
        </w:rPr>
        <w:t>70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חודשי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בפועל</w:t>
      </w:r>
      <w:r>
        <w:rPr>
          <w:spacing w:val="8"/>
          <w:rtl w:val="true"/>
        </w:rPr>
        <w:t xml:space="preserve">; </w:t>
      </w:r>
      <w:r>
        <w:rPr>
          <w:spacing w:val="8"/>
          <w:rtl w:val="true"/>
        </w:rPr>
        <w:t>ואילו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למערער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4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אשר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לא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נטל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חלק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פעיל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</w:t>
      </w:r>
      <w:r>
        <w:rPr>
          <w:spacing w:val="8"/>
          <w:rtl w:val="true"/>
        </w:rPr>
        <w:t>השחתת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פניו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המתלונן</w:t>
      </w:r>
      <w:r>
        <w:rPr>
          <w:spacing w:val="8"/>
          <w:rtl w:val="true"/>
        </w:rPr>
        <w:t xml:space="preserve">, </w:t>
      </w:r>
      <w:r>
        <w:rPr>
          <w:spacing w:val="8"/>
          <w:rtl w:val="true"/>
        </w:rPr>
        <w:t>נקבע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מתחם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של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</w:rPr>
        <w:t>30</w:t>
      </w:r>
      <w:r>
        <w:rPr>
          <w:rFonts w:cs="FrankRuehl" w:ascii="FrankRuehl" w:hAnsi="FrankRuehl"/>
          <w:spacing w:val="8"/>
          <w:rtl w:val="true"/>
        </w:rPr>
        <w:t>–</w:t>
      </w:r>
      <w:r>
        <w:rPr>
          <w:spacing w:val="8"/>
        </w:rPr>
        <w:t>70</w:t>
      </w:r>
      <w:r>
        <w:rPr>
          <w:spacing w:val="8"/>
          <w:rtl w:val="true"/>
        </w:rPr>
        <w:t xml:space="preserve"> </w:t>
      </w:r>
      <w:r>
        <w:rPr>
          <w:spacing w:val="8"/>
          <w:rtl w:val="true"/>
        </w:rPr>
        <w:t>חודשי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מאסר</w:t>
      </w:r>
      <w:r>
        <w:rPr>
          <w:rFonts w:eastAsia="Arial TUR;Arial" w:cs="Arial TUR;Arial"/>
          <w:spacing w:val="8"/>
          <w:rtl w:val="true"/>
        </w:rPr>
        <w:t xml:space="preserve"> </w:t>
      </w:r>
      <w:r>
        <w:rPr>
          <w:spacing w:val="8"/>
          <w:rtl w:val="true"/>
        </w:rPr>
        <w:t>בפועל</w:t>
      </w:r>
      <w:r>
        <w:rPr>
          <w:spacing w:val="8"/>
          <w:rtl w:val="true"/>
        </w:rPr>
        <w:t>.</w:t>
      </w:r>
    </w:p>
    <w:p>
      <w:pPr>
        <w:pStyle w:val="Ruller4"/>
        <w:ind w:end="0"/>
        <w:jc w:val="both"/>
        <w:rPr>
          <w:spacing w:val="8"/>
        </w:rPr>
      </w:pPr>
      <w:r>
        <w:rPr>
          <w:spacing w:val="8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בקביעת עונשיהם בתוך מתחמים אלו</w:t>
      </w:r>
      <w:r>
        <w:rPr>
          <w:rtl w:val="true"/>
        </w:rPr>
        <w:t xml:space="preserve">, </w:t>
      </w:r>
      <w:r>
        <w:rPr>
          <w:rtl w:val="true"/>
        </w:rPr>
        <w:t xml:space="preserve">שקל בית המשפט המחוזי לחומרא את עברו הפלילי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אשר ריצה בעבר עונש של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 מאסר בפועל בגין הרשעתו בעבירות של חבלה חמורה בנסיבות מחמירות</w:t>
      </w:r>
      <w:r>
        <w:rPr>
          <w:rtl w:val="true"/>
        </w:rPr>
        <w:t xml:space="preserve">, </w:t>
      </w:r>
      <w:r>
        <w:rPr>
          <w:rtl w:val="true"/>
        </w:rPr>
        <w:t>ולחובתו אף הרשעה בעבירה של תקיפת שוטר</w:t>
      </w:r>
      <w:r>
        <w:rPr>
          <w:rtl w:val="true"/>
        </w:rPr>
        <w:t xml:space="preserve">; </w:t>
      </w:r>
      <w:r>
        <w:rPr>
          <w:rtl w:val="true"/>
        </w:rPr>
        <w:t xml:space="preserve">ואת עברו התעבורתי של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לא היה בו כדי להרתיעו מביצוע עבירות תעבורה חמורות במהלך האירוע דנן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נשקלה לקולא הודאתם של המערערים במיוחס להם</w:t>
      </w:r>
      <w:r>
        <w:rPr>
          <w:rtl w:val="true"/>
        </w:rPr>
        <w:t xml:space="preserve">, </w:t>
      </w:r>
      <w:r>
        <w:rPr>
          <w:rtl w:val="true"/>
        </w:rPr>
        <w:t>אף שזו נעשתה רק בתום פרשת התביעה</w:t>
      </w:r>
      <w:r>
        <w:rPr>
          <w:rtl w:val="true"/>
        </w:rPr>
        <w:t xml:space="preserve">; </w:t>
      </w:r>
      <w:r>
        <w:rPr>
          <w:rtl w:val="true"/>
        </w:rPr>
        <w:t>היותם הורים לילדים צעירים והמפרנסים העיקריים במשפחותיהם</w:t>
      </w:r>
      <w:r>
        <w:rPr>
          <w:rtl w:val="true"/>
        </w:rPr>
        <w:t xml:space="preserve">; </w:t>
      </w:r>
      <w:r>
        <w:rPr>
          <w:rtl w:val="true"/>
        </w:rPr>
        <w:t xml:space="preserve">ומעצרם של המערערים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באיזוק אלקטרוני למשך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;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3</w:t>
      </w:r>
      <w:r>
        <w:rPr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נלווה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המצורף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ופסילת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;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4</w:t>
      </w:r>
      <w:r>
        <w:rPr>
          <w:rtl w:val="true"/>
        </w:rPr>
        <w:t xml:space="preserve"> </w:t>
      </w:r>
      <w:r>
        <w:rPr>
          <w:rtl w:val="true"/>
        </w:rPr>
        <w:t>נגזרו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ומאסר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עיקרי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שלפנינו מופנה כלפי חומרת עונשי המאסר בפועל שנגזרו על המערערים</w:t>
      </w:r>
      <w:r>
        <w:rPr>
          <w:rtl w:val="true"/>
        </w:rPr>
        <w:t xml:space="preserve">, </w:t>
      </w:r>
      <w:r>
        <w:rPr>
          <w:rtl w:val="true"/>
        </w:rPr>
        <w:t>החורגת לשיטתם באופן קיצוני ממדיניות הענישה המקובלת במקרים דומים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עוד נטען</w:t>
      </w:r>
      <w:r>
        <w:rPr>
          <w:rtl w:val="true"/>
        </w:rPr>
        <w:t xml:space="preserve">, </w:t>
      </w:r>
      <w:r>
        <w:rPr>
          <w:rtl w:val="true"/>
        </w:rPr>
        <w:t>כי בית המשפט המחוזי לא נתן משקל מספיק להודאותיהם</w:t>
      </w:r>
      <w:r>
        <w:rPr>
          <w:rtl w:val="true"/>
        </w:rPr>
        <w:t xml:space="preserve">. </w:t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אומנם הודאותיהם ניתנו בשלב מאוחר בהליך</w:t>
      </w:r>
      <w:r>
        <w:rPr>
          <w:rtl w:val="true"/>
        </w:rPr>
        <w:t xml:space="preserve">, </w:t>
      </w:r>
      <w:r>
        <w:rPr>
          <w:rtl w:val="true"/>
        </w:rPr>
        <w:t xml:space="preserve">אולם </w:t>
      </w:r>
      <w:r>
        <w:rPr>
          <w:rtl w:val="true"/>
        </w:rPr>
        <w:t>"</w:t>
      </w:r>
      <w:r>
        <w:rPr>
          <w:rtl w:val="true"/>
        </w:rPr>
        <w:t>לו כתב האישום היה מוגש מלכתחילה במתכונת המתוקנת היו נחסכים שמיעת המתלוננים ובית המשפט היה חוסך זמן שיפוטי יקר</w:t>
      </w:r>
      <w:r>
        <w:rPr>
          <w:rtl w:val="true"/>
        </w:rPr>
        <w:t xml:space="preserve">", </w:t>
      </w:r>
      <w:r>
        <w:rPr>
          <w:rtl w:val="true"/>
        </w:rPr>
        <w:t>כלשונם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לטענתם</w:t>
      </w:r>
      <w:r>
        <w:rPr>
          <w:rtl w:val="true"/>
        </w:rPr>
        <w:t xml:space="preserve">, </w:t>
      </w:r>
      <w:r>
        <w:rPr>
          <w:rtl w:val="true"/>
        </w:rPr>
        <w:t>משתלונתו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טופלה</w:t>
      </w:r>
      <w:r>
        <w:rPr>
          <w:rtl w:val="true"/>
        </w:rPr>
        <w:t xml:space="preserve">,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נכפה</w:t>
      </w:r>
      <w:r>
        <w:rPr>
          <w:rtl w:val="true"/>
        </w:rPr>
        <w:t xml:space="preserve">" </w:t>
      </w:r>
      <w:r>
        <w:rPr>
          <w:rtl w:val="true"/>
        </w:rPr>
        <w:t>עליהם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לזכותם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1.12.2020</w:t>
      </w:r>
      <w:r>
        <w:rPr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7.10.2020</w:t>
      </w:r>
      <w:r>
        <w:rPr>
          <w:rtl w:val="true"/>
        </w:rPr>
        <w:t xml:space="preserve"> </w:t>
      </w:r>
      <w:r>
        <w:rPr>
          <w:rtl w:val="true"/>
        </w:rPr>
        <w:t>נחתם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.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בעונשיהם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באת כוח המשיבה סמכה ידיה על גזר דינו של בית המשפט המחוזי וביקשה לדחות את הערעור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שמשתקפים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tl w:val="true"/>
        </w:rPr>
        <w:t xml:space="preserve">; </w:t>
      </w:r>
      <w:r>
        <w:rPr>
          <w:rtl w:val="true"/>
        </w:rPr>
        <w:t>ולעברו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לאחר שעיינתי בנימוקי הערעור ובנספחיו</w:t>
      </w:r>
      <w:r>
        <w:rPr>
          <w:rtl w:val="true"/>
        </w:rPr>
        <w:t xml:space="preserve">, </w:t>
      </w:r>
      <w:r>
        <w:rPr>
          <w:rtl w:val="true"/>
        </w:rPr>
        <w:t xml:space="preserve">ושמעתי את טיעוני </w:t>
      </w:r>
      <w:r>
        <w:rPr>
          <w:rtl w:val="true"/>
        </w:rPr>
        <w:t>באות</w:t>
      </w:r>
      <w:r>
        <w:rPr>
          <w:rtl w:val="true"/>
        </w:rPr>
        <w:t xml:space="preserve"> כוח הצדדים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 להידחות</w:t>
      </w:r>
      <w:r>
        <w:rPr>
          <w:rtl w:val="true"/>
        </w:rPr>
        <w:t xml:space="preserve">, </w:t>
      </w:r>
      <w:r>
        <w:rPr>
          <w:rtl w:val="true"/>
        </w:rPr>
        <w:t>וכך אציע לחבריי 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לערכאה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בבוֹאה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6469/19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דקה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בפסקה</w:t>
      </w:r>
      <w:r>
        <w:rPr>
          <w:rFonts w:eastAsia="Arial TUR;Arial" w:cs="Arial TUR;Arial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(</w:t>
      </w:r>
      <w:r>
        <w:rPr/>
        <w:t>27.11.2019</w:t>
      </w:r>
      <w:r>
        <w:rPr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המסכת העובדתית המתוארת בכתב האישום המתוקן</w:t>
      </w:r>
      <w:r>
        <w:rPr>
          <w:rtl w:val="true"/>
        </w:rPr>
        <w:t xml:space="preserve">, </w:t>
      </w:r>
      <w:r>
        <w:rPr>
          <w:rtl w:val="true"/>
        </w:rPr>
        <w:t>שבו הורשעו המערערים</w:t>
      </w:r>
      <w:r>
        <w:rPr>
          <w:rtl w:val="true"/>
        </w:rPr>
        <w:t xml:space="preserve">, </w:t>
      </w:r>
      <w:r>
        <w:rPr>
          <w:rtl w:val="true"/>
        </w:rPr>
        <w:t>מגוללת השתלשלות אירועים חמורה</w:t>
      </w:r>
      <w:r>
        <w:rPr>
          <w:rtl w:val="true"/>
        </w:rPr>
        <w:t xml:space="preserve">, </w:t>
      </w:r>
      <w:r>
        <w:rPr>
          <w:rtl w:val="true"/>
        </w:rPr>
        <w:t>קשה ואלימה</w:t>
      </w:r>
      <w:r>
        <w:rPr>
          <w:rtl w:val="true"/>
        </w:rPr>
        <w:t xml:space="preserve">. </w:t>
      </w:r>
      <w:r>
        <w:rPr>
          <w:rtl w:val="true"/>
        </w:rPr>
        <w:t>המערערים איימו על בני משפחת המתלונן</w:t>
      </w:r>
      <w:r>
        <w:rPr>
          <w:rtl w:val="true"/>
        </w:rPr>
        <w:t xml:space="preserve">, </w:t>
      </w:r>
      <w:r>
        <w:rPr>
          <w:rtl w:val="true"/>
        </w:rPr>
        <w:t>הסבו נזק לרכושם</w:t>
      </w:r>
      <w:r>
        <w:rPr>
          <w:rtl w:val="true"/>
        </w:rPr>
        <w:t xml:space="preserve">, </w:t>
      </w:r>
      <w:r>
        <w:rPr>
          <w:rtl w:val="true"/>
        </w:rPr>
        <w:t>רדפו אחריו</w:t>
      </w:r>
      <w:r>
        <w:rPr>
          <w:rtl w:val="true"/>
        </w:rPr>
        <w:t xml:space="preserve">, </w:t>
      </w:r>
      <w:r>
        <w:rPr>
          <w:rtl w:val="true"/>
        </w:rPr>
        <w:t>פגעו בגופו והותירו מום בפניו</w:t>
      </w:r>
      <w:r>
        <w:rPr>
          <w:rtl w:val="true"/>
        </w:rPr>
        <w:t xml:space="preserve">, </w:t>
      </w:r>
      <w:r>
        <w:rPr>
          <w:rtl w:val="true"/>
        </w:rPr>
        <w:t>אשר ישמש כ</w:t>
      </w:r>
      <w:r>
        <w:rPr>
          <w:rtl w:val="true"/>
        </w:rPr>
        <w:t>"</w:t>
      </w:r>
      <w:r>
        <w:rPr>
          <w:rtl w:val="true"/>
        </w:rPr>
        <w:t>אות קין</w:t>
      </w:r>
      <w:r>
        <w:rPr>
          <w:rtl w:val="true"/>
        </w:rPr>
        <w:t xml:space="preserve">", </w:t>
      </w:r>
      <w:r>
        <w:rPr>
          <w:rtl w:val="true"/>
        </w:rPr>
        <w:t>למען יידעו הכול מה עונשו של מי ש</w:t>
      </w:r>
      <w:r>
        <w:rPr>
          <w:rtl w:val="true"/>
        </w:rPr>
        <w:t>"</w:t>
      </w:r>
      <w:r>
        <w:rPr>
          <w:rtl w:val="true"/>
        </w:rPr>
        <w:t>העז</w:t>
      </w:r>
      <w:r>
        <w:rPr>
          <w:rtl w:val="true"/>
        </w:rPr>
        <w:t xml:space="preserve">" </w:t>
      </w:r>
      <w:r>
        <w:rPr>
          <w:rtl w:val="true"/>
        </w:rPr>
        <w:t>להתעמת עימם</w:t>
      </w:r>
      <w:r>
        <w:rPr>
          <w:rtl w:val="true"/>
        </w:rPr>
        <w:t xml:space="preserve">. </w:t>
      </w:r>
      <w:r>
        <w:rPr>
          <w:rtl w:val="true"/>
        </w:rPr>
        <w:t>תמונות הממחישות את הפגיעה בגופו של המתלונן אף הוצגו לעיוננו בדיון</w:t>
      </w:r>
      <w:r>
        <w:rPr>
          <w:rtl w:val="true"/>
        </w:rPr>
        <w:t xml:space="preserve">, </w:t>
      </w:r>
      <w:r>
        <w:rPr>
          <w:rtl w:val="true"/>
        </w:rPr>
        <w:t>ולא ניתן אלא לתהות הכיצד אירוע כה חמור וברוטאלי התרחש לאור יום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לידיהם</w:t>
      </w:r>
      <w:r>
        <w:rPr>
          <w:rtl w:val="true"/>
        </w:rPr>
        <w:t xml:space="preserve">, </w:t>
      </w:r>
      <w:r>
        <w:rPr>
          <w:rtl w:val="true"/>
        </w:rPr>
        <w:t>וביקשו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אימה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בהתנהלות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הבסיסית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ונוטלות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לידיהן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ומרתיעה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בתקווה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FrankRuehl" w:hAnsi="FrankRuehl"/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בהתייחס להסכם ה</w:t>
      </w:r>
      <w:r>
        <w:rPr>
          <w:rtl w:val="true"/>
        </w:rPr>
        <w:t>"</w:t>
      </w:r>
      <w:r>
        <w:rPr>
          <w:rtl w:val="true"/>
        </w:rPr>
        <w:t>סולחה</w:t>
      </w:r>
      <w:r>
        <w:rPr>
          <w:rtl w:val="true"/>
        </w:rPr>
        <w:t xml:space="preserve">" </w:t>
      </w:r>
      <w:r>
        <w:rPr>
          <w:rtl w:val="true"/>
        </w:rPr>
        <w:t>שנערך בין הצדדים</w:t>
      </w:r>
      <w:r>
        <w:rPr>
          <w:rtl w:val="true"/>
        </w:rPr>
        <w:t xml:space="preserve">, </w:t>
      </w:r>
      <w:r>
        <w:rPr>
          <w:rtl w:val="true"/>
        </w:rPr>
        <w:t>הרי שכפי שציינה באת כוח המשיבה</w:t>
      </w:r>
      <w:r>
        <w:rPr>
          <w:rtl w:val="true"/>
        </w:rPr>
        <w:t xml:space="preserve">, </w:t>
      </w:r>
      <w:r>
        <w:rPr>
          <w:rtl w:val="true"/>
        </w:rPr>
        <w:t>אין אנו יודעים מה עמד מאחורי הסכם זה</w:t>
      </w:r>
      <w:r>
        <w:rPr>
          <w:rtl w:val="true"/>
        </w:rPr>
        <w:t xml:space="preserve">. </w:t>
      </w:r>
      <w:r>
        <w:rPr>
          <w:rtl w:val="true"/>
        </w:rPr>
        <w:t xml:space="preserve">הדברים מקבלים משנה תוקף לאור הסכמתם על </w:t>
      </w:r>
      <w:r>
        <w:rPr>
          <w:rtl w:val="true"/>
        </w:rPr>
        <w:t>"</w:t>
      </w:r>
      <w:r>
        <w:rPr>
          <w:rtl w:val="true"/>
        </w:rPr>
        <w:t>שלילת</w:t>
      </w:r>
      <w:r>
        <w:rPr>
          <w:rtl w:val="true"/>
        </w:rPr>
        <w:t xml:space="preserve">" </w:t>
      </w:r>
      <w:r>
        <w:rPr>
          <w:rtl w:val="true"/>
        </w:rPr>
        <w:t xml:space="preserve">זכותו של המתלונן לפיצויים אשר נפסק כי על המערערים לשלם לו </w:t>
      </w:r>
      <w:r>
        <w:rPr>
          <w:rtl w:val="true"/>
        </w:rPr>
        <w:t>(</w:t>
      </w:r>
      <w:r>
        <w:rPr>
          <w:rtl w:val="true"/>
        </w:rPr>
        <w:t xml:space="preserve">וראו גם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4406/19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סובח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בפסקה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לחוות דעתי </w:t>
      </w:r>
      <w:r>
        <w:rPr>
          <w:rtl w:val="true"/>
        </w:rPr>
        <w:t>(</w:t>
      </w:r>
      <w:r>
        <w:rPr/>
        <w:t>5.11.2019</w:t>
      </w:r>
      <w:r>
        <w:rPr>
          <w:rtl w:val="true"/>
        </w:rPr>
        <w:t xml:space="preserve">)).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שנפסקו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77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אשר על כן</w:t>
      </w:r>
      <w:r>
        <w:rPr>
          <w:rtl w:val="true"/>
        </w:rPr>
        <w:t xml:space="preserve">, </w:t>
      </w:r>
      <w:r>
        <w:rPr>
          <w:rtl w:val="true"/>
        </w:rPr>
        <w:t>אציע לחבריי כי נדחה את הערעור</w:t>
      </w:r>
      <w:r>
        <w:rPr>
          <w:rtl w:val="true"/>
        </w:rPr>
        <w:t xml:space="preserve">, </w:t>
      </w:r>
      <w:r>
        <w:rPr>
          <w:rtl w:val="true"/>
        </w:rPr>
        <w:t>ונותיר את העונשים שנגזרו על המערערים על כנם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הנדל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20.12.2020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20054320</w:t>
      </w:r>
      <w:r>
        <w:rPr>
          <w:sz w:val="16"/>
          <w:rtl w:val="true"/>
        </w:rPr>
        <w:t>_</w:t>
      </w:r>
      <w:r>
        <w:rPr>
          <w:sz w:val="16"/>
        </w:rPr>
        <w:t>J02.docx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הנדל </w:t>
      </w:r>
      <w:r>
        <w:rPr>
          <w:rFonts w:cs="David" w:ascii="David" w:hAnsi="David"/>
          <w:color w:val="000000"/>
          <w:szCs w:val="22"/>
        </w:rPr>
        <w:t>54678313-5432/20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5432/20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מהדי גיהאד קבהא ו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cs="David" w:ascii="David" w:hAnsi="David"/>
        <w:color w:val="000000"/>
        <w:sz w:val="22"/>
        <w:szCs w:val="22"/>
      </w:rPr>
      <w:t>3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אח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5606047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9" TargetMode="External"/><Relationship Id="rId5" Type="http://schemas.openxmlformats.org/officeDocument/2006/relationships/hyperlink" Target="http://www.nevo.co.il/law/70301/77.c" TargetMode="External"/><Relationship Id="rId6" Type="http://schemas.openxmlformats.org/officeDocument/2006/relationships/hyperlink" Target="http://www.nevo.co.il/law/70301/186.a" TargetMode="External"/><Relationship Id="rId7" Type="http://schemas.openxmlformats.org/officeDocument/2006/relationships/hyperlink" Target="http://www.nevo.co.il/law/70301/329.a.1" TargetMode="External"/><Relationship Id="rId8" Type="http://schemas.openxmlformats.org/officeDocument/2006/relationships/hyperlink" Target="http://www.nevo.co.il/law/70301/333" TargetMode="External"/><Relationship Id="rId9" Type="http://schemas.openxmlformats.org/officeDocument/2006/relationships/hyperlink" Target="http://www.nevo.co.il/law/70301/335.a.1.2" TargetMode="External"/><Relationship Id="rId10" Type="http://schemas.openxmlformats.org/officeDocument/2006/relationships/hyperlink" Target="http://www.nevo.co.il/law/70301/452" TargetMode="External"/><Relationship Id="rId11" Type="http://schemas.openxmlformats.org/officeDocument/2006/relationships/hyperlink" Target="http://www.nevo.co.il/law/5227" TargetMode="External"/><Relationship Id="rId12" Type="http://schemas.openxmlformats.org/officeDocument/2006/relationships/hyperlink" Target="http://www.nevo.co.il/law/5227/2" TargetMode="External"/><Relationship Id="rId13" Type="http://schemas.openxmlformats.org/officeDocument/2006/relationships/hyperlink" Target="http://www.nevo.co.il/law/5227/62" TargetMode="External"/><Relationship Id="rId14" Type="http://schemas.openxmlformats.org/officeDocument/2006/relationships/hyperlink" Target="http://www.nevo.co.il/law/5227/67" TargetMode="External"/><Relationship Id="rId15" Type="http://schemas.openxmlformats.org/officeDocument/2006/relationships/hyperlink" Target="http://www.nevo.co.il/law/74501" TargetMode="External"/><Relationship Id="rId16" Type="http://schemas.openxmlformats.org/officeDocument/2006/relationships/hyperlink" Target="http://www.nevo.co.il/law/74501/2.a" TargetMode="External"/><Relationship Id="rId17" Type="http://schemas.openxmlformats.org/officeDocument/2006/relationships/hyperlink" Target="http://www.nevo.co.il/law/90721" TargetMode="External"/><Relationship Id="rId18" Type="http://schemas.openxmlformats.org/officeDocument/2006/relationships/hyperlink" Target="http://www.nevo.co.il/law/90721/12a.c.1" TargetMode="External"/><Relationship Id="rId19" Type="http://schemas.openxmlformats.org/officeDocument/2006/relationships/hyperlink" Target="http://www.nevo.co.il/law/90721/12a.c.1a.b" TargetMode="External"/><Relationship Id="rId20" Type="http://schemas.openxmlformats.org/officeDocument/2006/relationships/hyperlink" Target="http://www.nevo.co.il/case/25606047" TargetMode="External"/><Relationship Id="rId21" Type="http://schemas.openxmlformats.org/officeDocument/2006/relationships/hyperlink" Target="http://www.nevo.co.il/law/70301/186.a" TargetMode="External"/><Relationship Id="rId22" Type="http://schemas.openxmlformats.org/officeDocument/2006/relationships/hyperlink" Target="http://www.nevo.co.il/law/70301/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452" TargetMode="External"/><Relationship Id="rId25" Type="http://schemas.openxmlformats.org/officeDocument/2006/relationships/hyperlink" Target="http://www.nevo.co.il/law/70301/29" TargetMode="External"/><Relationship Id="rId26" Type="http://schemas.openxmlformats.org/officeDocument/2006/relationships/hyperlink" Target="http://www.nevo.co.il/law/70301/333" TargetMode="External"/><Relationship Id="rId27" Type="http://schemas.openxmlformats.org/officeDocument/2006/relationships/hyperlink" Target="http://www.nevo.co.il/law/70301/335.a.1.2" TargetMode="External"/><Relationship Id="rId28" Type="http://schemas.openxmlformats.org/officeDocument/2006/relationships/hyperlink" Target="http://www.nevo.co.il/law/70301/2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29.a.1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5227/67" TargetMode="External"/><Relationship Id="rId33" Type="http://schemas.openxmlformats.org/officeDocument/2006/relationships/hyperlink" Target="http://www.nevo.co.il/law/5227/62" TargetMode="External"/><Relationship Id="rId34" Type="http://schemas.openxmlformats.org/officeDocument/2006/relationships/hyperlink" Target="http://www.nevo.co.il/law/5227" TargetMode="External"/><Relationship Id="rId35" Type="http://schemas.openxmlformats.org/officeDocument/2006/relationships/hyperlink" Target="http://www.nevo.co.il/law/5227/2" TargetMode="External"/><Relationship Id="rId36" Type="http://schemas.openxmlformats.org/officeDocument/2006/relationships/hyperlink" Target="http://www.nevo.co.il/law/5227/62" TargetMode="External"/><Relationship Id="rId37" Type="http://schemas.openxmlformats.org/officeDocument/2006/relationships/hyperlink" Target="http://www.nevo.co.il/law/74501/2.a" TargetMode="External"/><Relationship Id="rId38" Type="http://schemas.openxmlformats.org/officeDocument/2006/relationships/hyperlink" Target="http://www.nevo.co.il/law/74501" TargetMode="External"/><Relationship Id="rId39" Type="http://schemas.openxmlformats.org/officeDocument/2006/relationships/hyperlink" Target="http://www.nevo.co.il/case/24143005" TargetMode="External"/><Relationship Id="rId40" Type="http://schemas.openxmlformats.org/officeDocument/2006/relationships/hyperlink" Target="http://www.nevo.co.il/law/90721/12a.c.1" TargetMode="External"/><Relationship Id="rId41" Type="http://schemas.openxmlformats.org/officeDocument/2006/relationships/hyperlink" Target="http://www.nevo.co.il/law/90721" TargetMode="External"/><Relationship Id="rId42" Type="http://schemas.openxmlformats.org/officeDocument/2006/relationships/hyperlink" Target="http://www.nevo.co.il/law/90721/12a.c.1a.b" TargetMode="External"/><Relationship Id="rId43" Type="http://schemas.openxmlformats.org/officeDocument/2006/relationships/hyperlink" Target="http://www.nevo.co.il/case/26082398" TargetMode="External"/><Relationship Id="rId44" Type="http://schemas.openxmlformats.org/officeDocument/2006/relationships/hyperlink" Target="http://www.nevo.co.il/case/25824863" TargetMode="External"/><Relationship Id="rId45" Type="http://schemas.openxmlformats.org/officeDocument/2006/relationships/hyperlink" Target="http://www.nevo.co.il/law/70301/77.c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supreme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2020-12-21T09:44:00Z</dcterms:created>
  <dc:creator>h4</dc:creator>
  <dc:description/>
  <cp:keywords/>
  <dc:language>en-IL</dc:language>
  <cp:lastModifiedBy>orly</cp:lastModifiedBy>
  <cp:lastPrinted>2020-12-20T09:05:00Z</cp:lastPrinted>
  <dcterms:modified xsi:type="dcterms:W3CDTF">2020-12-21T09:44:00Z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מהדי גיהאד קבהא ו-3 אח'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25606047:2;24143005;26082398;25824863</vt:lpwstr>
  </property>
  <property fmtid="{D5CDD505-2E9C-101B-9397-08002B2CF9AE}" pid="9" name="CITY">
    <vt:lpwstr/>
  </property>
  <property fmtid="{D5CDD505-2E9C-101B-9397-08002B2CF9AE}" pid="10" name="DATE">
    <vt:lpwstr>20201220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הנדל;ד' מינץ;י' אלרון</vt:lpwstr>
  </property>
  <property fmtid="{D5CDD505-2E9C-101B-9397-08002B2CF9AE}" pid="14" name="LAWLISTTMP1">
    <vt:lpwstr>70301/186.a;029:4;452;333;335.a.1.2;329.a.1;077.c</vt:lpwstr>
  </property>
  <property fmtid="{D5CDD505-2E9C-101B-9397-08002B2CF9AE}" pid="15" name="LAWLISTTMP2">
    <vt:lpwstr>5227/067;062:2;002</vt:lpwstr>
  </property>
  <property fmtid="{D5CDD505-2E9C-101B-9397-08002B2CF9AE}" pid="16" name="LAWLISTTMP3">
    <vt:lpwstr>74501/002.a</vt:lpwstr>
  </property>
  <property fmtid="{D5CDD505-2E9C-101B-9397-08002B2CF9AE}" pid="17" name="LAWLISTTMP4">
    <vt:lpwstr>90721/012a.c.1;012a.c.1a.b</vt:lpwstr>
  </property>
  <property fmtid="{D5CDD505-2E9C-101B-9397-08002B2CF9AE}" pid="18" name="LAWYER">
    <vt:lpwstr>לינור בן אוליאל;נירה שגב;חליל ביאדי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METAKZER">
    <vt:lpwstr>קרן</vt:lpwstr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NOSE11">
    <vt:lpwstr>דיון פלילי</vt:lpwstr>
  </property>
  <property fmtid="{D5CDD505-2E9C-101B-9397-08002B2CF9AE}" pid="30" name="NOSE110">
    <vt:lpwstr/>
  </property>
  <property fmtid="{D5CDD505-2E9C-101B-9397-08002B2CF9AE}" pid="31" name="NOSE12">
    <vt:lpwstr>עונשין</vt:lpwstr>
  </property>
  <property fmtid="{D5CDD505-2E9C-101B-9397-08002B2CF9AE}" pid="32" name="NOSE13">
    <vt:lpwstr/>
  </property>
  <property fmtid="{D5CDD505-2E9C-101B-9397-08002B2CF9AE}" pid="33" name="NOSE14">
    <vt:lpwstr/>
  </property>
  <property fmtid="{D5CDD505-2E9C-101B-9397-08002B2CF9AE}" pid="34" name="NOSE15">
    <vt:lpwstr/>
  </property>
  <property fmtid="{D5CDD505-2E9C-101B-9397-08002B2CF9AE}" pid="35" name="NOSE16">
    <vt:lpwstr/>
  </property>
  <property fmtid="{D5CDD505-2E9C-101B-9397-08002B2CF9AE}" pid="36" name="NOSE17">
    <vt:lpwstr/>
  </property>
  <property fmtid="{D5CDD505-2E9C-101B-9397-08002B2CF9AE}" pid="37" name="NOSE18">
    <vt:lpwstr/>
  </property>
  <property fmtid="{D5CDD505-2E9C-101B-9397-08002B2CF9AE}" pid="38" name="NOSE19">
    <vt:lpwstr/>
  </property>
  <property fmtid="{D5CDD505-2E9C-101B-9397-08002B2CF9AE}" pid="39" name="NOSE1ID">
    <vt:lpwstr>18;77</vt:lpwstr>
  </property>
  <property fmtid="{D5CDD505-2E9C-101B-9397-08002B2CF9AE}" pid="40" name="NOSE21">
    <vt:lpwstr>ערעור</vt:lpwstr>
  </property>
  <property fmtid="{D5CDD505-2E9C-101B-9397-08002B2CF9AE}" pid="41" name="NOSE210">
    <vt:lpwstr/>
  </property>
  <property fmtid="{D5CDD505-2E9C-101B-9397-08002B2CF9AE}" pid="42" name="NOSE22">
    <vt:lpwstr>ענישה</vt:lpwstr>
  </property>
  <property fmtid="{D5CDD505-2E9C-101B-9397-08002B2CF9AE}" pid="43" name="NOSE23">
    <vt:lpwstr/>
  </property>
  <property fmtid="{D5CDD505-2E9C-101B-9397-08002B2CF9AE}" pid="44" name="NOSE24">
    <vt:lpwstr/>
  </property>
  <property fmtid="{D5CDD505-2E9C-101B-9397-08002B2CF9AE}" pid="45" name="NOSE25">
    <vt:lpwstr/>
  </property>
  <property fmtid="{D5CDD505-2E9C-101B-9397-08002B2CF9AE}" pid="46" name="NOSE26">
    <vt:lpwstr/>
  </property>
  <property fmtid="{D5CDD505-2E9C-101B-9397-08002B2CF9AE}" pid="47" name="NOSE27">
    <vt:lpwstr/>
  </property>
  <property fmtid="{D5CDD505-2E9C-101B-9397-08002B2CF9AE}" pid="48" name="NOSE28">
    <vt:lpwstr/>
  </property>
  <property fmtid="{D5CDD505-2E9C-101B-9397-08002B2CF9AE}" pid="49" name="NOSE29">
    <vt:lpwstr/>
  </property>
  <property fmtid="{D5CDD505-2E9C-101B-9397-08002B2CF9AE}" pid="50" name="NOSE2ID">
    <vt:lpwstr>504;1446</vt:lpwstr>
  </property>
  <property fmtid="{D5CDD505-2E9C-101B-9397-08002B2CF9AE}" pid="51" name="NOSE31">
    <vt:lpwstr>אי-התערבות במידת העונש</vt:lpwstr>
  </property>
  <property fmtid="{D5CDD505-2E9C-101B-9397-08002B2CF9AE}" pid="52" name="NOSE310">
    <vt:lpwstr/>
  </property>
  <property fmtid="{D5CDD505-2E9C-101B-9397-08002B2CF9AE}" pid="53" name="NOSE32">
    <vt:lpwstr>מדיניות ענישה: עבירות אלימות</vt:lpwstr>
  </property>
  <property fmtid="{D5CDD505-2E9C-101B-9397-08002B2CF9AE}" pid="54" name="NOSE33">
    <vt:lpwstr/>
  </property>
  <property fmtid="{D5CDD505-2E9C-101B-9397-08002B2CF9AE}" pid="55" name="NOSE34">
    <vt:lpwstr/>
  </property>
  <property fmtid="{D5CDD505-2E9C-101B-9397-08002B2CF9AE}" pid="56" name="NOSE35">
    <vt:lpwstr/>
  </property>
  <property fmtid="{D5CDD505-2E9C-101B-9397-08002B2CF9AE}" pid="57" name="NOSE36">
    <vt:lpwstr/>
  </property>
  <property fmtid="{D5CDD505-2E9C-101B-9397-08002B2CF9AE}" pid="58" name="NOSE37">
    <vt:lpwstr/>
  </property>
  <property fmtid="{D5CDD505-2E9C-101B-9397-08002B2CF9AE}" pid="59" name="NOSE38">
    <vt:lpwstr/>
  </property>
  <property fmtid="{D5CDD505-2E9C-101B-9397-08002B2CF9AE}" pid="60" name="NOSE39">
    <vt:lpwstr/>
  </property>
  <property fmtid="{D5CDD505-2E9C-101B-9397-08002B2CF9AE}" pid="61" name="NOSE3ID">
    <vt:lpwstr>17039;8984</vt:lpwstr>
  </property>
  <property fmtid="{D5CDD505-2E9C-101B-9397-08002B2CF9AE}" pid="62" name="PADIDATE">
    <vt:lpwstr>20201221</vt:lpwstr>
  </property>
  <property fmtid="{D5CDD505-2E9C-101B-9397-08002B2CF9AE}" pid="63" name="PADIMAIL">
    <vt:lpwstr>YES</vt:lpwstr>
  </property>
  <property fmtid="{D5CDD505-2E9C-101B-9397-08002B2CF9AE}" pid="64" name="PAGE">
    <vt:lpwstr/>
  </property>
  <property fmtid="{D5CDD505-2E9C-101B-9397-08002B2CF9AE}" pid="65" name="PART">
    <vt:lpwstr/>
  </property>
  <property fmtid="{D5CDD505-2E9C-101B-9397-08002B2CF9AE}" pid="66" name="PROCESS">
    <vt:lpwstr>עפ</vt:lpwstr>
  </property>
  <property fmtid="{D5CDD505-2E9C-101B-9397-08002B2CF9AE}" pid="67" name="PROCNUM">
    <vt:lpwstr>5432</vt:lpwstr>
  </property>
  <property fmtid="{D5CDD505-2E9C-101B-9397-08002B2CF9AE}" pid="68" name="PROCYEAR">
    <vt:lpwstr>20</vt:lpwstr>
  </property>
  <property fmtid="{D5CDD505-2E9C-101B-9397-08002B2CF9AE}" pid="69" name="PSAKDIN">
    <vt:lpwstr>פסק-דין</vt:lpwstr>
  </property>
  <property fmtid="{D5CDD505-2E9C-101B-9397-08002B2CF9AE}" pid="70" name="TYPE">
    <vt:lpwstr>1</vt:lpwstr>
  </property>
  <property fmtid="{D5CDD505-2E9C-101B-9397-08002B2CF9AE}" pid="71" name="TYPE_ABS_DATE">
    <vt:lpwstr>410120201220</vt:lpwstr>
  </property>
  <property fmtid="{D5CDD505-2E9C-101B-9397-08002B2CF9AE}" pid="72" name="TYPE_N_DATE">
    <vt:lpwstr>41020201220</vt:lpwstr>
  </property>
  <property fmtid="{D5CDD505-2E9C-101B-9397-08002B2CF9AE}" pid="73" name="VOLUME">
    <vt:lpwstr/>
  </property>
  <property fmtid="{D5CDD505-2E9C-101B-9397-08002B2CF9AE}" pid="74" name="WORDNUMPAGES">
    <vt:lpwstr>9</vt:lpwstr>
  </property>
</Properties>
</file>