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5446/19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חוסיין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הוארי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18941-02-19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18.11.19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זהו מקרה חריג המצדיק התערבות בעונש המאסר בפועל שהושת על המשיב בגין ביצוע עבירות של מגע עם סוכן חוץ ועבירות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אין בו כדי להלום את 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החמיר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בעונשו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 ישראלי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בעבירות של מגע עם סוכן 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לייצור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והחזקת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ביצוע עבירות אלה נגזרו על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חויב המשיב בתשלום 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3,000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ולחילופין ריצוי של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אודות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גרוסקופף ובהסכמת השופטים מזוז וקרא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לא תתערב בעונש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העונש שנגזר חורג באופן בולט ממדיניות 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המשיב נמנה עם אותם מקרים חריגים המצדיקים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חומרה יתרה יש בביצוע 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הסיכון הממשי לשלום הציבור והפגיעה בערכים המוגנים של שלמות הגוף וחיי אדם הטמונים בעבירות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ננקטת מגמת החמרה ברמת הענישה של המורשעים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שזו תבטא באופן הולם את פוטנציאל ההרס הרב הגלום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הענישה שנקבע ביחס לעבירות הנשק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ועד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נמוך במידת מה ממדיניות הענישה הנהוגה בעבירות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שככלל מחייבת הטלת עונש 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העמדת עונשו של המשיב ברף התחתון של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בצירוף ההחלטה לחפוף באופן חלקי את עונשי המאסר שנגזרו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יוצרות סטייה משמעותית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 עולה בקנה אחד עם מגמת ההחמרה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נסיבות חייו הקשות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 הנקי והודאתו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עשויים להצדיק הקלה מסוימת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בבואו לגזור את עונשו של מי שהורשע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ליתן משקל משמעותי לאינטרס הציבורי ולצורך להרתיע מפני ביצוע עבירות דומות בעתיד על פני נסיבותיו האישיות של העבריין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לאור העובדה כי העבירות בוצעו על רקע אידיאולוגי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 מתוך מטרה לפגוע בביטחון המדינה ותושביה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נוכח היותו של המשיב אזרח ישראלי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העמדת עונשו של המשיב בגין עבירות הנשק על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בצירוף הקביעה כי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מתוכם ירוצו בחופף לעונש המאסר שהוטל על המשיב בגין ביצוע עבירות מגע עם סוכן חוץ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כדי להלום את 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בפרט בשים לב לפוטנציאל הפגיעה הרב הטמון בנשק מסוג מטען חבלה אותו ניסה המשיב לייצר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להישנות מעשיו ולהיעדר מוכנותו ליטול אחריות למעשיו ולהכיר בחומרתם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כולן נסיבות שיש בהן כדי להעצים את חומרת מעשיו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ומאחר שאין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בגין עבירות הנשק יוחמר באופן מתון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שעונש המאסר בפועל בגין שני האישומים יעמוד בסך הכול על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העונש 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18941-02-19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24.6.2019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 xml:space="preserve">המשיב הוא אזרח ישראלי אשר התגורר עד שנת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לערך עם הוריו בעיר באקה אל</w:t>
      </w:r>
      <w:r>
        <w:rPr>
          <w:rtl w:val="true"/>
        </w:rPr>
        <w:t>-</w:t>
      </w:r>
      <w:r>
        <w:rPr>
          <w:rtl w:val="true"/>
        </w:rPr>
        <w:t>גרבייה</w:t>
      </w:r>
      <w:r>
        <w:rPr>
          <w:rtl w:val="true"/>
        </w:rPr>
        <w:t xml:space="preserve">. </w:t>
      </w:r>
      <w:r>
        <w:rPr>
          <w:rtl w:val="true"/>
        </w:rPr>
        <w:t>לאחר גירושי הוריו באותה 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עבר המשיב להתגורר עם אביו </w:t>
      </w:r>
      <w:r>
        <w:rPr>
          <w:rtl w:val="true"/>
        </w:rPr>
        <w:t>בשטחי הרשות הפלסטינית</w:t>
      </w:r>
      <w:r>
        <w:rPr>
          <w:rtl w:val="true"/>
        </w:rPr>
        <w:t xml:space="preserve">, </w:t>
      </w:r>
      <w:r>
        <w:rPr>
          <w:rtl w:val="true"/>
        </w:rPr>
        <w:t>בעיר שכם</w:t>
      </w:r>
      <w:r>
        <w:rPr>
          <w:rtl w:val="true"/>
        </w:rPr>
        <w:t xml:space="preserve">. </w:t>
      </w:r>
      <w:r>
        <w:rPr>
          <w:rtl w:val="true"/>
        </w:rPr>
        <w:t xml:space="preserve">בחודש יולי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עזב המשיב את בית אביו</w:t>
      </w:r>
      <w:r>
        <w:rPr>
          <w:rtl w:val="true"/>
        </w:rPr>
        <w:t xml:space="preserve">, </w:t>
      </w:r>
      <w:r>
        <w:rPr>
          <w:rtl w:val="true"/>
        </w:rPr>
        <w:t>ועבר להתגורר בבית אמו המצוי ביישוב ג</w:t>
      </w:r>
      <w:r>
        <w:rPr>
          <w:rtl w:val="true"/>
        </w:rPr>
        <w:t>'</w:t>
      </w:r>
      <w:r>
        <w:rPr>
          <w:rtl w:val="true"/>
        </w:rPr>
        <w:t>ת שבשטחי מדינת 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התקופה בה התגורר בשכם</w:t>
      </w:r>
      <w:r>
        <w:rPr>
          <w:rtl w:val="true"/>
        </w:rPr>
        <w:t xml:space="preserve">, </w:t>
      </w:r>
      <w:r>
        <w:rPr>
          <w:rtl w:val="true"/>
        </w:rPr>
        <w:t>השתתפו המשיב וחברו</w:t>
      </w:r>
      <w:r>
        <w:rPr>
          <w:rtl w:val="true"/>
        </w:rPr>
        <w:t xml:space="preserve">, </w:t>
      </w:r>
      <w:r>
        <w:rPr>
          <w:rtl w:val="true"/>
        </w:rPr>
        <w:t xml:space="preserve">כרם עיסא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tl w:val="true"/>
        </w:rPr>
        <w:t xml:space="preserve">"), </w:t>
      </w:r>
      <w:r>
        <w:rPr>
          <w:rtl w:val="true"/>
        </w:rPr>
        <w:t xml:space="preserve">באירוע שערך ארגון </w:t>
      </w:r>
      <w:r>
        <w:rPr>
          <w:rtl w:val="true"/>
        </w:rPr>
        <w:t>"</w:t>
      </w:r>
      <w:r>
        <w:rPr>
          <w:rtl w:val="true"/>
        </w:rPr>
        <w:t>אלכותלא אלאסלאמיה</w:t>
      </w:r>
      <w:r>
        <w:rPr>
          <w:rtl w:val="true"/>
        </w:rPr>
        <w:t xml:space="preserve">", </w:t>
      </w:r>
      <w:r>
        <w:rPr>
          <w:rtl w:val="true"/>
        </w:rPr>
        <w:t xml:space="preserve">שהוכרז כארגון טרור לפי 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 xml:space="preserve">"). </w:t>
      </w:r>
      <w:r>
        <w:rPr>
          <w:rtl w:val="true"/>
        </w:rPr>
        <w:t xml:space="preserve">במהלך אותו אירוע הצטלם המשיב כשהוא עטוף בצעיף עליו מוטבעים סמלי ארגון החמאס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הארגון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החמאס</w:t>
      </w:r>
      <w:r>
        <w:rPr>
          <w:rtl w:val="true"/>
        </w:rPr>
        <w:t xml:space="preserve">"). </w:t>
      </w:r>
      <w:r>
        <w:rPr>
          <w:rtl w:val="true"/>
        </w:rPr>
        <w:t>מאותה עת החל המשיב לגלות עניין הולך וגובר בחמאס</w:t>
      </w:r>
      <w:r>
        <w:rPr>
          <w:rtl w:val="true"/>
        </w:rPr>
        <w:t xml:space="preserve">, </w:t>
      </w:r>
      <w:r>
        <w:rPr>
          <w:rtl w:val="true"/>
        </w:rPr>
        <w:t>אשר הוכרז גם הוא כארגון טרור לפי חוק המאבק בטרור</w:t>
      </w:r>
      <w:r>
        <w:rPr>
          <w:rtl w:val="true"/>
        </w:rPr>
        <w:t xml:space="preserve">, </w:t>
      </w:r>
      <w:r>
        <w:rPr>
          <w:rtl w:val="true"/>
        </w:rPr>
        <w:t>ואט אט פיתח הזדהות אידיאולוגית עם פעולות הארגון</w:t>
      </w:r>
      <w:r>
        <w:rPr>
          <w:rtl w:val="true"/>
        </w:rPr>
        <w:t xml:space="preserve">, </w:t>
      </w:r>
      <w:r>
        <w:rPr>
          <w:rtl w:val="true"/>
        </w:rPr>
        <w:t>ערכיו ומטרותיו</w:t>
      </w:r>
      <w:r>
        <w:rPr>
          <w:rtl w:val="true"/>
        </w:rPr>
        <w:t xml:space="preserve">. </w:t>
      </w:r>
      <w:r>
        <w:rPr>
          <w:rtl w:val="true"/>
        </w:rPr>
        <w:t>במהלך תקופה זו קיים המשיב שיחות והתכתבויות עם עיסא במסגרתן שוחחו השניים על רכישת נשקים והסתרתם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 תקופה זו התעדכן המשיב בחדשות בדבר פעילות החמאס וכן הוריד מרשת האינטרנט לטלפון הנייד שלו תמונות וסרטוני וידאו הקשורים לארגון</w:t>
      </w:r>
      <w:r>
        <w:rPr>
          <w:rtl w:val="true"/>
        </w:rPr>
        <w:t xml:space="preserve">, </w:t>
      </w:r>
      <w:r>
        <w:rPr>
          <w:rtl w:val="true"/>
        </w:rPr>
        <w:t>ביניהם תמונות וסרטונים של כלי נשק ושל אנשים חמושים בנשק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חזרתו לשטחי מדינת ישראל</w:t>
      </w:r>
      <w:r>
        <w:rPr>
          <w:rtl w:val="true"/>
        </w:rPr>
        <w:t xml:space="preserve">, </w:t>
      </w:r>
      <w:r>
        <w:rPr>
          <w:rtl w:val="true"/>
        </w:rPr>
        <w:t>במהלך החודשים נובמבר</w:t>
      </w:r>
      <w:r>
        <w:rPr>
          <w:rtl w:val="true"/>
        </w:rPr>
        <w:t>-</w:t>
      </w:r>
      <w:r>
        <w:rPr>
          <w:rtl w:val="true"/>
        </w:rPr>
        <w:t xml:space="preserve">דצמבר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הצטרף המשיב למספר קבוצות ביישומון </w:t>
      </w:r>
      <w:r>
        <w:rPr>
          <w:rtl w:val="true"/>
        </w:rPr>
        <w:t>"</w:t>
      </w:r>
      <w:r>
        <w:rPr/>
        <w:t>WhatsApp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הקבוצות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וואטסאפ</w:t>
      </w:r>
      <w:r>
        <w:rPr>
          <w:rtl w:val="true"/>
        </w:rPr>
        <w:t xml:space="preserve">",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המזוהות עם החמאס</w:t>
      </w:r>
      <w:r>
        <w:rPr>
          <w:rtl w:val="true"/>
        </w:rPr>
        <w:t xml:space="preserve">, </w:t>
      </w:r>
      <w:r>
        <w:rPr>
          <w:rtl w:val="true"/>
        </w:rPr>
        <w:t>בהן פורסמו תכנים ביחס לפעילות הארגון ברצועת עזה</w:t>
      </w:r>
      <w:r>
        <w:rPr>
          <w:rtl w:val="true"/>
        </w:rPr>
        <w:t xml:space="preserve">, </w:t>
      </w:r>
      <w:r>
        <w:rPr>
          <w:rtl w:val="true"/>
        </w:rPr>
        <w:t>לאירועים שמארגן החמאס בשטחי הרשות הפלסטינית ולפיגועי טרור שבוצעו בשטחי מדינת 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חודש נובמבר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החל המשיב לשוחח בהודעות וואטסאפ אישיות עם אחד ממנהלי הקבוצות</w:t>
      </w:r>
      <w:r>
        <w:rPr>
          <w:rtl w:val="true"/>
        </w:rPr>
        <w:t xml:space="preserve">, </w:t>
      </w:r>
      <w:r>
        <w:rPr>
          <w:rtl w:val="true"/>
        </w:rPr>
        <w:t xml:space="preserve">אשר פרסם רבים מהתכנים שהופיעו בהן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הקבוצה</w:t>
      </w:r>
      <w:r>
        <w:rPr>
          <w:rtl w:val="true"/>
        </w:rPr>
        <w:t xml:space="preserve">").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שלח המשיב למנהל הקבוצה סרטוני וידאו הקשורים לארגון</w:t>
      </w:r>
      <w:r>
        <w:rPr>
          <w:rtl w:val="true"/>
        </w:rPr>
        <w:t xml:space="preserve">, </w:t>
      </w:r>
      <w:r>
        <w:rPr>
          <w:rtl w:val="true"/>
        </w:rPr>
        <w:t>אמירות הזדהות עם פעילות הארגון וערכיו</w:t>
      </w:r>
      <w:r>
        <w:rPr>
          <w:rtl w:val="true"/>
        </w:rPr>
        <w:t xml:space="preserve">, </w:t>
      </w:r>
      <w:r>
        <w:rPr>
          <w:rtl w:val="true"/>
        </w:rPr>
        <w:t xml:space="preserve">כדוגמת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אקריב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להתנגדות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מהציונים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tl w:val="true"/>
        </w:rPr>
        <w:t xml:space="preserve">", </w:t>
      </w:r>
      <w:r>
        <w:rPr>
          <w:rtl w:val="true"/>
        </w:rPr>
        <w:t>וכיוצא באלה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21.11.2018</w:t>
      </w:r>
      <w:r>
        <w:rPr>
          <w:rtl w:val="true"/>
        </w:rPr>
        <w:t xml:space="preserve">, </w:t>
      </w:r>
      <w:r>
        <w:rPr>
          <w:rtl w:val="true"/>
        </w:rPr>
        <w:t>בעקבות פעילות מבצעית של כוח מיוחד של צה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המיוחד</w:t>
      </w:r>
      <w:r>
        <w:rPr>
          <w:rtl w:val="true"/>
        </w:rPr>
        <w:t xml:space="preserve">") </w:t>
      </w:r>
      <w:r>
        <w:rPr>
          <w:rtl w:val="true"/>
        </w:rPr>
        <w:t>ברצועת עזה</w:t>
      </w:r>
      <w:r>
        <w:rPr>
          <w:rtl w:val="true"/>
        </w:rPr>
        <w:t xml:space="preserve">, </w:t>
      </w:r>
      <w:r>
        <w:rPr>
          <w:rtl w:val="true"/>
        </w:rPr>
        <w:t>במהלכה נהרגו קצין צה</w:t>
      </w:r>
      <w:r>
        <w:rPr>
          <w:rtl w:val="true"/>
        </w:rPr>
        <w:t>"</w:t>
      </w:r>
      <w:r>
        <w:rPr>
          <w:rtl w:val="true"/>
        </w:rPr>
        <w:t>ל ומספר פעילי חמאס</w:t>
      </w:r>
      <w:r>
        <w:rPr>
          <w:rtl w:val="true"/>
        </w:rPr>
        <w:t xml:space="preserve">, </w:t>
      </w:r>
      <w:r>
        <w:rPr>
          <w:rtl w:val="true"/>
        </w:rPr>
        <w:t>החלו מנהל הקבוצה ואדם נוסף לפרסם בקשות מטעם הארגון לקבלת מידע אודות הכוח המיוחד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פרסמו השניים בקבוצות תמונות של אנשים שנחשדו על ידי החמאס כמי שמשתייכים לכוח המיוחד</w:t>
      </w:r>
      <w:r>
        <w:rPr>
          <w:rtl w:val="true"/>
        </w:rPr>
        <w:t xml:space="preserve">. </w:t>
      </w:r>
      <w:r>
        <w:rPr>
          <w:rtl w:val="true"/>
        </w:rPr>
        <w:t>על רקע פרסומים אלו</w:t>
      </w:r>
      <w:r>
        <w:rPr>
          <w:rtl w:val="true"/>
        </w:rPr>
        <w:t xml:space="preserve">, </w:t>
      </w:r>
      <w:r>
        <w:rPr>
          <w:rtl w:val="true"/>
        </w:rPr>
        <w:t>פנה המשיב בהודעות וואטסאפ אישיות למנהל הקבוצה</w:t>
      </w:r>
      <w:r>
        <w:rPr>
          <w:rtl w:val="true"/>
        </w:rPr>
        <w:t xml:space="preserve">, </w:t>
      </w:r>
      <w:r>
        <w:rPr>
          <w:rtl w:val="true"/>
        </w:rPr>
        <w:t>וכתב לו כי הוא סבור שראה אחד מן האנשים הללו בעבר</w:t>
      </w:r>
      <w:r>
        <w:rPr>
          <w:rtl w:val="true"/>
        </w:rPr>
        <w:t xml:space="preserve">. </w:t>
      </w:r>
      <w:r>
        <w:rPr>
          <w:rtl w:val="true"/>
        </w:rPr>
        <w:t>לאחר מכן המשיכו המשיב ומנהל הקבוצה להתכתב זה עם זה בנוגע לאותו אדם וכן בעניינים אחרים הקשורים לפעילות הארגון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לאורך כל התקופה בה שוחח המשיב עם מנהל הקבוצה</w:t>
      </w:r>
      <w:r>
        <w:rPr>
          <w:rtl w:val="true"/>
        </w:rPr>
        <w:t xml:space="preserve">, </w:t>
      </w:r>
      <w:r>
        <w:rPr>
          <w:rtl w:val="true"/>
        </w:rPr>
        <w:t>היה לו יסוד סביר לחשוד בו כי הוא חבר בחמאס</w:t>
      </w:r>
      <w:r>
        <w:rPr>
          <w:rtl w:val="true"/>
        </w:rPr>
        <w:t xml:space="preserve">, </w:t>
      </w:r>
      <w:r>
        <w:rPr>
          <w:rtl w:val="true"/>
        </w:rPr>
        <w:t>קשור בו או פועל בשליחותו</w:t>
      </w:r>
      <w:r>
        <w:rPr>
          <w:rtl w:val="true"/>
        </w:rPr>
        <w:t xml:space="preserve">. </w:t>
      </w:r>
      <w:r>
        <w:rPr>
          <w:rtl w:val="true"/>
        </w:rPr>
        <w:t>המשיב לא הציג כל הסבר סביר למגעים שניהל עם הלה</w:t>
      </w:r>
      <w:r>
        <w:rPr>
          <w:rtl w:val="true"/>
        </w:rPr>
        <w:t xml:space="preserve">. </w:t>
      </w:r>
      <w:r>
        <w:rPr>
          <w:rtl w:val="true"/>
        </w:rPr>
        <w:t xml:space="preserve">בגין מעשיו אלו הואשם המשיב בעבירות של מגע עם סוכן חוץ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>").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36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חודש אוקטובר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עת התגורר המשיב בבית אמו המצוי כאמור בתחומי מדינת ישראל</w:t>
      </w:r>
      <w:r>
        <w:rPr>
          <w:rtl w:val="true"/>
        </w:rPr>
        <w:t xml:space="preserve">, </w:t>
      </w:r>
      <w:r>
        <w:rPr>
          <w:rtl w:val="true"/>
        </w:rPr>
        <w:t>ניסה לייצר מטען חבלה מאולתר בצורת צינור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 xml:space="preserve">המשיב נטל צינור מתכת ולתוכו הכניס חומר נפץ אותו פורר מראשי גפרורים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הנפץ</w:t>
      </w:r>
      <w:r>
        <w:rPr>
          <w:rtl w:val="true"/>
        </w:rPr>
        <w:t xml:space="preserve">"). </w:t>
      </w:r>
      <w:r>
        <w:rPr>
          <w:rtl w:val="true"/>
        </w:rPr>
        <w:t>לאחר מכן הכניס לתוך הצינור פתיל שיצר משרוך נעליים טבול בחומר הנפץ</w:t>
      </w:r>
      <w:r>
        <w:rPr>
          <w:rtl w:val="true"/>
        </w:rPr>
        <w:t xml:space="preserve">, </w:t>
      </w:r>
      <w:r>
        <w:rPr>
          <w:rtl w:val="true"/>
        </w:rPr>
        <w:t xml:space="preserve">סגר את שני צדי הצינור בחלקי פלסטיק וליפף אותם יחד באמצעות נייר דבק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"). </w:t>
      </w:r>
      <w:r>
        <w:rPr>
          <w:rtl w:val="true"/>
        </w:rPr>
        <w:t>במועד מאוחר יותר</w:t>
      </w:r>
      <w:r>
        <w:rPr>
          <w:rtl w:val="true"/>
        </w:rPr>
        <w:t xml:space="preserve">, </w:t>
      </w:r>
      <w:r>
        <w:rPr>
          <w:rtl w:val="true"/>
        </w:rPr>
        <w:t>הבעיר המשיב את המטען הראשון במטרה לגרום לפיצוצו</w:t>
      </w:r>
      <w:r>
        <w:rPr>
          <w:rtl w:val="true"/>
        </w:rPr>
        <w:t xml:space="preserve">, </w:t>
      </w:r>
      <w:r>
        <w:rPr>
          <w:rtl w:val="true"/>
        </w:rPr>
        <w:t>אולם המטען לא התפוצץ אלא אך בער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באותו החודש</w:t>
      </w:r>
      <w:r>
        <w:rPr>
          <w:rtl w:val="true"/>
        </w:rPr>
        <w:t xml:space="preserve">, </w:t>
      </w:r>
      <w:r>
        <w:rPr>
          <w:rtl w:val="true"/>
        </w:rPr>
        <w:t xml:space="preserve">ניסה המשיב פעם נוספת לייצר מטען חבלה מאולתר בצורת צינור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"). </w:t>
      </w:r>
      <w:r>
        <w:rPr>
          <w:rtl w:val="true"/>
        </w:rPr>
        <w:t>בטרם הספיק המשיב לסיים מלאכתו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15.1.2019</w:t>
      </w:r>
      <w:r>
        <w:rPr>
          <w:rtl w:val="true"/>
        </w:rPr>
        <w:t xml:space="preserve"> </w:t>
      </w:r>
      <w:r>
        <w:rPr>
          <w:rtl w:val="true"/>
        </w:rPr>
        <w:t>מצאה המשטרה את המטען השני במהלך חיפוש שנערך בבית אמו של המשיב סמוך לפני מעצרו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מעשיו אלו הואשם המשיב בעבירות של ניסיון לייצור נשק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ובעבירה של החזקת נשק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יכונו יחדיו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tl w:val="true"/>
        </w:rPr>
        <w:t>").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שהודה המשיב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והורשע 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הורה בית המשפט קמא על עריכת תסקיר שירות המבחן נוכח גילו הצעיר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שהיה כבן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 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על פי התסקיר מיום </w:t>
      </w:r>
      <w:r>
        <w:rPr/>
        <w:t>12.6.2019</w:t>
      </w:r>
      <w:r>
        <w:rPr>
          <w:rtl w:val="true"/>
        </w:rPr>
        <w:t xml:space="preserve">, </w:t>
      </w:r>
      <w:r>
        <w:rPr>
          <w:rtl w:val="true"/>
        </w:rPr>
        <w:t>המשיב הוא רווק צעיר המתגורר עם אמו בכפר ג</w:t>
      </w:r>
      <w:r>
        <w:rPr>
          <w:rtl w:val="true"/>
        </w:rPr>
        <w:t>'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והוא נעדר עבר פלילי</w:t>
      </w:r>
      <w:r>
        <w:rPr>
          <w:rtl w:val="true"/>
        </w:rPr>
        <w:t xml:space="preserve">. </w:t>
      </w:r>
      <w:r>
        <w:rPr>
          <w:rtl w:val="true"/>
        </w:rPr>
        <w:t>המשיב נולד בישראל להורים בעלי אזרחות ישראלית וחווה ילדות קשה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 לעבירות בהן הורשע</w:t>
      </w:r>
      <w:r>
        <w:rPr>
          <w:rtl w:val="true"/>
        </w:rPr>
        <w:t xml:space="preserve">, </w:t>
      </w:r>
      <w:r>
        <w:rPr>
          <w:rtl w:val="true"/>
        </w:rPr>
        <w:t>טען המשיב כי אין הוא מחזיק בעמדות לאומניות או חש הזדהות עם האידיאולוגיה של החמאס</w:t>
      </w:r>
      <w:r>
        <w:rPr>
          <w:rtl w:val="true"/>
        </w:rPr>
        <w:t xml:space="preserve">. </w:t>
      </w:r>
      <w:r>
        <w:rPr>
          <w:rtl w:val="true"/>
        </w:rPr>
        <w:t>באשר לאישום הראשון טען המשיב כי הצטרפותו לקבוצות הוואטסאפ נעשתה שלא במכוון</w:t>
      </w:r>
      <w:r>
        <w:rPr>
          <w:rtl w:val="true"/>
        </w:rPr>
        <w:t xml:space="preserve">, </w:t>
      </w:r>
      <w:r>
        <w:rPr>
          <w:rtl w:val="true"/>
        </w:rPr>
        <w:t>ובאשר לאישום השני הכחיש את המעשים המיוחסים לו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 כללי קובע התסקיר כי המשיב הרבה להתייחס להיסטוריית חייו וליחסיו המשפחתיים המורכבים כגורמים לביצוע העבירות</w:t>
      </w:r>
      <w:r>
        <w:rPr>
          <w:rtl w:val="true"/>
        </w:rPr>
        <w:t xml:space="preserve">, </w:t>
      </w:r>
      <w:r>
        <w:rPr>
          <w:rtl w:val="true"/>
        </w:rPr>
        <w:t>ונטה לצמצם ולהכחיש את מעורבותו בעבירות בהן הורשע</w:t>
      </w:r>
      <w:r>
        <w:rPr>
          <w:rtl w:val="true"/>
        </w:rPr>
        <w:t xml:space="preserve">. </w:t>
      </w:r>
      <w:r>
        <w:rPr>
          <w:rtl w:val="true"/>
        </w:rPr>
        <w:t>נטייה זו</w:t>
      </w:r>
      <w:r>
        <w:rPr>
          <w:rtl w:val="true"/>
        </w:rPr>
        <w:t xml:space="preserve">, </w:t>
      </w:r>
      <w:r>
        <w:rPr>
          <w:rtl w:val="true"/>
        </w:rPr>
        <w:t>בצירוף המסגרת המשפחתית חסרת היציבות בה גדל המשיב והקשיים שחווה</w:t>
      </w:r>
      <w:r>
        <w:rPr>
          <w:rtl w:val="true"/>
        </w:rPr>
        <w:t xml:space="preserve">, </w:t>
      </w:r>
      <w:r>
        <w:rPr>
          <w:rtl w:val="true"/>
        </w:rPr>
        <w:t>הובילו את שירות המבחן להעריך כי לא ניתן לשלול סיכון להישנות המעשים</w:t>
      </w:r>
      <w:r>
        <w:rPr>
          <w:rtl w:val="true"/>
        </w:rPr>
        <w:t xml:space="preserve">. </w:t>
      </w:r>
      <w:r>
        <w:rPr>
          <w:rtl w:val="true"/>
        </w:rPr>
        <w:t>עוד הוסיף שירות המבחן כי עקב נטיית המשיב לצמצם ולהכחיש את מעורבותו בעבירות ובשל חומרת העבירות שביצע</w:t>
      </w:r>
      <w:r>
        <w:rPr>
          <w:rtl w:val="true"/>
        </w:rPr>
        <w:t xml:space="preserve">, </w:t>
      </w:r>
      <w:r>
        <w:rPr>
          <w:rtl w:val="true"/>
        </w:rPr>
        <w:t>אין בידו להציע אפשרות של ענישה שיקומית במסגרת הקהילה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24.6.2019</w:t>
      </w:r>
      <w:r>
        <w:rPr>
          <w:rtl w:val="true"/>
        </w:rPr>
        <w:t xml:space="preserve"> </w:t>
      </w:r>
      <w:r>
        <w:rPr>
          <w:rtl w:val="true"/>
        </w:rPr>
        <w:t>גזר בית המשפט קמא את דינו של המשיב</w:t>
      </w:r>
      <w:r>
        <w:rPr>
          <w:rtl w:val="true"/>
        </w:rPr>
        <w:t xml:space="preserve">. </w:t>
      </w:r>
      <w:r>
        <w:rPr>
          <w:rtl w:val="true"/>
        </w:rPr>
        <w:t>בית המשפט התייחס בגזר הדין לפגיעה הפוטנציאלית של העבירות שביצע המשיב בביטחון המדינה ובציבור בכללותו</w:t>
      </w:r>
      <w:r>
        <w:rPr>
          <w:rtl w:val="true"/>
        </w:rPr>
        <w:t xml:space="preserve">. </w:t>
      </w:r>
      <w:r>
        <w:rPr>
          <w:rtl w:val="true"/>
        </w:rPr>
        <w:t>כן נתן דעתו לכך שהמשיב הביע חזור ושנה את תמיכתו באידיאולוגיה החבלנית אליה נחשף במסגרת קשריו עם סוכן החוץ ואת נכונותו לסייע לחמאס</w:t>
      </w:r>
      <w:r>
        <w:rPr>
          <w:rtl w:val="true"/>
        </w:rPr>
        <w:t xml:space="preserve">, </w:t>
      </w:r>
      <w:r>
        <w:rPr>
          <w:rtl w:val="true"/>
        </w:rPr>
        <w:t>בעיקר בפן ההצהרתי</w:t>
      </w:r>
      <w:r>
        <w:rPr>
          <w:rtl w:val="true"/>
        </w:rPr>
        <w:t xml:space="preserve">, </w:t>
      </w:r>
      <w:r>
        <w:rPr>
          <w:rtl w:val="true"/>
        </w:rPr>
        <w:t>אך גם בניסיונות החמאס לזהות אחד מחיילי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סבר בית המשפט קמא</w:t>
      </w:r>
      <w:r>
        <w:rPr>
          <w:rtl w:val="true"/>
        </w:rPr>
        <w:t xml:space="preserve">, </w:t>
      </w:r>
      <w:r>
        <w:rPr>
          <w:rtl w:val="true"/>
        </w:rPr>
        <w:t>כי על רקע הזדהות אידיאולוגית קיצונית זו</w:t>
      </w:r>
      <w:r>
        <w:rPr>
          <w:rtl w:val="true"/>
        </w:rPr>
        <w:t xml:space="preserve">, </w:t>
      </w:r>
      <w:r>
        <w:rPr>
          <w:rtl w:val="true"/>
        </w:rPr>
        <w:t>הופכות עבירות הנשק בהן הורשע לחמורות אף יותר</w:t>
      </w:r>
      <w:r>
        <w:rPr>
          <w:rtl w:val="true"/>
        </w:rPr>
        <w:t xml:space="preserve">. </w:t>
      </w:r>
      <w:r>
        <w:rPr>
          <w:rtl w:val="true"/>
        </w:rPr>
        <w:t>לצד שיקולים אלו</w:t>
      </w:r>
      <w:r>
        <w:rPr>
          <w:rtl w:val="true"/>
        </w:rPr>
        <w:t xml:space="preserve">, </w:t>
      </w:r>
      <w:r>
        <w:rPr>
          <w:rtl w:val="true"/>
        </w:rPr>
        <w:t>נתן בית המשפט קמא דעתו לכך שטיב הקשר עם סוכן החוץ היה טלפוני בלבד</w:t>
      </w:r>
      <w:r>
        <w:rPr>
          <w:rtl w:val="true"/>
        </w:rPr>
        <w:t xml:space="preserve">, </w:t>
      </w:r>
      <w:r>
        <w:rPr>
          <w:rtl w:val="true"/>
        </w:rPr>
        <w:t>וכי המשיב לא ביצע פעולה כלשהי בהוראתו</w:t>
      </w:r>
      <w:r>
        <w:rPr>
          <w:rtl w:val="true"/>
        </w:rPr>
        <w:t xml:space="preserve">, </w:t>
      </w:r>
      <w:r>
        <w:rPr>
          <w:rtl w:val="true"/>
        </w:rPr>
        <w:t>כמו גם לעובדה שהמשיב לא הצטרף כחבר בחמאס ולא הביע נכונות לבצע עבורו שירות כלשהו</w:t>
      </w:r>
      <w:r>
        <w:rPr>
          <w:rtl w:val="true"/>
        </w:rPr>
        <w:t xml:space="preserve">. </w:t>
      </w:r>
      <w:r>
        <w:rPr>
          <w:rtl w:val="true"/>
        </w:rPr>
        <w:t>לאחר ששקל שיקולים אלו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ביחס לעבירות האישום הראשון מתחם ענישה הנע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ועד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וביחס לעבירות הנשק </w:t>
      </w:r>
      <w:r>
        <w:rPr>
          <w:rtl w:val="true"/>
        </w:rPr>
        <w:t>–</w:t>
      </w:r>
      <w:r>
        <w:rPr>
          <w:rtl w:val="true"/>
        </w:rPr>
        <w:t xml:space="preserve"> מתחם ענישה הנע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חודשים ועד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גובה העונש</w:t>
      </w:r>
      <w:r>
        <w:rPr>
          <w:rtl w:val="true"/>
        </w:rPr>
        <w:t xml:space="preserve">, </w:t>
      </w:r>
      <w:r>
        <w:rPr>
          <w:rtl w:val="true"/>
        </w:rPr>
        <w:t>לקח בית המשפט בחשבון את האמור בתסקיר שירות המבחן ביחס לניסיונותיו של המשיב להכחיש ולצמצם את מעורבותו בעבירות</w:t>
      </w:r>
      <w:r>
        <w:rPr>
          <w:rtl w:val="true"/>
        </w:rPr>
        <w:t xml:space="preserve">, </w:t>
      </w:r>
      <w:r>
        <w:rPr>
          <w:rtl w:val="true"/>
        </w:rPr>
        <w:t>את הקושי של המשיב בנטילת האחריות למצבו</w:t>
      </w:r>
      <w:r>
        <w:rPr>
          <w:rtl w:val="true"/>
        </w:rPr>
        <w:t xml:space="preserve">, </w:t>
      </w:r>
      <w:r>
        <w:rPr>
          <w:rtl w:val="true"/>
        </w:rPr>
        <w:t>ואת הערכת הסיכון להישנות מעשי עבירה דומים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התחשב בית המשפט בנסיבות חייו הקשות של המשיב</w:t>
      </w:r>
      <w:r>
        <w:rPr>
          <w:rtl w:val="true"/>
        </w:rPr>
        <w:t xml:space="preserve">, </w:t>
      </w:r>
      <w:r>
        <w:rPr>
          <w:rtl w:val="true"/>
        </w:rPr>
        <w:t>בגילו הצעיר</w:t>
      </w:r>
      <w:r>
        <w:rPr>
          <w:rtl w:val="true"/>
        </w:rPr>
        <w:t xml:space="preserve">, </w:t>
      </w:r>
      <w:r>
        <w:rPr>
          <w:rtl w:val="true"/>
        </w:rPr>
        <w:t>בעברו הנקי</w:t>
      </w:r>
      <w:r>
        <w:rPr>
          <w:rtl w:val="true"/>
        </w:rPr>
        <w:t xml:space="preserve">, </w:t>
      </w:r>
      <w:r>
        <w:rPr>
          <w:rtl w:val="true"/>
        </w:rPr>
        <w:t>בתקופה הקצרה בה ניהל מגעים עם סוכן החוץ</w:t>
      </w:r>
      <w:r>
        <w:rPr>
          <w:rtl w:val="true"/>
        </w:rPr>
        <w:t xml:space="preserve">, </w:t>
      </w:r>
      <w:r>
        <w:rPr>
          <w:rtl w:val="true"/>
        </w:rPr>
        <w:t>ובכך שהודה במעשיו</w:t>
      </w:r>
      <w:r>
        <w:rPr>
          <w:rtl w:val="true"/>
        </w:rPr>
        <w:t xml:space="preserve">. </w:t>
      </w:r>
      <w:r>
        <w:rPr>
          <w:rtl w:val="true"/>
        </w:rPr>
        <w:t>עוד התחשב בית המשפט קמא בעובדה שבסופו של יום עבירותיו של המשיב לא הסבו נזק ממשי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החליט בית המשפט לגזור את העונש ברף הנמוך של המתחמים</w:t>
      </w:r>
      <w:r>
        <w:rPr>
          <w:rtl w:val="true"/>
        </w:rPr>
        <w:t xml:space="preserve">, </w:t>
      </w:r>
      <w:r>
        <w:rPr>
          <w:rtl w:val="true"/>
        </w:rPr>
        <w:t>ותוך חפיפה חלקית של עונשי המאסר</w:t>
      </w:r>
      <w:r>
        <w:rPr>
          <w:rtl w:val="true"/>
        </w:rPr>
        <w:t xml:space="preserve">, </w:t>
      </w:r>
      <w:r>
        <w:rPr>
          <w:rtl w:val="true"/>
        </w:rPr>
        <w:t xml:space="preserve">כך שבגין עבירות האישום הראשון גזר על המשיב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ובגין עבירות הנשק גזר על המשיב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מתוכם ירוצו בחופף לעונש המאסר בגין עבירות האישום הראשון</w:t>
      </w:r>
      <w:r>
        <w:rPr>
          <w:rtl w:val="true"/>
        </w:rPr>
        <w:t xml:space="preserve">. </w:t>
      </w:r>
      <w:r>
        <w:rPr>
          <w:rtl w:val="true"/>
        </w:rPr>
        <w:t xml:space="preserve">לכך הוסיף בית המשפט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וקנס בסך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מדינת ישראל הגישה ערעור על גזר הדין</w:t>
      </w:r>
      <w:r>
        <w:rPr>
          <w:rtl w:val="true"/>
        </w:rPr>
        <w:t xml:space="preserve">, </w:t>
      </w:r>
      <w:r>
        <w:rPr>
          <w:rtl w:val="true"/>
        </w:rPr>
        <w:t>בטענה כי העונש שהוטל על המשיב אינו הולם את חומרת המעשים</w:t>
      </w:r>
      <w:r>
        <w:rPr>
          <w:rtl w:val="true"/>
        </w:rPr>
        <w:t xml:space="preserve">, </w:t>
      </w:r>
      <w:r>
        <w:rPr>
          <w:rtl w:val="true"/>
        </w:rPr>
        <w:t>את נסיבות ביצוע העבירות ואת מדיניות הענישה הנהוגה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בפתח הדברים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טוענת המערערת כי מתחמי הענישה שקבע בית המשפט קמא אינם משקפים כראוי את חומרת העבירות שבוצעו</w:t>
      </w:r>
      <w:r>
        <w:rPr>
          <w:rtl w:val="true"/>
        </w:rPr>
        <w:t xml:space="preserve">, </w:t>
      </w:r>
      <w:r>
        <w:rPr>
          <w:rtl w:val="true"/>
        </w:rPr>
        <w:t>אשר מתעצמת על רקע הזדהותו האידיאולוגית של המשיב עם החמאס ונכונותו לפעול למען הארגון</w:t>
      </w:r>
      <w:r>
        <w:rPr>
          <w:rtl w:val="true"/>
        </w:rPr>
        <w:t xml:space="preserve">, </w:t>
      </w:r>
      <w:r>
        <w:rPr>
          <w:rtl w:val="true"/>
        </w:rPr>
        <w:t>כמו גם לאור היותו אזרח ישראלי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השתלבות הנסיבות מקימה חשש ממשי כי מעשיו של המשיב יסלימו ויהוו סכנה ממשית לביטחון הציבור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בית המשפט קמא לא נתן משקל ראוי לסוג הנשק שניסה המשיב לייצר </w:t>
      </w:r>
      <w:r>
        <w:rPr>
          <w:rtl w:val="true"/>
        </w:rPr>
        <w:t>–</w:t>
      </w:r>
      <w:r>
        <w:rPr>
          <w:rtl w:val="true"/>
        </w:rPr>
        <w:t xml:space="preserve"> מטען חבלה מאולתר </w:t>
      </w:r>
      <w:r>
        <w:rPr>
          <w:rtl w:val="true"/>
        </w:rPr>
        <w:t>–</w:t>
      </w:r>
      <w:r>
        <w:rPr>
          <w:rtl w:val="true"/>
        </w:rPr>
        <w:t xml:space="preserve"> אשר בכוחו לגרום נזק בקנה מידה משמעותי</w:t>
      </w:r>
      <w:r>
        <w:rPr>
          <w:rtl w:val="true"/>
        </w:rPr>
        <w:t xml:space="preserve">. </w:t>
      </w:r>
      <w:r>
        <w:rPr>
          <w:rtl w:val="true"/>
        </w:rPr>
        <w:t>עוד הוסיפה המערערת כי מתחם הענישה שקבע בית המשפט בגין עבירות הנשק אינו תואם את מדיניות הענישה הנהוגה בפסיקה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המערערת סבורה כי בקביעת העונשים בתוך המתחם לא העניק בית המשפט קמא משקל מספק לתסקיר שירות המבחן שממנו עולה כי המשיב מכחיש את מעשיו</w:t>
      </w:r>
      <w:r>
        <w:rPr>
          <w:rtl w:val="true"/>
        </w:rPr>
        <w:t xml:space="preserve">, </w:t>
      </w:r>
      <w:r>
        <w:rPr>
          <w:rtl w:val="true"/>
        </w:rPr>
        <w:t>לא מפנים את חומרתם ולא מביע חרטה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העונש שנגזר על המשיב אינו נותן ביטוי מספק לשיקולי הרתעת היחיד ולצורך בהרתעת הרבים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טוענת המערערת כי החלטתו של בית המשפט קמא על חפיפת העונשים פוגמת בחומרה שיש לייחס לכל אחד מהאישומים בהם הורשע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סבור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בדיון שנערך בפנינו</w:t>
      </w:r>
      <w:r>
        <w:rPr>
          <w:rtl w:val="true"/>
        </w:rPr>
        <w:t xml:space="preserve">, </w:t>
      </w:r>
      <w:r>
        <w:rPr>
          <w:rtl w:val="true"/>
        </w:rPr>
        <w:t>טען המשיב כי בית המשפט קמא נתן משקל ראוי לכלל הנסיבות בקביעת גזר הדין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 ניתן להתעלם מנסיבות חייו הקשות ומהקונפליקט הפנימי בו מצוי המשיב כאזרח ישראלי</w:t>
      </w:r>
      <w:r>
        <w:rPr>
          <w:rtl w:val="true"/>
        </w:rPr>
        <w:t xml:space="preserve">, </w:t>
      </w:r>
      <w:r>
        <w:rPr>
          <w:rtl w:val="true"/>
        </w:rPr>
        <w:t>אשר התגורר במשך רוב שנות נעוריו בתחומי הרשות הפלסטינאית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המשיב הודה בעובדות כתב האישום המתוקן ובכך נטל אחריות למעשיו וחסך זמן ומשאבים שיפוטיים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 הוא כי יש להותיר את גזר דינו של בית המשפט קמא על כנו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כי ערכאת הערעור לא תתערב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העונש שנגזר חורג באופן בולט ממדיניות הענישה המקובלת במקרים דומים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סמארה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29.11.2018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סמארה</w:t>
      </w:r>
      <w:r>
        <w:rPr>
          <w:rtl w:val="true"/>
        </w:rPr>
        <w:t xml:space="preserve">");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11.7.2019</w:t>
      </w:r>
      <w:r>
        <w:rPr>
          <w:rtl w:val="true"/>
        </w:rPr>
        <w:t xml:space="preserve">)). </w:t>
      </w:r>
      <w:r>
        <w:rPr>
          <w:rtl w:val="true"/>
        </w:rPr>
        <w:t>לאחר עיון בחומרים ושמיעת טענות הצדדים</w:t>
      </w:r>
      <w:r>
        <w:rPr>
          <w:rtl w:val="true"/>
        </w:rPr>
        <w:t xml:space="preserve">, </w:t>
      </w:r>
      <w:r>
        <w:rPr>
          <w:rtl w:val="true"/>
        </w:rPr>
        <w:t>הגענו למסקנה כי עניינו של המשיב אכן נמנה עם אותם מקרים חריגים המצדיקים את התערבות ערכאת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בשנים האחרונות</w:t>
      </w:r>
      <w:r>
        <w:rPr>
          <w:rtl w:val="true"/>
        </w:rPr>
        <w:t xml:space="preserve">, </w:t>
      </w:r>
      <w:r>
        <w:rPr>
          <w:rtl w:val="true"/>
        </w:rPr>
        <w:t>עמד בית משפט זה פעם אחר פעם על החומרה היתרה שבביצוע עבירות נשק</w:t>
      </w:r>
      <w:r>
        <w:rPr>
          <w:rtl w:val="true"/>
        </w:rPr>
        <w:t xml:space="preserve">, </w:t>
      </w:r>
      <w:r>
        <w:rPr>
          <w:rtl w:val="true"/>
        </w:rPr>
        <w:t>וזאת בשל הסיכון הממשי לשלום הציבור ו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שלמות</w:t>
      </w:r>
      <w:r>
        <w:rPr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 ו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הטמונים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ברמת הענישה של המורשעים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כך שזו תבטא באופן הולם את פוטנציאל ההרס הרב הגלום בהן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26.7.2018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מתחם הענישה שקבע בית המשפט קמא ביחס לעבירות הנשק שביצע המשיב נמוך במידת מה ממדיניות הענישה הנהוגה בעבירות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אשר ככלל מחייבת הטלת עונש מאסר מאחורי סורג ובריח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עוואודה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י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/>
        <w:t>30.12.2009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2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העמדת עונשו של המשיב ברף התחתון של המתחם</w:t>
      </w:r>
      <w:r>
        <w:rPr>
          <w:rtl w:val="true"/>
        </w:rPr>
        <w:t xml:space="preserve">, </w:t>
      </w:r>
      <w:r>
        <w:rPr>
          <w:rtl w:val="true"/>
        </w:rPr>
        <w:t>בצירוף ההחלטה לחפוף באופן חלקי את עונשי המאסר שנגזרו על המשיב</w:t>
      </w:r>
      <w:r>
        <w:rPr>
          <w:rtl w:val="true"/>
        </w:rPr>
        <w:t xml:space="preserve">, </w:t>
      </w:r>
      <w:r>
        <w:rPr>
          <w:rtl w:val="true"/>
        </w:rPr>
        <w:t>יוצרות במבט כולל סטייה משמעותית לקולא</w:t>
      </w:r>
      <w:r>
        <w:rPr>
          <w:rtl w:val="true"/>
        </w:rPr>
        <w:t xml:space="preserve">, </w:t>
      </w:r>
      <w:r>
        <w:rPr>
          <w:rtl w:val="true"/>
        </w:rPr>
        <w:t>אשר אינה עולה בקנה אחד עם מגמת ההחמרה האמורה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אלגזי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5.2.2015</w:t>
      </w:r>
      <w:r>
        <w:rPr>
          <w:rtl w:val="true"/>
        </w:rPr>
        <w:t xml:space="preserve">), </w:t>
      </w:r>
      <w:r>
        <w:rPr>
          <w:rtl w:val="true"/>
        </w:rPr>
        <w:t xml:space="preserve">קשר המערער </w:t>
      </w:r>
      <w:r>
        <w:rPr>
          <w:rtl w:val="true"/>
        </w:rPr>
        <w:t>קֶשֶׁר</w:t>
      </w:r>
      <w:r>
        <w:rPr>
          <w:rtl w:val="true"/>
        </w:rPr>
        <w:t xml:space="preserve"> עם שניים ממכריו להרכיב מטען חבלה</w:t>
      </w:r>
      <w:r>
        <w:rPr>
          <w:rtl w:val="true"/>
        </w:rPr>
        <w:t xml:space="preserve">, </w:t>
      </w:r>
      <w:r>
        <w:rPr>
          <w:rtl w:val="true"/>
        </w:rPr>
        <w:t>מכר להם חומרים שנועדו להרכבת המטען ונטל חלק בהרכבתו</w:t>
      </w:r>
      <w:r>
        <w:rPr>
          <w:rtl w:val="true"/>
        </w:rPr>
        <w:t xml:space="preserve">. </w:t>
      </w:r>
      <w:r>
        <w:rPr>
          <w:rtl w:val="true"/>
        </w:rPr>
        <w:t>המערער באותו עניין היה צעיר נטול עבר פלילי</w:t>
      </w:r>
      <w:r>
        <w:rPr>
          <w:rtl w:val="true"/>
        </w:rPr>
        <w:t xml:space="preserve">, </w:t>
      </w:r>
      <w:r>
        <w:rPr>
          <w:rtl w:val="true"/>
        </w:rPr>
        <w:t>הודה במעשיו במסגרת הסדר טיעון והביע חרטה</w:t>
      </w:r>
      <w:r>
        <w:rPr>
          <w:rtl w:val="true"/>
        </w:rPr>
        <w:t xml:space="preserve">. </w:t>
      </w:r>
      <w:r>
        <w:rPr>
          <w:rtl w:val="true"/>
        </w:rPr>
        <w:t xml:space="preserve">באותו מקרה נגזר על המערער עונש של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דחה את הערעור ביחס לחומרת העונש בקבעו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וגמול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פוטנציאל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5.1.2009</w:t>
      </w:r>
      <w:r>
        <w:rPr>
          <w:rtl w:val="true"/>
        </w:rPr>
        <w:t xml:space="preserve">), </w:t>
      </w:r>
      <w:r>
        <w:rPr>
          <w:rtl w:val="true"/>
        </w:rPr>
        <w:t>נהג המשיב לגלוש באתרי אינטרנט מבית האסלאם הקיצוני</w:t>
      </w:r>
      <w:r>
        <w:rPr>
          <w:rtl w:val="true"/>
        </w:rPr>
        <w:t xml:space="preserve">, </w:t>
      </w:r>
      <w:r>
        <w:rPr>
          <w:rtl w:val="true"/>
        </w:rPr>
        <w:t>שם למד כיצד לייצר מטעני חבלה</w:t>
      </w:r>
      <w:r>
        <w:rPr>
          <w:rtl w:val="true"/>
        </w:rPr>
        <w:t xml:space="preserve">. </w:t>
      </w:r>
      <w:r>
        <w:rPr>
          <w:rtl w:val="true"/>
        </w:rPr>
        <w:t>המשיב רכש חומרים לייצור מטען חבלה וביצע מספר ניסיונות להרכיב מטעני חבלה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הורשע בגין ניסיון לייצור 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 המשיב בגין החזקת סכין</w:t>
      </w:r>
      <w:r>
        <w:rPr>
          <w:rtl w:val="true"/>
        </w:rPr>
        <w:t xml:space="preserve">. </w:t>
      </w:r>
      <w:r>
        <w:rPr>
          <w:rtl w:val="true"/>
        </w:rPr>
        <w:t>כן אציין כי בדומה לענייננו היה המשיב באותו מקרה בחור צעיר ללא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עליו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ושנת מאסר על תנאי</w:t>
      </w:r>
      <w:r>
        <w:rPr>
          <w:rtl w:val="true"/>
        </w:rPr>
        <w:t xml:space="preserve">. </w:t>
      </w:r>
      <w:r>
        <w:rPr>
          <w:rtl w:val="true"/>
        </w:rPr>
        <w:t>לאחר שהגישה המדינה ערעור לבית משפט זה על קולת העונש</w:t>
      </w:r>
      <w:r>
        <w:rPr>
          <w:rtl w:val="true"/>
        </w:rPr>
        <w:t xml:space="preserve">, </w:t>
      </w:r>
      <w:r>
        <w:rPr>
          <w:rtl w:val="true"/>
        </w:rPr>
        <w:t>החמיר בית המשפט את עונשו 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 נסיבות חייו הקשות של המשיב</w:t>
      </w:r>
      <w:r>
        <w:rPr>
          <w:rtl w:val="true"/>
        </w:rPr>
        <w:t xml:space="preserve">, </w:t>
      </w:r>
      <w:r>
        <w:rPr>
          <w:rtl w:val="true"/>
        </w:rPr>
        <w:t>עברו הנקי והודאתו במעשיו</w:t>
      </w:r>
      <w:r>
        <w:rPr>
          <w:rtl w:val="true"/>
        </w:rPr>
        <w:t xml:space="preserve">, </w:t>
      </w:r>
      <w:r>
        <w:rPr>
          <w:rtl w:val="true"/>
        </w:rPr>
        <w:t>עשויים להצדיק הקלה מסוימת בעונש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כבר נפסק כי בבואו לגזור את עונשו של מי שהורשע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ליתן משקל משמעותי לאינטרס הציבורי ולצורך להרתיע מפני ביצוע עבירות דומות בעתיד על פני נסיבותיו האישיות של העבריין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8899/06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29.7.2007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11.8.2019</w:t>
      </w:r>
      <w:r>
        <w:rPr>
          <w:rtl w:val="true"/>
        </w:rPr>
        <w:t xml:space="preserve">)). </w:t>
      </w:r>
      <w:r>
        <w:rPr>
          <w:rtl w:val="true"/>
        </w:rPr>
        <w:t>זאת בפרט לאור העובדה כי העבירות בוצעו על רקע אידיאולוגי</w:t>
      </w:r>
      <w:r>
        <w:rPr>
          <w:rtl w:val="true"/>
        </w:rPr>
        <w:t>-</w:t>
      </w:r>
      <w:r>
        <w:rPr>
          <w:rtl w:val="true"/>
        </w:rPr>
        <w:t xml:space="preserve">לאומני מתוך מטרה לפגוע בביטחון המדינה ותושביה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28.9.2014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(</w:t>
      </w:r>
      <w:r>
        <w:rPr/>
        <w:t>2.8.2016</w:t>
      </w:r>
      <w:r>
        <w:rPr>
          <w:rtl w:val="true"/>
        </w:rPr>
        <w:t xml:space="preserve">)). </w:t>
      </w:r>
      <w:r>
        <w:rPr>
          <w:rtl w:val="true"/>
        </w:rPr>
        <w:t xml:space="preserve">וכן נוכח היותו של המשיב אזרח ישראלי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7314/04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16.5.2006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מפארגה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(</w:t>
      </w:r>
      <w:r>
        <w:rPr/>
        <w:t>29.10.2015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6.12.2016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מצאנו כי העמדת עונשו של המשיב בגין עבירות הנשק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בצירוף הקביעה כי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מתוכם ירוצו בחופף לעונש המאסר שהוטל על המשיב בגין עבירות האישום הראשון</w:t>
      </w:r>
      <w:r>
        <w:rPr>
          <w:rtl w:val="true"/>
        </w:rPr>
        <w:t xml:space="preserve">, </w:t>
      </w:r>
      <w:r>
        <w:rPr>
          <w:rtl w:val="true"/>
        </w:rPr>
        <w:t>אין בה כדי להלום את מדיניות הענישה הנהוגה במקרים דומים לענייננו</w:t>
      </w:r>
      <w:r>
        <w:rPr>
          <w:rtl w:val="true"/>
        </w:rPr>
        <w:t xml:space="preserve">. </w:t>
      </w:r>
      <w:r>
        <w:rPr>
          <w:rtl w:val="true"/>
        </w:rPr>
        <w:t>זאת בפרט בשים לב לפוטנציאל הפגיעה הרב הטמון בנשק מסוג מטען חבלה אותו ניסה המשיב לייצר באמצעים שעמדו לרשותו</w:t>
      </w:r>
      <w:r>
        <w:rPr>
          <w:rtl w:val="true"/>
        </w:rPr>
        <w:t xml:space="preserve">, </w:t>
      </w:r>
      <w:r>
        <w:rPr>
          <w:rtl w:val="true"/>
        </w:rPr>
        <w:t xml:space="preserve">להישנותם של מעשיו ולהיעדר מוכנותו ליטול אחריות למעשיו ולהכיר בחומרתם </w:t>
      </w:r>
      <w:r>
        <w:rPr>
          <w:rtl w:val="true"/>
        </w:rPr>
        <w:t>–</w:t>
      </w:r>
      <w:r>
        <w:rPr>
          <w:rtl w:val="true"/>
        </w:rPr>
        <w:t xml:space="preserve"> כולן נסיבות שיש בהן כדי להעצים את חומרת מעשיו של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דין הערעור להתקבל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מאחר שאין זה מדרכה של ערכאת הערעור למצות את הדין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סמארה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5</w:t>
      </w:r>
      <w:r>
        <w:rPr/>
        <w:t>.11.2019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ראינו להחמיר את העונש בגין עבירות הנשק באופן מתון</w:t>
      </w:r>
      <w:r>
        <w:rPr>
          <w:rtl w:val="true"/>
        </w:rPr>
        <w:t xml:space="preserve">, </w:t>
      </w:r>
      <w:r>
        <w:rPr>
          <w:rtl w:val="true"/>
        </w:rPr>
        <w:t xml:space="preserve">כך שעונש המאסר בפועל בגין שני האישומים יעמוד בסך הכול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שאר רכיבי העונש 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25.11.2019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19054460</w:t>
      </w:r>
      <w:r>
        <w:rPr>
          <w:sz w:val="16"/>
          <w:rtl w:val="true"/>
        </w:rPr>
        <w:t>_</w:t>
      </w:r>
      <w:r>
        <w:rPr>
          <w:sz w:val="16"/>
        </w:rPr>
        <w:t>Y02.docx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54678313-5446/19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5446/19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חוסיין הוארי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1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141771" TargetMode="External"/><Relationship Id="rId8" Type="http://schemas.openxmlformats.org/officeDocument/2006/relationships/hyperlink" Target="http://www.nevo.co.il/law/70301/11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70301/114.a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case/24140726" TargetMode="External"/><Relationship Id="rId19" Type="http://schemas.openxmlformats.org/officeDocument/2006/relationships/hyperlink" Target="http://www.nevo.co.il/case/25430243" TargetMode="External"/><Relationship Id="rId20" Type="http://schemas.openxmlformats.org/officeDocument/2006/relationships/hyperlink" Target="http://www.nevo.co.il/case/21474520" TargetMode="External"/><Relationship Id="rId21" Type="http://schemas.openxmlformats.org/officeDocument/2006/relationships/hyperlink" Target="http://www.nevo.co.il/case/23850962" TargetMode="External"/><Relationship Id="rId22" Type="http://schemas.openxmlformats.org/officeDocument/2006/relationships/hyperlink" Target="http://www.nevo.co.il/case/6000182" TargetMode="External"/><Relationship Id="rId23" Type="http://schemas.openxmlformats.org/officeDocument/2006/relationships/hyperlink" Target="http://www.nevo.co.il/case/21478438" TargetMode="External"/><Relationship Id="rId24" Type="http://schemas.openxmlformats.org/officeDocument/2006/relationships/hyperlink" Target="http://www.nevo.co.il/case/25612982" TargetMode="External"/><Relationship Id="rId25" Type="http://schemas.openxmlformats.org/officeDocument/2006/relationships/hyperlink" Target="http://www.nevo.co.il/case/17948154" TargetMode="External"/><Relationship Id="rId26" Type="http://schemas.openxmlformats.org/officeDocument/2006/relationships/hyperlink" Target="http://www.nevo.co.il/case/6105853" TargetMode="External"/><Relationship Id="rId27" Type="http://schemas.openxmlformats.org/officeDocument/2006/relationships/hyperlink" Target="http://www.nevo.co.il/case/5804154" TargetMode="External"/><Relationship Id="rId28" Type="http://schemas.openxmlformats.org/officeDocument/2006/relationships/hyperlink" Target="http://www.nevo.co.il/case/25836997" TargetMode="External"/><Relationship Id="rId29" Type="http://schemas.openxmlformats.org/officeDocument/2006/relationships/hyperlink" Target="http://www.nevo.co.il/case/18067750" TargetMode="External"/><Relationship Id="rId30" Type="http://schemas.openxmlformats.org/officeDocument/2006/relationships/hyperlink" Target="http://www.nevo.co.il/case/21472737" TargetMode="External"/><Relationship Id="rId31" Type="http://schemas.openxmlformats.org/officeDocument/2006/relationships/hyperlink" Target="http://www.nevo.co.il/case/5871272" TargetMode="External"/><Relationship Id="rId32" Type="http://schemas.openxmlformats.org/officeDocument/2006/relationships/hyperlink" Target="http://www.nevo.co.il/case/20670515" TargetMode="External"/><Relationship Id="rId33" Type="http://schemas.openxmlformats.org/officeDocument/2006/relationships/hyperlink" Target="http://www.nevo.co.il/case/21729943" TargetMode="External"/><Relationship Id="rId34" Type="http://schemas.openxmlformats.org/officeDocument/2006/relationships/hyperlink" Target="http://www.nevo.co.il/case/25824863" TargetMode="External"/><Relationship Id="rId35" Type="http://schemas.openxmlformats.org/officeDocument/2006/relationships/hyperlink" Target="http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2019-11-27T09:06:00Z</dcterms:created>
  <dc:creator>h4</dc:creator>
  <dc:description/>
  <cp:keywords/>
  <dc:language>en-IL</dc:language>
  <cp:lastModifiedBy>orly</cp:lastModifiedBy>
  <cp:lastPrinted>2019-11-25T19:07:00Z</cp:lastPrinted>
  <dcterms:modified xsi:type="dcterms:W3CDTF">2019-11-27T09:06:00Z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חוסיין הוארי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24140726;25430243;21474520;23850962;6000182;21478438;25612982;17948154;6105853;5804154;25836997;18067750;21472737;5871272;20670515;21729943;25824863</vt:lpwstr>
  </property>
  <property fmtid="{D5CDD505-2E9C-101B-9397-08002B2CF9AE}" pid="9" name="CITY">
    <vt:lpwstr/>
  </property>
  <property fmtid="{D5CDD505-2E9C-101B-9397-08002B2CF9AE}" pid="10" name="DATE">
    <vt:lpwstr>20191125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מזוז;ג' קרא;ע' גרוסקופף</vt:lpwstr>
  </property>
  <property fmtid="{D5CDD505-2E9C-101B-9397-08002B2CF9AE}" pid="14" name="LAWLISTTMP1">
    <vt:lpwstr>70301/114.a:2;144.b2:2;025:2;144.a:2</vt:lpwstr>
  </property>
  <property fmtid="{D5CDD505-2E9C-101B-9397-08002B2CF9AE}" pid="15" name="LAWLISTTMP2">
    <vt:lpwstr>141771</vt:lpwstr>
  </property>
  <property fmtid="{D5CDD505-2E9C-101B-9397-08002B2CF9AE}" pid="16" name="LAWYER">
    <vt:lpwstr>נסים שמיה;שרית משגב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ביטחון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>מדיניות ענישה: מתחם הענישה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13800;8985;8995;8982;15752</vt:lpwstr>
  </property>
  <property fmtid="{D5CDD505-2E9C-101B-9397-08002B2CF9AE}" pid="60" name="PADIDATE">
    <vt:lpwstr>20191127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5446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410120191125</vt:lpwstr>
  </property>
  <property fmtid="{D5CDD505-2E9C-101B-9397-08002B2CF9AE}" pid="70" name="TYPE_N_DATE">
    <vt:lpwstr>41020191125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