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545/20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6"/>
          <w:szCs w:val="20"/>
        </w:rPr>
      </w:pPr>
      <w:r>
        <w:rPr>
          <w:rFonts w:cs="Miriam"/>
          <w:b/>
          <w:bCs/>
          <w:sz w:val="16"/>
          <w:szCs w:val="2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31.12.2019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26863-07-19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ארז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פורת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22.4.2021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כנאענה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הים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פרנקל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8" w:name="ABSTRACT_START"/>
      <w:bookmarkEnd w:id="8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נתפס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נושא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אקדח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הכולל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מתחייבת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לשדר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מרתיע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</w:t>
      </w:r>
      <w:r>
        <w:rPr>
          <w:rFonts w:cs="FrankRuehl"/>
          <w:szCs w:val="26"/>
          <w:rtl w:val="true"/>
        </w:rPr>
        <w:t>שנים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האחרונות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מגלה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נ</w:t>
      </w:r>
      <w:r>
        <w:rPr>
          <w:rFonts w:cs="FrankRuehl"/>
          <w:szCs w:val="26"/>
          <w:rtl w:val="true"/>
        </w:rPr>
        <w:t>גזר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התערבות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ערעור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מחוזי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בגדרו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szCs w:val="26"/>
          <w:rtl w:val="true"/>
        </w:rPr>
        <w:t xml:space="preserve"> </w:t>
      </w:r>
      <w:hyperlink r:id="rId6">
        <w:r>
          <w:rPr>
            <w:rStyle w:val="Hyperlink"/>
            <w:rFonts w:cs="FrankRuehl"/>
            <w:szCs w:val="26"/>
            <w:rtl w:val="true"/>
          </w:rPr>
          <w:t>סעיפים</w:t>
        </w:r>
        <w:r>
          <w:rPr>
            <w:rStyle w:val="Hyperlink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</w:rPr>
          <w:t>144</w:t>
        </w:r>
        <w:r>
          <w:rPr>
            <w:rStyle w:val="Hyperlink"/>
            <w:rFonts w:cs="FrankRuehl"/>
            <w:szCs w:val="26"/>
            <w:rtl w:val="true"/>
          </w:rPr>
          <w:t>(</w:t>
        </w:r>
        <w:r>
          <w:rPr>
            <w:rStyle w:val="Hyperlink"/>
            <w:rFonts w:cs="FrankRuehl"/>
            <w:szCs w:val="26"/>
            <w:rtl w:val="true"/>
          </w:rPr>
          <w:t>א</w:t>
        </w:r>
        <w:r>
          <w:rPr>
            <w:rStyle w:val="Hyperlink"/>
            <w:rFonts w:cs="FrankRuehl"/>
            <w:szCs w:val="26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וסיפא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hyperlink r:id="rId7">
        <w:r>
          <w:rPr>
            <w:rStyle w:val="Hyperlink"/>
            <w:rFonts w:cs="FrankRuehl"/>
            <w:szCs w:val="26"/>
          </w:rPr>
          <w:t>144</w:t>
        </w:r>
        <w:r>
          <w:rPr>
            <w:rStyle w:val="Hyperlink"/>
            <w:rFonts w:cs="FrankRuehl"/>
            <w:szCs w:val="26"/>
            <w:rtl w:val="true"/>
          </w:rPr>
          <w:t>(</w:t>
        </w:r>
        <w:r>
          <w:rPr>
            <w:rStyle w:val="Hyperlink"/>
            <w:rFonts w:cs="FrankRuehl"/>
            <w:szCs w:val="26"/>
            <w:rtl w:val="true"/>
          </w:rPr>
          <w:t>ב</w:t>
        </w:r>
        <w:r>
          <w:rPr>
            <w:rStyle w:val="Hyperlink"/>
            <w:rFonts w:cs="FrankRuehl"/>
            <w:szCs w:val="26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וסיפא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8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בניכוי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ושמונה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עפ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נתפס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נוהג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כשהוא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מוביל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ומחזיק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אקדח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חצי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אוטומטי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50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כדורים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במעמד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הוסכם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האקדח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לבצע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במועד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תפיסתו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מבקש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בערעורו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למצער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לקצרו</w:t>
      </w:r>
      <w:r>
        <w:rPr>
          <w:rFonts w:cs="FrankRuehl"/>
          <w:szCs w:val="26"/>
          <w:rtl w:val="true"/>
        </w:rPr>
        <w:t>.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מפי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גרוסקופף</w:t>
      </w:r>
      <w:r>
        <w:rPr>
          <w:rFonts w:cs="FrankRuehl"/>
          <w:szCs w:val="26"/>
          <w:rtl w:val="true"/>
        </w:rPr>
        <w:t>)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דחה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מהטעמים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הבאים</w:t>
      </w:r>
      <w:r>
        <w:rPr>
          <w:rFonts w:cs="FrankRuehl"/>
          <w:szCs w:val="26"/>
          <w:rtl w:val="true"/>
        </w:rPr>
        <w:t>: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הלכה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מדרכה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בחומרת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ובולטת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חורג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ממדיניות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עניינו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בגדרם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>.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נתפס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נושא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אקדח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המיוחדת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הכרוך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בהיותן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לפעילות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ומאיימות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מתחייבת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לשדר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מרתיע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בשורה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ארוכה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שיצאו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מלפני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האחרונות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מגלה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שגזר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זאת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בחינת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מלמדת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לטענות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העובדה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האקדח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ברשות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בהכרח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בהינתן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שהתפיסה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ארעה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בסמוך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שהנשק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התקבל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בנסיבות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הובררו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בתוך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תקינות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האקדח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שנתפס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המשטרה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הובאה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בבחינת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ואולם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להעניק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במיוחד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מודע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הנראה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משקל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בחומרת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מעבר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נסיבותיו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נשקלו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כראוי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והובילו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בגדרי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שהרי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בתחתית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>.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בנוסף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</w:t>
      </w:r>
      <w:r>
        <w:rPr>
          <w:rFonts w:cs="FrankRuehl"/>
          <w:szCs w:val="26"/>
          <w:rtl w:val="true"/>
        </w:rPr>
        <w:t>מצא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מאז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שינוי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בנסיבותיו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FrankRuehl"/>
          <w:szCs w:val="26"/>
          <w:rtl w:val="true"/>
        </w:rPr>
        <w:t>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היענות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לבקשת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הדחייה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שתסקיר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מזכיר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תזוזה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מסוימת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בהתייחסותו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ומבהיר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1"/>
        <w:shd w:fill="FFFFFF" w:val="clear"/>
        <w:bidi w:val="1"/>
        <w:spacing w:lineRule="auto" w:line="360" w:before="0" w:after="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31.12.2019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26863-07-19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ארז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11"/>
        <w:shd w:fill="FFFFFF" w:val="clear"/>
        <w:bidi w:val="1"/>
        <w:spacing w:lineRule="auto" w:line="360" w:before="0" w:after="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cs="Times New Roman"/>
          <w:szCs w:val="20"/>
        </w:rPr>
      </w:pPr>
      <w:r>
        <w:rPr>
          <w:rtl w:val="true"/>
        </w:rPr>
        <w:t xml:space="preserve">ביום </w:t>
      </w:r>
      <w:r>
        <w:rPr/>
        <w:t>11.7.2019</w:t>
      </w:r>
      <w:r>
        <w:rPr>
          <w:rtl w:val="true"/>
        </w:rPr>
        <w:t xml:space="preserve"> </w:t>
      </w:r>
      <w:r>
        <w:rPr>
          <w:rtl w:val="true"/>
        </w:rPr>
        <w:t xml:space="preserve">הוגש נגד </w:t>
      </w:r>
      <w:r>
        <w:rPr>
          <w:rtl w:val="true"/>
        </w:rPr>
        <w:t xml:space="preserve">המערער </w:t>
      </w:r>
      <w:r>
        <w:rPr>
          <w:rtl w:val="true"/>
        </w:rPr>
        <w:t>כתב אישום</w:t>
      </w:r>
      <w:r>
        <w:rPr>
          <w:rtl w:val="true"/>
        </w:rPr>
        <w:t xml:space="preserve">, </w:t>
      </w:r>
      <w:r>
        <w:rPr>
          <w:rtl w:val="true"/>
        </w:rPr>
        <w:t>בגדרו יוחס</w:t>
      </w:r>
      <w:r>
        <w:rPr>
          <w:rtl w:val="true"/>
        </w:rPr>
        <w:t xml:space="preserve">ו לו עבירות נשק </w:t>
      </w:r>
      <w:r>
        <w:rPr>
          <w:rtl w:val="true"/>
        </w:rPr>
        <w:t>(</w:t>
      </w:r>
      <w:hyperlink r:id="rId10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סעיפים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144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רישא וסיפא ו</w:t>
      </w:r>
      <w:r>
        <w:rPr>
          <w:rFonts w:cs="FrankRuehl" w:ascii="FrankRuehl" w:hAnsi="FrankRuehl"/>
          <w:sz w:val="28"/>
          <w:rtl w:val="true"/>
        </w:rPr>
        <w:t>-</w:t>
      </w:r>
      <w:hyperlink r:id="rId11">
        <w:r>
          <w:rPr>
            <w:rStyle w:val="Hyperlink"/>
            <w:rFonts w:cs="FrankRuehl" w:ascii="FrankRuehl" w:hAnsi="FrankRuehl"/>
            <w:sz w:val="28"/>
          </w:rPr>
          <w:t>144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רישא וסיפא ל</w:t>
      </w:r>
      <w:hyperlink r:id="rId12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תשל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>ז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cs="Times New Roman"/>
          <w:szCs w:val="20"/>
        </w:rPr>
      </w:pPr>
      <w:r>
        <w:rPr>
          <w:rFonts w:cs="Times New Roman"/>
          <w:szCs w:val="20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כעולה מכתב האישום המתוקן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25.6.2019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23:15</w:t>
      </w:r>
      <w:r>
        <w:rPr>
          <w:rtl w:val="true"/>
        </w:rPr>
        <w:t xml:space="preserve">, </w:t>
      </w:r>
      <w:r>
        <w:rPr>
          <w:rtl w:val="true"/>
        </w:rPr>
        <w:t xml:space="preserve">בכביש </w:t>
      </w:r>
      <w:r>
        <w:rPr/>
        <w:t>805</w:t>
      </w:r>
      <w:r>
        <w:rPr>
          <w:rtl w:val="true"/>
        </w:rPr>
        <w:t xml:space="preserve"> </w:t>
      </w:r>
      <w:r>
        <w:rPr>
          <w:rtl w:val="true"/>
        </w:rPr>
        <w:t>סמוך ליישוב יעד</w:t>
      </w:r>
      <w:r>
        <w:rPr>
          <w:rtl w:val="true"/>
        </w:rPr>
        <w:t xml:space="preserve">, </w:t>
      </w:r>
      <w:r>
        <w:rPr>
          <w:rtl w:val="true"/>
        </w:rPr>
        <w:t xml:space="preserve">נהג המערער ברכב מסוג מאזדה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כשהוא מוביל ומחזיק אקדח חצי אוטומטי מסוג חילוואן</w:t>
      </w:r>
      <w:r>
        <w:rPr>
          <w:rtl w:val="true"/>
        </w:rPr>
        <w:t xml:space="preserve">, </w:t>
      </w:r>
      <w:r>
        <w:rPr>
          <w:rtl w:val="true"/>
        </w:rPr>
        <w:t xml:space="preserve">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האקדח</w:t>
      </w:r>
      <w:r>
        <w:rPr>
          <w:rtl w:val="true"/>
        </w:rPr>
        <w:t xml:space="preserve">), </w:t>
      </w:r>
      <w:r>
        <w:rPr>
          <w:rtl w:val="true"/>
        </w:rPr>
        <w:t xml:space="preserve">טעון במחסנית ריקה תואמת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לנשק</w:t>
      </w:r>
      <w:r>
        <w:rPr>
          <w:rtl w:val="true"/>
        </w:rPr>
        <w:t xml:space="preserve">), </w:t>
      </w:r>
      <w:r>
        <w:rPr>
          <w:rtl w:val="true"/>
        </w:rPr>
        <w:t>מתחת למושב הנהג ברכב</w:t>
      </w:r>
      <w:r>
        <w:rPr>
          <w:rtl w:val="true"/>
        </w:rPr>
        <w:t xml:space="preserve">, </w:t>
      </w:r>
      <w:r>
        <w:rPr>
          <w:rtl w:val="true"/>
        </w:rPr>
        <w:t>ומוביל</w:t>
      </w:r>
      <w:r>
        <w:rPr>
          <w:rtl w:val="true"/>
        </w:rPr>
        <w:t xml:space="preserve">, </w:t>
      </w:r>
      <w:r>
        <w:rPr>
          <w:rtl w:val="true"/>
        </w:rPr>
        <w:t xml:space="preserve">נושא ומחזיק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על גופו</w:t>
      </w:r>
      <w:r>
        <w:rPr>
          <w:rtl w:val="true"/>
        </w:rPr>
        <w:t xml:space="preserve">, </w:t>
      </w:r>
      <w:r>
        <w:rPr>
          <w:rtl w:val="true"/>
        </w:rPr>
        <w:t>בלא רשות על פי 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ascii="Century" w:hAnsi="Century" w:cs="Miriam"/>
          <w:b/>
          <w:b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" w:hAnsi="FrankRuehl" w:cs="FrankRuehl"/>
          <w:sz w:val="28"/>
          <w:sz w:val="28"/>
          <w:rtl w:val="true"/>
        </w:rPr>
        <w:t xml:space="preserve">בהכרעת הדין מיום </w:t>
      </w:r>
      <w:r>
        <w:rPr>
          <w:rFonts w:cs="FrankRuehl" w:ascii="FrankRuehl" w:hAnsi="FrankRuehl"/>
          <w:sz w:val="28"/>
        </w:rPr>
        <w:t>16.9.2019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הרשיע בית המשפט </w:t>
      </w:r>
      <w:r>
        <w:rPr>
          <w:rFonts w:ascii="FrankRuehl" w:hAnsi="FrankRuehl" w:cs="FrankRuehl"/>
          <w:sz w:val="28"/>
          <w:sz w:val="28"/>
          <w:rtl w:val="true"/>
        </w:rPr>
        <w:t xml:space="preserve">המחוזי </w:t>
      </w:r>
      <w:r>
        <w:rPr>
          <w:rFonts w:ascii="FrankRuehl" w:hAnsi="FrankRuehl" w:cs="FrankRuehl"/>
          <w:sz w:val="28"/>
          <w:sz w:val="28"/>
          <w:rtl w:val="true"/>
        </w:rPr>
        <w:t>את המערער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על פי הודאתו בכתב האישום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בעבירות נשק לפי </w:t>
      </w:r>
      <w:hyperlink r:id="rId13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סעיפים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144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רישא וסיפא ו</w:t>
      </w:r>
      <w:r>
        <w:rPr>
          <w:rFonts w:cs="FrankRuehl" w:ascii="FrankRuehl" w:hAnsi="FrankRuehl"/>
          <w:sz w:val="28"/>
          <w:rtl w:val="true"/>
        </w:rPr>
        <w:t>-</w:t>
      </w:r>
      <w:hyperlink r:id="rId14">
        <w:r>
          <w:rPr>
            <w:rStyle w:val="Hyperlink"/>
            <w:rFonts w:cs="FrankRuehl" w:ascii="FrankRuehl" w:hAnsi="FrankRuehl"/>
            <w:sz w:val="28"/>
          </w:rPr>
          <w:t>144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רישא וסיפא לחוק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יצוין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כי במעמד הכרעת הדין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הוסכם כי האקדח לא היה תקין ולא ניתן היה לבצע בו ירי במועד תפיסתו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31.12.2019</w:t>
      </w:r>
      <w:r>
        <w:rPr>
          <w:rtl w:val="true"/>
        </w:rPr>
        <w:t xml:space="preserve"> </w:t>
      </w:r>
      <w:r>
        <w:rPr>
          <w:rtl w:val="true"/>
        </w:rPr>
        <w:t>גזר בית המשפט המחוזי את דינו של המערער</w:t>
      </w:r>
      <w:r>
        <w:rPr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בק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בעו את מתחם העונש ההולם</w:t>
      </w:r>
      <w:r>
        <w:rPr>
          <w:rtl w:val="true"/>
        </w:rPr>
        <w:t xml:space="preserve">, </w:t>
      </w:r>
      <w:r>
        <w:rPr>
          <w:rtl w:val="true"/>
        </w:rPr>
        <w:t>הביא בית המשפט המחוזי במניין שיקוליו את מידת הפגיעה בערכים המוגנים של שמירה על שלום הציבור ובטחונו</w:t>
      </w:r>
      <w:r>
        <w:rPr>
          <w:rtl w:val="true"/>
        </w:rPr>
        <w:t xml:space="preserve">, </w:t>
      </w:r>
      <w:r>
        <w:rPr>
          <w:rtl w:val="true"/>
        </w:rPr>
        <w:t>בייחוד נוכח המגמה המסוכנת המשתקפת בריבוי תפיסות כלי נשק בלתי חוקיים</w:t>
      </w:r>
      <w:r>
        <w:rPr>
          <w:rtl w:val="true"/>
        </w:rPr>
        <w:t xml:space="preserve">, </w:t>
      </w:r>
      <w:r>
        <w:rPr>
          <w:rtl w:val="true"/>
        </w:rPr>
        <w:t xml:space="preserve">ונסיבות ביצוע העבירה </w:t>
      </w:r>
      <w:r>
        <w:rPr>
          <w:rtl w:val="true"/>
        </w:rPr>
        <w:t>–</w:t>
      </w:r>
      <w:r>
        <w:rPr>
          <w:rtl w:val="true"/>
        </w:rPr>
        <w:t xml:space="preserve"> לרבות אי</w:t>
      </w:r>
      <w:r>
        <w:rPr>
          <w:rtl w:val="true"/>
        </w:rPr>
        <w:t>-</w:t>
      </w:r>
      <w:r>
        <w:rPr>
          <w:rtl w:val="true"/>
        </w:rPr>
        <w:t>תקינות האקדח</w:t>
      </w:r>
      <w:r>
        <w:rPr>
          <w:rtl w:val="true"/>
        </w:rPr>
        <w:t xml:space="preserve">, </w:t>
      </w:r>
      <w:r>
        <w:rPr>
          <w:rtl w:val="true"/>
        </w:rPr>
        <w:t>עובדה שכפי הנראה לא הייתה ידועה למערער עת שביצע את העבירות</w:t>
      </w:r>
      <w:r>
        <w:rPr>
          <w:rtl w:val="true"/>
        </w:rPr>
        <w:t xml:space="preserve">; </w:t>
      </w:r>
      <w:r>
        <w:rPr>
          <w:rtl w:val="true"/>
        </w:rPr>
        <w:t>ומשך הזמן הקצר שהאקדח היה ברשותו עד שנתפס על ידי המשטרה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הובא בחשבון תסקיר שירות המבחן בעניינו של המערער</w:t>
      </w:r>
      <w:r>
        <w:rPr>
          <w:rtl w:val="true"/>
        </w:rPr>
        <w:t xml:space="preserve">, </w:t>
      </w:r>
      <w:r>
        <w:rPr>
          <w:rtl w:val="true"/>
        </w:rPr>
        <w:t>המלמד כי למערער אין נורמות עברייניות</w:t>
      </w:r>
      <w:r>
        <w:rPr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בשים לב לכל אלה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העמיד בית המשפט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המחוזי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את מתחם העונש בעניינ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ו של המערער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על </w:t>
      </w:r>
      <w:r>
        <w:rPr>
          <w:rFonts w:cs="FrankRuehl" w:ascii="FrankRuehl" w:hAnsi="FrankRuehl"/>
          <w:color w:val="000000"/>
          <w:sz w:val="28"/>
        </w:rPr>
        <w:t>10-24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חודשי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מאסר בפועל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tl w:val="true"/>
        </w:rPr>
        <w:t>בקביעת הענישה</w:t>
      </w:r>
      <w:r>
        <w:rPr>
          <w:rtl w:val="true"/>
        </w:rPr>
        <w:t xml:space="preserve">, </w:t>
      </w:r>
      <w:r>
        <w:rPr>
          <w:rtl w:val="true"/>
        </w:rPr>
        <w:t>בית המשפט המחוזי נתן דעתו לדברי אביו של המערער</w:t>
      </w:r>
      <w:r>
        <w:rPr>
          <w:rtl w:val="true"/>
        </w:rPr>
        <w:t xml:space="preserve">; </w:t>
      </w:r>
      <w:r>
        <w:rPr>
          <w:rtl w:val="true"/>
        </w:rPr>
        <w:t>היעדר עבר פלילי</w:t>
      </w:r>
      <w:r>
        <w:rPr>
          <w:rtl w:val="true"/>
        </w:rPr>
        <w:t xml:space="preserve">; </w:t>
      </w:r>
      <w:r>
        <w:rPr>
          <w:rtl w:val="true"/>
        </w:rPr>
        <w:t>הודאת המערער בהזדמנות הראשונה</w:t>
      </w:r>
      <w:r>
        <w:rPr>
          <w:rtl w:val="true"/>
        </w:rPr>
        <w:t xml:space="preserve">; </w:t>
      </w:r>
      <w:r>
        <w:rPr>
          <w:rtl w:val="true"/>
        </w:rPr>
        <w:t>וכן דברי המערער לפניו</w:t>
      </w:r>
      <w:r>
        <w:rPr>
          <w:rtl w:val="true"/>
        </w:rPr>
        <w:t xml:space="preserve">, </w:t>
      </w:r>
      <w:r>
        <w:rPr>
          <w:rtl w:val="true"/>
        </w:rPr>
        <w:t>אשר הביע חרטה על המעשה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כל זאת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</w:t>
      </w:r>
      <w:r>
        <w:rPr>
          <w:rtl w:val="true"/>
        </w:rPr>
        <w:t>המחוזי</w:t>
      </w:r>
      <w:r>
        <w:rPr>
          <w:rtl w:val="true"/>
        </w:rPr>
        <w:t xml:space="preserve"> כי יש להעמיד את עונש המאסר</w:t>
      </w:r>
      <w:r>
        <w:rPr>
          <w:rtl w:val="true"/>
        </w:rPr>
        <w:t xml:space="preserve"> בפועל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בניכוי ימי מעצרו</w:t>
      </w:r>
      <w:r>
        <w:rPr>
          <w:rtl w:val="true"/>
        </w:rPr>
        <w:t xml:space="preserve">, </w:t>
      </w:r>
      <w:r>
        <w:rPr>
          <w:rtl w:val="true"/>
        </w:rPr>
        <w:t xml:space="preserve">לצד מאסר על תנאי למשך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חודשים בתנאי שלא 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עבירה מסוג העבירה בה הורשע וכן קנס על סך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 מאסר בתמורה לקנס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ascii="Century" w:hAnsi="Century" w:cs="Miriam"/>
          <w:b/>
          <w:b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Century"/>
          <w:b/>
          <w:szCs w:val="24"/>
        </w:rPr>
      </w:pPr>
      <w:r>
        <w:rPr>
          <w:rFonts w:cs="Century" w:ascii="Century" w:hAnsi="Century"/>
          <w:b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מופנה כלפי חומרת העונש</w:t>
      </w:r>
      <w:r>
        <w:rPr>
          <w:rtl w:val="true"/>
        </w:rPr>
        <w:t xml:space="preserve">, </w:t>
      </w:r>
      <w:r>
        <w:rPr>
          <w:rtl w:val="true"/>
        </w:rPr>
        <w:t>ובגדרו עותר המערער בבקשה לבטל את רכיב המאסר בפועל שהוטל עליו</w:t>
      </w:r>
      <w:r>
        <w:rPr>
          <w:rtl w:val="true"/>
        </w:rPr>
        <w:t xml:space="preserve">, </w:t>
      </w:r>
      <w:r>
        <w:rPr>
          <w:rtl w:val="true"/>
        </w:rPr>
        <w:t>ותחתיו להטיל עונש שאינו כולל 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>או למצער לקצרו</w:t>
      </w:r>
      <w:r>
        <w:rPr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לטענתו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מתחם העונש שנקבע חורג לחומרה במידה ניכרת ממתחם העונש הראוי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ואינו מבטא את נסיבות ביצוע העבירה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הודעת הערעור עומדת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על נסיבות ביצוע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העבירה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שלא קיבלו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לטענת המערער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משקל ראוי בגזר הדין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ובהן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עוד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עומד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הערעור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על מכלול נסיבותיו האישיו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גילו הצעיר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בעת ביצוע העבירה היה בן </w:t>
      </w:r>
      <w:r>
        <w:rPr>
          <w:rFonts w:cs="FrankRuehl" w:ascii="FrankRuehl" w:hAnsi="FrankRuehl"/>
          <w:color w:val="000000"/>
          <w:sz w:val="28"/>
          <w:shd w:fill="FFFFFF" w:val="clear"/>
        </w:rPr>
        <w:t>27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);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היעדר עבר פלילי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תקופת המעצר בה שהה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מיום </w:t>
      </w:r>
      <w:r>
        <w:rPr>
          <w:rFonts w:cs="FrankRuehl" w:ascii="FrankRuehl" w:hAnsi="FrankRuehl"/>
          <w:color w:val="000000"/>
          <w:sz w:val="28"/>
          <w:shd w:fill="FFFFFF" w:val="clear"/>
        </w:rPr>
        <w:t>25.6.2019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ועד יום </w:t>
      </w:r>
      <w:r>
        <w:rPr>
          <w:rFonts w:cs="FrankRuehl" w:ascii="FrankRuehl" w:hAnsi="FrankRuehl"/>
          <w:color w:val="000000"/>
          <w:sz w:val="28"/>
          <w:shd w:fill="FFFFFF" w:val="clear"/>
        </w:rPr>
        <w:t>11.8.2019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);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הפגיעה שנגרמה למערער ולמשפחתו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הודאתו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בהזדמנות הראשונה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שהביאה לחסכון בזמן שיפוטי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והחרטה הכנה שהביע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כמו כן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פורטו ההשפעות השליליות של מאסר ראשון על אדם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הדיון בערעור</w:t>
      </w:r>
      <w:r>
        <w:rPr>
          <w:rtl w:val="true"/>
        </w:rPr>
        <w:t xml:space="preserve">, </w:t>
      </w:r>
      <w:r>
        <w:rPr>
          <w:rtl w:val="true"/>
        </w:rPr>
        <w:t>הוגש לעיוננו תסקיר עדכני של שירות המבחן</w:t>
      </w:r>
      <w:r>
        <w:rPr>
          <w:rtl w:val="true"/>
        </w:rPr>
        <w:t xml:space="preserve">, </w:t>
      </w:r>
      <w:r>
        <w:rPr>
          <w:rtl w:val="true"/>
        </w:rPr>
        <w:t>ממנו עולה כי המערער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החל בתהליך ראשוני של התבוננות פנימית וגילה תובנות טובות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כי הוא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מבטא מוטיבציה לשינוי אורחות חייו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לאור זאת</w:t>
      </w:r>
      <w:r>
        <w:rPr>
          <w:rtl w:val="true"/>
        </w:rPr>
        <w:t xml:space="preserve">, </w:t>
      </w:r>
      <w:r>
        <w:rPr>
          <w:rtl w:val="true"/>
        </w:rPr>
        <w:t xml:space="preserve">הועלתה האפשרות לדחות את הדיון בערעור למשך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חודשים על מנת שהמערער יוכל להשתלב בהליך טיפולי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הדחייה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מצידה</w:t>
      </w:r>
      <w:r>
        <w:rPr>
          <w:rtl w:val="true"/>
        </w:rPr>
        <w:t xml:space="preserve">, </w:t>
      </w:r>
      <w:r>
        <w:rPr>
          <w:rtl w:val="true"/>
        </w:rPr>
        <w:t>סבורה שדין הערעור להידחות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העונש שנגזר על המערער ממילא מקל</w:t>
      </w:r>
      <w:r>
        <w:rPr>
          <w:rtl w:val="true"/>
        </w:rPr>
        <w:t xml:space="preserve">, </w:t>
      </w:r>
      <w:r>
        <w:rPr>
          <w:rtl w:val="true"/>
        </w:rPr>
        <w:t>בהתחשב בחומרת העבירות בהן הוא הורשע ובמכלול הנסיבות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בדיון שבפנינו הביעה המדינה התנגדותה לבקשת הדחייה</w:t>
      </w:r>
      <w:r>
        <w:rPr>
          <w:rtl w:val="true"/>
        </w:rPr>
        <w:t xml:space="preserve">, </w:t>
      </w:r>
      <w:r>
        <w:rPr>
          <w:rtl w:val="true"/>
        </w:rPr>
        <w:t>בנמקה כי התהליך החיובי שעובר המערער בינו לבינו מצוי אך בחיתוליו</w:t>
      </w:r>
      <w:r>
        <w:rPr>
          <w:rtl w:val="true"/>
        </w:rPr>
        <w:t xml:space="preserve">, </w:t>
      </w:r>
      <w:r>
        <w:rPr>
          <w:rtl w:val="true"/>
        </w:rPr>
        <w:t>כפי שעולה מהתסקיר</w:t>
      </w:r>
      <w:r>
        <w:rPr>
          <w:rtl w:val="true"/>
        </w:rPr>
        <w:t xml:space="preserve">, </w:t>
      </w:r>
      <w:r>
        <w:rPr>
          <w:rtl w:val="true"/>
        </w:rPr>
        <w:t>ואינו טעם המצדיק דחיית הדיון בערעור</w:t>
      </w:r>
      <w:r>
        <w:rPr>
          <w:rtl w:val="true"/>
        </w:rPr>
        <w:t xml:space="preserve">;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כי עבירות אלו</w:t>
      </w:r>
      <w:r>
        <w:rPr>
          <w:rtl w:val="true"/>
        </w:rPr>
        <w:t xml:space="preserve">, </w:t>
      </w:r>
      <w:r>
        <w:rPr>
          <w:rtl w:val="true"/>
        </w:rPr>
        <w:t>על חומרתן</w:t>
      </w:r>
      <w:r>
        <w:rPr>
          <w:rtl w:val="true"/>
        </w:rPr>
        <w:t xml:space="preserve">, </w:t>
      </w:r>
      <w:r>
        <w:rPr>
          <w:rtl w:val="true"/>
        </w:rPr>
        <w:t>מחייבות הטלת עונש מאסר 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ascii="Century" w:hAnsi="Century" w:cs="Miriam"/>
          <w:b/>
          <w:b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  <w:b/>
          <w:szCs w:val="24"/>
        </w:rPr>
      </w:pPr>
      <w:r>
        <w:rPr>
          <w:rFonts w:cs="Century" w:ascii="Century" w:hAnsi="Century"/>
          <w:b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בערעור ובצרופותיו</w:t>
      </w:r>
      <w:r>
        <w:rPr>
          <w:rtl w:val="true"/>
        </w:rPr>
        <w:t xml:space="preserve">, </w:t>
      </w:r>
      <w:r>
        <w:rPr>
          <w:rtl w:val="true"/>
        </w:rPr>
        <w:t>ושמיעת טיעוניהם של באי</w:t>
      </w:r>
      <w:r>
        <w:rPr>
          <w:rtl w:val="true"/>
        </w:rPr>
        <w:t>-</w:t>
      </w:r>
      <w:r>
        <w:rPr>
          <w:rtl w:val="true"/>
        </w:rPr>
        <w:t>כוח הצדדים</w:t>
      </w:r>
      <w:r>
        <w:rPr>
          <w:rtl w:val="true"/>
        </w:rPr>
        <w:t xml:space="preserve">, </w:t>
      </w:r>
      <w:r>
        <w:rPr>
          <w:rtl w:val="true"/>
        </w:rPr>
        <w:t>באנו לכלל מסקנה כי דין הערעור להידחות</w:t>
      </w:r>
      <w:r>
        <w:rPr>
          <w:rtl w:val="true"/>
        </w:rPr>
        <w:t xml:space="preserve">, </w:t>
      </w:r>
      <w:r>
        <w:rPr>
          <w:rtl w:val="true"/>
        </w:rPr>
        <w:t>והכל מהטעמים שיפורטו להלן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cs="Times New Roman"/>
          <w:color w:val="000000"/>
          <w:szCs w:val="20"/>
        </w:rPr>
      </w:pPr>
      <w:r>
        <w:rPr>
          <w:rtl w:val="true"/>
        </w:rPr>
        <w:t>הלכה היא כי אין זה מדרכה של ערכאת הערעור להתערב בחומרת העונש</w:t>
      </w:r>
      <w:r>
        <w:rPr>
          <w:rtl w:val="true"/>
        </w:rPr>
        <w:t xml:space="preserve">, </w:t>
      </w:r>
      <w:r>
        <w:rPr>
          <w:rtl w:val="true"/>
        </w:rPr>
        <w:t>אלא במקרים חריגים שבהם נפלה טעות מהותית ובולטת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כאשר העונש שנגזר על המערער חורג באופן ממשי ממדיניות הענישה הראויה או הנוהגת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רושרוש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21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19.7.2020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9104/20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טבצ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ניקוב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10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4.3.2021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7069/20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8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11.2.2021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2802/18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ואמיס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11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26.7.2018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עניינו של המערער אינו בא בגדרם של אלו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spacing w:val="8"/>
          <w:shd w:fill="FFFFFF" w:val="clear"/>
          <w:rtl w:val="true"/>
        </w:rPr>
        <w:t>המערער נתפס כאשר הוא נושא אקדח ותחמושת ללא רישיון</w:t>
      </w:r>
      <w:r>
        <w:rPr>
          <w:spacing w:val="8"/>
          <w:shd w:fill="FFFFFF" w:val="clear"/>
          <w:rtl w:val="true"/>
        </w:rPr>
        <w:t xml:space="preserve">. </w:t>
      </w:r>
      <w:r>
        <w:rPr>
          <w:spacing w:val="8"/>
          <w:shd w:fill="FFFFFF" w:val="clear"/>
          <w:rtl w:val="true"/>
        </w:rPr>
        <w:t>בית משפט זה עמד לא פעם על חומרתן המיוחדת של עבירות נשק ועל פוטנציאל הנזק הכרוך בהן</w:t>
      </w:r>
      <w:r>
        <w:rPr>
          <w:spacing w:val="8"/>
          <w:shd w:fill="FFFFFF" w:val="clear"/>
          <w:rtl w:val="true"/>
        </w:rPr>
        <w:t xml:space="preserve">, </w:t>
      </w:r>
      <w:r>
        <w:rPr>
          <w:spacing w:val="8"/>
          <w:shd w:fill="FFFFFF" w:val="clear"/>
          <w:rtl w:val="true"/>
        </w:rPr>
        <w:t xml:space="preserve">בהיותן בסיס לפעילות עבריינית אלימה ומאיימות על שלום הציבור כולו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ראו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מיני רבים</w:t>
      </w:r>
      <w:r>
        <w:rPr>
          <w:shd w:fill="FFFFFF" w:val="clear"/>
          <w:rtl w:val="true"/>
        </w:rPr>
        <w:t xml:space="preserve">, </w:t>
      </w:r>
      <w:hyperlink r:id="rId19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135/17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בסל</w:t>
      </w:r>
      <w:r>
        <w:rPr>
          <w:shd w:fill="FFFFFF" w:val="clear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10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8.3.2017</w:t>
      </w:r>
      <w:r>
        <w:rPr>
          <w:shd w:fill="FFFFFF" w:val="clear"/>
          <w:rtl w:val="true"/>
        </w:rPr>
        <w:t xml:space="preserve">); </w:t>
      </w:r>
      <w:hyperlink r:id="rId20">
        <w:r>
          <w:rPr>
            <w:rStyle w:val="Hyperlink"/>
            <w:shd w:fill="FFFFFF" w:val="clear"/>
          </w:rPr>
          <w:t>2251/11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נפעא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5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4.12.2011</w:t>
      </w:r>
      <w:r>
        <w:rPr>
          <w:shd w:fill="FFFFFF" w:val="clear"/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1397/16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חמאיל</w:t>
      </w:r>
      <w:r>
        <w:rPr>
          <w:shd w:fill="FFFFFF" w:val="clear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12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6.9.2016</w:t>
      </w:r>
      <w:r>
        <w:rPr>
          <w:shd w:fill="FFFFFF" w:val="clear"/>
          <w:rtl w:val="true"/>
        </w:rPr>
        <w:t xml:space="preserve">); </w:t>
      </w:r>
      <w:hyperlink r:id="rId22">
        <w:r>
          <w:rPr>
            <w:rStyle w:val="Hyperlink"/>
            <w:shd w:fill="FFFFFF" w:val="clear"/>
          </w:rPr>
          <w:t>315/20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טאה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17-18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7.6.2020</w:t>
      </w:r>
      <w:r>
        <w:rPr>
          <w:shd w:fill="FFFFFF" w:val="clear"/>
          <w:rtl w:val="true"/>
        </w:rPr>
        <w:t xml:space="preserve">)). </w:t>
      </w:r>
      <w:r>
        <w:rPr>
          <w:shd w:fill="FFFFFF" w:val="clear"/>
          <w:rtl w:val="true"/>
        </w:rPr>
        <w:t xml:space="preserve">לא אחת גם צוין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כי מתחייבת החמרה ממשית בענישה על עבירות אלו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על מנת לשדר מסר מרתיע מפני ביצוען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 xml:space="preserve">ראו למשל </w:t>
      </w:r>
      <w:hyperlink r:id="rId23">
        <w:r>
          <w:rPr>
            <w:rStyle w:val="Hyperlink"/>
            <w:shd w:fill="FFFFFF" w:val="clear"/>
          </w:rPr>
          <w:t>2422/14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10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21.12.2014</w:t>
      </w:r>
      <w:r>
        <w:rPr>
          <w:shd w:fill="FFFFFF" w:val="clear"/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2918/13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דבס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8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18.7.2013</w:t>
      </w:r>
      <w:r>
        <w:rPr>
          <w:shd w:fill="FFFFFF" w:val="clear"/>
          <w:rtl w:val="true"/>
        </w:rPr>
        <w:t xml:space="preserve">); </w:t>
      </w:r>
      <w:hyperlink r:id="rId25">
        <w:r>
          <w:rPr>
            <w:rStyle w:val="Hyperlink"/>
            <w:shd w:fill="FFFFFF" w:val="clear"/>
          </w:rPr>
          <w:t>4945/13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סלימאן</w:t>
      </w:r>
      <w:r>
        <w:rPr>
          <w:shd w:fill="FFFFFF" w:val="clear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14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19.1.2014</w:t>
      </w:r>
      <w:r>
        <w:rPr>
          <w:shd w:fill="FFFFFF" w:val="clear"/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4329/10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אסמעאיל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25.10.2010</w:t>
      </w:r>
      <w:r>
        <w:rPr>
          <w:shd w:fill="FFFFFF" w:val="clear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עיון בשורה ארוכה של פסקי דין שיצאו מלפני בית משפט זה בשנים האחרונות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לרבות באלה אשר אוזכרו לעיל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מגלה כי העונש שגזר בית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המשפט המחוזי הוא על הצד המקל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hd w:fill="FFFFFF" w:val="clear"/>
          <w:rtl w:val="true"/>
        </w:rPr>
        <w:t>זאת ועוד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בחינת גזר דינו של בית המשפט המחוזי מלמדת כי ניתן בו כבר משקל הולם לטענות לקולא שהעלה המערער</w:t>
      </w:r>
      <w:r>
        <w:rPr>
          <w:shd w:fill="FFFFFF" w:val="clear"/>
          <w:rtl w:val="true"/>
        </w:rPr>
        <w:t xml:space="preserve">. </w:t>
      </w:r>
      <w:r>
        <w:rPr>
          <w:rtl w:val="true"/>
        </w:rPr>
        <w:t xml:space="preserve">העובדה </w:t>
      </w:r>
      <w:r>
        <w:rPr>
          <w:shd w:fill="FFFFFF" w:val="clear"/>
          <w:rtl w:val="true"/>
        </w:rPr>
        <w:t>כי האקדח היה ברשות המערער למשך זמן קצר בלבד אינה בהכרח נסיבה מקלה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בהינתן </w:t>
      </w:r>
      <w:r>
        <w:rPr>
          <w:rtl w:val="true"/>
        </w:rPr>
        <w:t>שהתפיסה ארעה בסמוך לאחר שהנשק התקבל על ידי המערער מאחר</w:t>
      </w:r>
      <w:r>
        <w:rPr>
          <w:rtl w:val="true"/>
        </w:rPr>
        <w:t xml:space="preserve">, </w:t>
      </w:r>
      <w:r>
        <w:rPr>
          <w:rtl w:val="true"/>
        </w:rPr>
        <w:t>בנסיבות שלא הובררו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בתוך כך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אי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תקינות האקדח בעת שנתפס על ידי המשטרה הובאה בחשבון בבחינת נסיבה מקלה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ואולם לא ניתן להעניק לה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במיוחד בשים לב לכך שהמערער לא היה מודע ככל הנראה לעניין זה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משקל המצדיק הקלה נוספת בחומרת הענישה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בוודאי שאין בכך כדי להצדיק דיון מחודש בהכרעת הדין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כפי שביקש בא כוח המערער בתום הטיעון בעל פה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בהעדר ערעור על הכרעת הדין</w:t>
      </w:r>
      <w:r>
        <w:rPr>
          <w:shd w:fill="FFFFFF" w:val="clear"/>
          <w:rtl w:val="true"/>
        </w:rPr>
        <w:t xml:space="preserve">). </w:t>
      </w:r>
      <w:r>
        <w:rPr>
          <w:shd w:fill="FFFFFF" w:val="clear"/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גם נסיבותיו האישיות של המערער נשקלו על ידי בית המשפט קמא כראוי</w:t>
      </w:r>
      <w:r>
        <w:rPr>
          <w:rtl w:val="true"/>
        </w:rPr>
        <w:t xml:space="preserve">, </w:t>
      </w:r>
      <w:r>
        <w:rPr>
          <w:rtl w:val="true"/>
        </w:rPr>
        <w:t>והובילו להקלה בעונשו 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>שהרי עונשו של המערער נגזר בתחתית המתחם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בנוסף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לא מצא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נו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כי חל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מאז גזר דינו של בית המשפט קמא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שינוי משמעותי בנסיבותיו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של המערער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המצדיק הקלה בעונש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 או היענות לבקשת הדחייה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וזאת בשים לב לכך שתסקיר שירות המבחן מזכיר רק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תזוזה מסוימת בהתייחסותו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"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של המערער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ומבהיר כי הליך השיקום בעניינו טרם החל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hd w:fill="FFFFFF" w:val="clear"/>
        </w:rPr>
      </w:pPr>
      <w:r>
        <w:rPr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משכך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לא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ראינו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מקום להתערב בשיקול דעתה של הערכאה הדיונית בגזירת עונשו של המערער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דין הערעור 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hd w:fill="FFFFFF" w:val="clear"/>
        </w:rPr>
      </w:pPr>
      <w:r>
        <w:rPr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hd w:fill="FFFFFF" w:val="clear"/>
          <w:rtl w:val="true"/>
        </w:rPr>
        <w:t xml:space="preserve">המערער </w:t>
      </w:r>
      <w:r>
        <w:rPr>
          <w:shd w:fill="FFFFFF" w:val="clear"/>
          <w:rtl w:val="true"/>
        </w:rPr>
        <w:t xml:space="preserve">יתייצב </w:t>
      </w:r>
      <w:r>
        <w:rPr>
          <w:shd w:fill="FFFFFF" w:val="clear"/>
          <w:rtl w:val="true"/>
        </w:rPr>
        <w:t xml:space="preserve">לשאת בעונש המאסר בפועל שהוטל עליו ביום </w:t>
      </w:r>
      <w:r>
        <w:rPr>
          <w:shd w:fill="FFFFFF" w:val="clear"/>
        </w:rPr>
        <w:t>30.5.2021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עד השעה </w:t>
      </w:r>
      <w:r>
        <w:rPr>
          <w:shd w:fill="FFFFFF" w:val="clear"/>
        </w:rPr>
        <w:t>10:00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בבימ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ר </w:t>
      </w:r>
      <w:r>
        <w:rPr>
          <w:shd w:fill="FFFFFF" w:val="clear"/>
          <w:rtl w:val="true"/>
        </w:rPr>
        <w:t>קישון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או על פי החלטת שירות בתי הסוהר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כשברשותו תעודת זהות או דרכון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על המערער לתאם את הכניסה למאסר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כולל האפשרות למיון מוקדם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עם ענף אבחון ומיון של שירות בתי הסוהר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בטלפונים</w:t>
      </w:r>
      <w:r>
        <w:rPr>
          <w:shd w:fill="FFFFFF" w:val="clear"/>
          <w:rtl w:val="true"/>
        </w:rPr>
        <w:t xml:space="preserve">: </w:t>
      </w:r>
      <w:r>
        <w:rPr>
          <w:shd w:fill="FFFFFF" w:val="clear"/>
        </w:rPr>
        <w:t>08-9787377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או </w:t>
      </w:r>
      <w:r>
        <w:rPr>
          <w:shd w:fill="FFFFFF" w:val="clear"/>
        </w:rPr>
        <w:t>08-9787336</w:t>
      </w:r>
      <w:r>
        <w:rPr>
          <w:shd w:fill="FFFFFF" w:val="clear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3.5.2021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20005450</w:t>
      </w:r>
      <w:r>
        <w:rPr>
          <w:sz w:val="16"/>
          <w:rtl w:val="true"/>
        </w:rPr>
        <w:t>_</w:t>
      </w:r>
      <w:r>
        <w:rPr>
          <w:sz w:val="16"/>
        </w:rPr>
        <w:t>Y09.docx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54678313-545/20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545/20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/>
        <w:b w:val="false"/>
        <w:kern w:val="0"/>
        <w:szCs w:val="28"/>
        <w:bCs w:val="false"/>
        <w:w w:val="100"/>
        <w:vanish w:val="false"/>
        <w:rFonts w:ascii="Century" w:hAnsi="Century" w:cs="FrankRuehl"/>
        <w:color w:val="000000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term1">
    <w:name w:val="term_1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85794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585794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case/26329687" TargetMode="External"/><Relationship Id="rId16" Type="http://schemas.openxmlformats.org/officeDocument/2006/relationships/hyperlink" Target="http://www.nevo.co.il/case/27272576" TargetMode="External"/><Relationship Id="rId17" Type="http://schemas.openxmlformats.org/officeDocument/2006/relationships/hyperlink" Target="http://www.nevo.co.il/case/27078678" TargetMode="External"/><Relationship Id="rId18" Type="http://schemas.openxmlformats.org/officeDocument/2006/relationships/hyperlink" Target="http://www.nevo.co.il/case/23850962" TargetMode="External"/><Relationship Id="rId19" Type="http://schemas.openxmlformats.org/officeDocument/2006/relationships/hyperlink" Target="http://www.nevo.co.il/case/22006503" TargetMode="External"/><Relationship Id="rId20" Type="http://schemas.openxmlformats.org/officeDocument/2006/relationships/hyperlink" Target="http://www.nevo.co.il/case/5821327" TargetMode="External"/><Relationship Id="rId21" Type="http://schemas.openxmlformats.org/officeDocument/2006/relationships/hyperlink" Target="http://www.nevo.co.il/case/21472788" TargetMode="External"/><Relationship Id="rId22" Type="http://schemas.openxmlformats.org/officeDocument/2006/relationships/hyperlink" Target="http://www.nevo.co.il/case/26358476" TargetMode="External"/><Relationship Id="rId23" Type="http://schemas.openxmlformats.org/officeDocument/2006/relationships/hyperlink" Target="http://www.nevo.co.il/case/13090914" TargetMode="External"/><Relationship Id="rId24" Type="http://schemas.openxmlformats.org/officeDocument/2006/relationships/hyperlink" Target="http://www.nevo.co.il/case/6950458" TargetMode="External"/><Relationship Id="rId25" Type="http://schemas.openxmlformats.org/officeDocument/2006/relationships/hyperlink" Target="http://www.nevo.co.il/case/7791493" TargetMode="External"/><Relationship Id="rId26" Type="http://schemas.openxmlformats.org/officeDocument/2006/relationships/hyperlink" Target="http://www.nevo.co.il/case/5950172" TargetMode="External"/><Relationship Id="rId27" Type="http://schemas.openxmlformats.org/officeDocument/2006/relationships/hyperlink" Target="https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2021-05-06T06:53:00Z</dcterms:created>
  <dc:creator>h4</dc:creator>
  <dc:description/>
  <cp:keywords/>
  <dc:language>en-IL</dc:language>
  <cp:lastModifiedBy>hofit</cp:lastModifiedBy>
  <cp:lastPrinted>2021-05-03T09:07:00Z</cp:lastPrinted>
  <dcterms:modified xsi:type="dcterms:W3CDTF">2021-05-06T06:53:00Z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25857941:2;26329687;27272576;27078678;23850962;22006503;5821327;21472788;26358476;13090914;6950458;7791493;5950172</vt:lpwstr>
  </property>
  <property fmtid="{D5CDD505-2E9C-101B-9397-08002B2CF9AE}" pid="9" name="CITY">
    <vt:lpwstr/>
  </property>
  <property fmtid="{D5CDD505-2E9C-101B-9397-08002B2CF9AE}" pid="10" name="DATE">
    <vt:lpwstr>20210503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מינץ;ע' גרוסקופף;א' שטיין</vt:lpwstr>
  </property>
  <property fmtid="{D5CDD505-2E9C-101B-9397-08002B2CF9AE}" pid="14" name="LAWLISTTMP1">
    <vt:lpwstr>70301/144.a:2;144.b:2</vt:lpwstr>
  </property>
  <property fmtid="{D5CDD505-2E9C-101B-9397-08002B2CF9AE}" pid="15" name="LAWYER">
    <vt:lpwstr>הדר פרנקל;כנאענה אבראהים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13800;8982</vt:lpwstr>
  </property>
  <property fmtid="{D5CDD505-2E9C-101B-9397-08002B2CF9AE}" pid="59" name="PADIDATE">
    <vt:lpwstr>20210504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545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410120210503</vt:lpwstr>
  </property>
  <property fmtid="{D5CDD505-2E9C-101B-9397-08002B2CF9AE}" pid="69" name="TYPE_N_DATE">
    <vt:lpwstr>41020210503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