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5462/18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לואי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זועבי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הכרעת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וגזר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בנצרת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</w:rPr>
                <w:t>1001/12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3.3.2017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11.6.2018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(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בהתאמה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)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אשר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ניתנו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יטרית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04.12.2019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מוטי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זלושינסקי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32"/>
          <w:szCs w:val="40"/>
        </w:rPr>
      </w:pPr>
      <w:r>
        <w:rPr>
          <w:sz w:val="32"/>
          <w:szCs w:val="40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5" w:name="ABSTRACT_START"/>
      <w:bookmarkEnd w:id="5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המכוונות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מוטב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המבוססת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לקיפוח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נפקותם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שוטרים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9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נלווים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נקודת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מתערבת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ואמינה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מפורשות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לסתירות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בגרסאות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המהימנה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מובהקות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להעניק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כבושות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מועט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בחקירתו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לזיכויו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מוטב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ובוחנת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שנתפסה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המבוססת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לקיפוח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ומשכך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לזיכויו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ברגליו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הבריחה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לברוח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מהתחנה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עדויותיהם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השוטרים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שתפסו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ומנעו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מלברוח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בריחתו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שהוגדרה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מהימנה</w:t>
      </w:r>
      <w:r>
        <w:rPr>
          <w:rFonts w:cs="FrankRuehl"/>
          <w:sz w:val="24"/>
          <w:szCs w:val="26"/>
          <w:rtl w:val="true"/>
        </w:rPr>
        <w:t xml:space="preserve">" –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המשטרה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בכפיו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לחתך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20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בראשו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32"/>
          <w:szCs w:val="40"/>
        </w:rPr>
      </w:pPr>
      <w:r>
        <w:rPr>
          <w:rFonts w:cs="FrankRuehl"/>
          <w:sz w:val="32"/>
          <w:szCs w:val="40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8" w:name="PsakDin"/>
            <w:bookmarkStart w:id="9" w:name="BeginProtocol"/>
            <w:bookmarkStart w:id="10" w:name="secretary"/>
            <w:bookmarkEnd w:id="8"/>
            <w:bookmarkEnd w:id="9"/>
            <w:bookmarkEnd w:id="10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sz w:val="20"/>
          <w:szCs w:val="24"/>
        </w:rPr>
      </w:pPr>
      <w:r>
        <w:rPr>
          <w:sz w:val="20"/>
          <w:szCs w:val="24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1" w:name="Writer_Name"/>
      <w:bookmarkEnd w:id="11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2" w:name="Start_Write"/>
      <w:bookmarkStart w:id="13" w:name="Start_Write"/>
      <w:bookmarkEnd w:id="13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לפנינו ערעור על הכרעת וגזר דינו של בית המשפט המחוזי בנצרת </w:t>
      </w:r>
      <w:r>
        <w:rPr>
          <w:rtl w:val="true"/>
        </w:rPr>
        <w:t>(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שיטרית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1001/12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3.3.2017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ומיום </w:t>
      </w:r>
      <w:r>
        <w:rPr>
          <w:rFonts w:cs="Century" w:ascii="Century" w:hAnsi="Century"/>
          <w:sz w:val="22"/>
        </w:rPr>
        <w:t>11.6.2018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בהתאמה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בגדרם הורשע המערער בביצוע שורה של עבירות אלימות ועבירות כנגד שוטרים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ונגזרו עליו עונש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בפועל ועונשים נלווים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המפורט באישום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1.8.2012</w:t>
      </w:r>
      <w:r>
        <w:rPr>
          <w:rtl w:val="true"/>
        </w:rPr>
        <w:t xml:space="preserve"> </w:t>
      </w:r>
      <w:r>
        <w:rPr>
          <w:rtl w:val="true"/>
        </w:rPr>
        <w:t xml:space="preserve">בסמוך לשעה </w:t>
      </w:r>
      <w:r>
        <w:rPr/>
        <w:t>18:30</w:t>
      </w:r>
      <w:r>
        <w:rPr>
          <w:rtl w:val="true"/>
        </w:rPr>
        <w:t xml:space="preserve"> </w:t>
      </w:r>
      <w:r>
        <w:rPr>
          <w:rtl w:val="true"/>
        </w:rPr>
        <w:t>נכנס המערער כשהוא מצויד בסכין יחד עם אדם אחר למסגרייה שבה שהה המתלונן</w:t>
      </w:r>
      <w:r>
        <w:rPr>
          <w:rtl w:val="true"/>
        </w:rPr>
        <w:t xml:space="preserve">. </w:t>
      </w:r>
      <w:r>
        <w:rPr>
          <w:rtl w:val="true"/>
        </w:rPr>
        <w:t>המערער ואותו אחר ניגשו למתלונן והחלו להכותו במכות ובבעיטות ברגליו ובאשכיו</w:t>
      </w:r>
      <w:r>
        <w:rPr>
          <w:rtl w:val="true"/>
        </w:rPr>
        <w:t xml:space="preserve">. </w:t>
      </w:r>
      <w:r>
        <w:rPr>
          <w:rtl w:val="true"/>
        </w:rPr>
        <w:t>בהמשך שלף המערער סכין וחתך את המתלונן בראשו</w:t>
      </w:r>
      <w:r>
        <w:rPr>
          <w:rtl w:val="true"/>
        </w:rPr>
        <w:t xml:space="preserve">. </w:t>
      </w:r>
      <w:r>
        <w:rPr>
          <w:rtl w:val="true"/>
        </w:rPr>
        <w:t>או אז האחר נטל מוט ברזל שהיה מונח במקום</w:t>
      </w:r>
      <w:r>
        <w:rPr>
          <w:rtl w:val="true"/>
        </w:rPr>
        <w:t xml:space="preserve">, </w:t>
      </w:r>
      <w:r>
        <w:rPr>
          <w:rtl w:val="true"/>
        </w:rPr>
        <w:t>הלם באמצעותו בכתפו ובצווארו של המתלונן</w:t>
      </w:r>
      <w:r>
        <w:rPr>
          <w:rtl w:val="true"/>
        </w:rPr>
        <w:t xml:space="preserve">, </w:t>
      </w:r>
      <w:r>
        <w:rPr>
          <w:rtl w:val="true"/>
        </w:rPr>
        <w:t>והלה נפל על רצפת המקום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בשלב זה החלו המערער ואותו אחר להימלט מהמקום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נטל המתלונן אבן שהייתה במקום והשליכה לעברם</w:t>
      </w:r>
      <w:r>
        <w:rPr>
          <w:rtl w:val="true"/>
        </w:rPr>
        <w:t xml:space="preserve">. </w:t>
      </w:r>
      <w:r>
        <w:rPr>
          <w:rtl w:val="true"/>
        </w:rPr>
        <w:t>האבן פגעה בראשו של המערער</w:t>
      </w:r>
      <w:r>
        <w:rPr>
          <w:rtl w:val="true"/>
        </w:rPr>
        <w:t xml:space="preserve">, </w:t>
      </w:r>
      <w:r>
        <w:rPr>
          <w:rtl w:val="true"/>
        </w:rPr>
        <w:t>אך זה המשיך במנוסה עד שהגיע למתחם ה</w:t>
      </w:r>
      <w:r>
        <w:rPr>
          <w:rtl w:val="true"/>
        </w:rPr>
        <w:t>-"</w:t>
      </w:r>
      <w:r>
        <w:rPr>
          <w:rtl w:val="true"/>
        </w:rPr>
        <w:t>קאנטרי</w:t>
      </w:r>
      <w:r>
        <w:rPr>
          <w:rtl w:val="true"/>
        </w:rPr>
        <w:t xml:space="preserve">" </w:t>
      </w:r>
      <w:r>
        <w:rPr>
          <w:rtl w:val="true"/>
        </w:rPr>
        <w:t>הסמוך למסגרייה</w:t>
      </w:r>
      <w:r>
        <w:rPr>
          <w:rtl w:val="true"/>
        </w:rPr>
        <w:t xml:space="preserve">, </w:t>
      </w:r>
      <w:r>
        <w:rPr>
          <w:rtl w:val="true"/>
        </w:rPr>
        <w:t>ונכנס לשירותים במקום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לרדוף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התמוטט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הקאנטרי</w:t>
      </w:r>
      <w:r>
        <w:rPr>
          <w:rtl w:val="true"/>
        </w:rPr>
        <w:t xml:space="preserve">.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הוזעקו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במנוסתו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ושפשופים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ברגליו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אושפז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המפורט באישום השני בכתב האישום</w:t>
      </w:r>
      <w:r>
        <w:rPr>
          <w:rtl w:val="true"/>
        </w:rPr>
        <w:t xml:space="preserve">, </w:t>
      </w:r>
      <w:r>
        <w:rPr>
          <w:rtl w:val="true"/>
        </w:rPr>
        <w:t>כחמישה ימים לאחר תקיפת המתלונן</w:t>
      </w:r>
      <w:r>
        <w:rPr>
          <w:rtl w:val="true"/>
        </w:rPr>
        <w:t xml:space="preserve">, </w:t>
      </w:r>
      <w:r>
        <w:rPr>
          <w:rtl w:val="true"/>
        </w:rPr>
        <w:t>נעצר המערער והובא לחקירה בתחנת המשטרה בנצרת עילית</w:t>
      </w:r>
      <w:r>
        <w:rPr>
          <w:rtl w:val="true"/>
        </w:rPr>
        <w:t xml:space="preserve">. </w:t>
      </w:r>
      <w:r>
        <w:rPr>
          <w:rtl w:val="true"/>
        </w:rPr>
        <w:t>במהלך החקירה  ניסה המערער לברוח ממעצרו אך נתפס על ידי שוטרי התחנה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בהכרעת דינו</w:t>
      </w:r>
      <w:r>
        <w:rPr>
          <w:rtl w:val="true"/>
        </w:rPr>
        <w:t xml:space="preserve">, </w:t>
      </w:r>
      <w:r>
        <w:rPr>
          <w:rtl w:val="true"/>
        </w:rPr>
        <w:t>הנפרשת על למעלה מ</w:t>
      </w:r>
      <w:r>
        <w:rPr>
          <w:rtl w:val="true"/>
        </w:rPr>
        <w:t>-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עמודים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המחוזי כי יריעת המחלוקת בין הצדדים ביחס לאישום הראשון היא </w:t>
      </w:r>
      <w:r>
        <w:rPr>
          <w:rtl w:val="true"/>
        </w:rPr>
        <w:t>"</w:t>
      </w:r>
      <w:r>
        <w:rPr>
          <w:rtl w:val="true"/>
        </w:rPr>
        <w:t>מצומצמת ביותר</w:t>
      </w:r>
      <w:r>
        <w:rPr>
          <w:rtl w:val="true"/>
        </w:rPr>
        <w:t xml:space="preserve">", </w:t>
      </w:r>
      <w:r>
        <w:rPr>
          <w:rtl w:val="true"/>
        </w:rPr>
        <w:t>וכי היא מתמצה בשאלה האם המערער הוא שתקף את המתלונן</w:t>
      </w:r>
      <w:r>
        <w:rPr>
          <w:rtl w:val="true"/>
        </w:rPr>
        <w:t xml:space="preserve">, </w:t>
      </w:r>
      <w:r>
        <w:rPr>
          <w:rtl w:val="true"/>
        </w:rPr>
        <w:t>כמתואר בכתב האישום</w:t>
      </w:r>
      <w:r>
        <w:rPr>
          <w:rtl w:val="true"/>
        </w:rPr>
        <w:t xml:space="preserve">, </w:t>
      </w:r>
      <w:r>
        <w:rPr>
          <w:rtl w:val="true"/>
        </w:rPr>
        <w:t>או שמא המערער הותקף על ידי המתלונן</w:t>
      </w:r>
      <w:r>
        <w:rPr>
          <w:rtl w:val="true"/>
        </w:rPr>
        <w:t xml:space="preserve">, </w:t>
      </w:r>
      <w:r>
        <w:rPr>
          <w:rtl w:val="true"/>
        </w:rPr>
        <w:t>כטענת 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ישנן</w:t>
      </w:r>
      <w:r>
        <w:rPr>
          <w:rFonts w:eastAsia="Arial TUR;Arial" w:cs="Arial TUR;Arial"/>
          <w:rtl w:val="true"/>
        </w:rPr>
        <w:t xml:space="preserve"> </w:t>
      </w:r>
      <w:bookmarkStart w:id="14" w:name="Seif6"/>
      <w:r>
        <w:rPr>
          <w:rtl w:val="true"/>
        </w:rPr>
        <w:t>תוספות</w:t>
      </w:r>
      <w:r>
        <w:rPr>
          <w:rFonts w:eastAsia="Arial TUR;Arial" w:cs="Arial TUR;Arial"/>
          <w:rtl w:val="true"/>
        </w:rPr>
        <w:t xml:space="preserve"> </w:t>
      </w:r>
      <w:bookmarkEnd w:id="14"/>
      <w:r>
        <w:rPr>
          <w:rtl w:val="true"/>
        </w:rPr>
        <w:t>ראייתיות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המחזקות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שבתיק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כמהימנות</w:t>
      </w:r>
      <w:r>
        <w:rPr>
          <w:rtl w:val="true"/>
        </w:rPr>
        <w:t xml:space="preserve">, </w:t>
      </w:r>
      <w:r>
        <w:rPr>
          <w:rtl w:val="true"/>
        </w:rPr>
        <w:t>ודחה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. </w:t>
      </w:r>
      <w:r>
        <w:rPr>
          <w:rtl w:val="true"/>
        </w:rPr>
        <w:t>משנקבע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הבריחה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 דינו</w:t>
      </w:r>
      <w:r>
        <w:rPr>
          <w:rtl w:val="true"/>
        </w:rPr>
        <w:t xml:space="preserve">, </w:t>
      </w:r>
      <w:r>
        <w:rPr>
          <w:rtl w:val="true"/>
        </w:rPr>
        <w:t>התחשב בית המשפט המחוזי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בחלוף הזמן ממועד ביצוע העבירות</w:t>
      </w:r>
      <w:r>
        <w:rPr>
          <w:rtl w:val="true"/>
        </w:rPr>
        <w:t xml:space="preserve">, </w:t>
      </w:r>
      <w:r>
        <w:rPr>
          <w:rtl w:val="true"/>
        </w:rPr>
        <w:t>ובנסיבותיו האישיות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וגזר עליו עונש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ועונשים נלווים וב</w:t>
      </w:r>
      <w:bookmarkStart w:id="15" w:name="Seif8"/>
      <w:r>
        <w:rPr>
          <w:rtl w:val="true"/>
        </w:rPr>
        <w:t xml:space="preserve">כלל זאת </w:t>
      </w:r>
      <w:bookmarkEnd w:id="15"/>
      <w:r>
        <w:rPr>
          <w:rtl w:val="true"/>
        </w:rPr>
        <w:t xml:space="preserve">תשלום קנס בסך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בערעורו על הכרעת הדין טוען המערער שלוש טענות מרכזיות בכל הנוגע להרשעתו באישום הראשון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אין ליתן אמון בעדות המתלונן נוכח סתירות ואי דיוקים העולים מגרסאותיו השונות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לא ניתן משקל הולם לעדותם של שניים מעדי ההגנה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שאף אחד מהם לא נכח באירוע התקיפה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אשר תמכו בגרסתו של המערער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נפלו בתיק מחדלי חקירה חמורים המצדיקים את זיכויו בדין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בין היתר בשל כך שלא הופקו</w:t>
      </w:r>
      <w:r>
        <w:rPr>
          <w:rtl w:val="true"/>
        </w:rPr>
        <w:t xml:space="preserve"> ממצאי 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 מהסכין אשר נתפסה בזירה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להרשעתו באישום השני</w:t>
      </w:r>
      <w:r>
        <w:rPr>
          <w:rtl w:val="true"/>
        </w:rPr>
        <w:t xml:space="preserve">, </w:t>
      </w:r>
      <w:r>
        <w:rPr>
          <w:rtl w:val="true"/>
        </w:rPr>
        <w:t>המערער סבור כי די בעובדה שהיה אזוק ברגליו בעת שהותו בתחנת המשטרה כדי לעורר ספק סביר במיוחס לו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במסגרת הערעור על גזר הדין טען המערער כי יש להקל בעונשו</w:t>
      </w:r>
      <w:r>
        <w:rPr>
          <w:rtl w:val="true"/>
        </w:rPr>
        <w:t xml:space="preserve">, </w:t>
      </w:r>
      <w:r>
        <w:rPr>
          <w:rtl w:val="true"/>
        </w:rPr>
        <w:t>באופן שירצה את עונש המאסר אשר הוטל עליו במסגרת עבודות שירות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לא ניתן משקל מספיק לנסיבותיו האישיות בעת גזירת עונשו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סמכה ידיה על פסק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וטענה כי אין להתערב בממצאי העובדה והמהימנות שנקבעו על ידי בית המשפט המחוזי</w:t>
      </w:r>
      <w:r>
        <w:rPr>
          <w:rtl w:val="true"/>
        </w:rPr>
        <w:t xml:space="preserve">, </w:t>
      </w:r>
      <w:r>
        <w:rPr>
          <w:rtl w:val="true"/>
        </w:rPr>
        <w:t>אשר סקר בהרחבה את מכלול חומר הראיות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העונש שהוטל על המערער אינו סוטה ממדיניות הענישה המקובלת במקרים דומים</w:t>
      </w:r>
      <w:r>
        <w:rPr>
          <w:rtl w:val="true"/>
        </w:rPr>
        <w:t xml:space="preserve">, </w:t>
      </w:r>
      <w:r>
        <w:rPr>
          <w:rtl w:val="true"/>
        </w:rPr>
        <w:t>ואינו מצדיק על כן את התערבותה של ערכאת 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דין הערעור להידחות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נקודת המוצא לצורך דיוננו היא כי ערכאת הערעור אינה מתערבת בממצאי עובדה ומהימנות אשר נקבעו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במקרים חריגים בלבד </w:t>
      </w:r>
      <w:r>
        <w:rPr>
          <w:rtl w:val="true"/>
        </w:rPr>
        <w:t>(</w:t>
      </w:r>
      <w:hyperlink r:id="rId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3817/18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ב</w:t>
      </w:r>
      <w:bookmarkStart w:id="16" w:name="Seif1"/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bookmarkEnd w:id="16"/>
      <w:r>
        <w:rPr>
          <w:rFonts w:cs="Century" w:ascii="Century" w:hAnsi="Century"/>
          <w:sz w:val="22"/>
        </w:rPr>
        <w:t>40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לחוות דעתי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3.12.2019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כמתואר לעיל</w:t>
      </w:r>
      <w:r>
        <w:rPr>
          <w:rtl w:val="true"/>
        </w:rPr>
        <w:t xml:space="preserve">, </w:t>
      </w:r>
      <w:r>
        <w:rPr>
          <w:rtl w:val="true"/>
        </w:rPr>
        <w:t>הרשעת המערער באישום הראשון הושתתה בין היתר על עדות  המתלונן</w:t>
      </w:r>
      <w:r>
        <w:rPr>
          <w:rtl w:val="true"/>
        </w:rPr>
        <w:t xml:space="preserve">, </w:t>
      </w:r>
      <w:r>
        <w:rPr>
          <w:rtl w:val="true"/>
        </w:rPr>
        <w:t>אשר העיד על תקיפתו בידי המערער</w:t>
      </w:r>
      <w:r>
        <w:rPr>
          <w:rtl w:val="true"/>
        </w:rPr>
        <w:t xml:space="preserve">. </w:t>
      </w:r>
      <w:r>
        <w:rPr>
          <w:rtl w:val="true"/>
        </w:rPr>
        <w:t>בהקשר זה קבע בית המשפט המחוזי כי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אותות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לאמצה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ממצאים</w:t>
      </w:r>
      <w:r>
        <w:rPr>
          <w:rtl w:val="true"/>
        </w:rPr>
        <w:t>.." (</w:t>
      </w:r>
      <w:bookmarkStart w:id="17" w:name="Seif2"/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bookmarkEnd w:id="17"/>
      <w:r>
        <w:rPr/>
        <w:t>145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תימוכין לגרסת המתלונן מצא בית המשפט בעדותו של השוטר אשקר שתפס את המערער מיד לאחר תקיפתו את המתלונן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אשקר אישר בעדותו את תוכנו של דו</w:t>
      </w:r>
      <w:r>
        <w:rPr>
          <w:rtl w:val="true"/>
        </w:rPr>
        <w:t>"</w:t>
      </w:r>
      <w:r>
        <w:rPr>
          <w:rtl w:val="true"/>
        </w:rPr>
        <w:t>ח הפעולה אשר ערך עם תפיסת המערער על ידי כוחות השיטור</w:t>
      </w:r>
      <w:r>
        <w:rPr>
          <w:rtl w:val="true"/>
        </w:rPr>
        <w:t xml:space="preserve">, </w:t>
      </w:r>
      <w:r>
        <w:rPr>
          <w:rtl w:val="true"/>
        </w:rPr>
        <w:t>שבו נכתב כי כאשר נשאל המערער מדוע תקף את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השיב כי </w:t>
      </w:r>
      <w:r>
        <w:rPr>
          <w:rtl w:val="true"/>
        </w:rPr>
        <w:t>"</w:t>
      </w:r>
      <w:r>
        <w:rPr>
          <w:rtl w:val="true"/>
        </w:rPr>
        <w:t xml:space="preserve">זכותו לכנס </w:t>
      </w:r>
      <w:r>
        <w:rPr>
          <w:rtl w:val="true"/>
        </w:rPr>
        <w:t>[</w:t>
      </w:r>
      <w:r>
        <w:rPr>
          <w:rtl w:val="true"/>
        </w:rPr>
        <w:t xml:space="preserve">כך במקור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 xml:space="preserve">לאן שהוא רוצה ובגלל שהסודני </w:t>
      </w:r>
      <w:r>
        <w:rPr>
          <w:rtl w:val="true"/>
        </w:rPr>
        <w:t>[</w:t>
      </w:r>
      <w:r>
        <w:rPr>
          <w:rtl w:val="true"/>
        </w:rPr>
        <w:t xml:space="preserve">המתלונן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>ת</w:t>
      </w:r>
      <w:r>
        <w:rPr>
          <w:rFonts w:cs="Century" w:ascii="Century" w:hAnsi="Century"/>
          <w:sz w:val="22"/>
          <w:rtl w:val="true"/>
        </w:rPr>
        <w:t>/</w:t>
      </w:r>
      <w:r>
        <w:rPr>
          <w:rFonts w:cs="Century" w:ascii="Century" w:hAnsi="Century"/>
          <w:sz w:val="22"/>
        </w:rPr>
        <w:t>18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ההדגשה הוספה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ראה גם </w:t>
      </w:r>
      <w:r>
        <w:rPr>
          <w:rFonts w:ascii="Century" w:hAnsi="Century" w:cs="Century"/>
          <w:sz w:val="22"/>
          <w:sz w:val="22"/>
          <w:rtl w:val="true"/>
        </w:rPr>
        <w:t>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53-54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לפרוטוקול</w:t>
      </w:r>
      <w:r>
        <w:rPr>
          <w:rFonts w:ascii="Century" w:hAnsi="Century" w:cs="Century"/>
          <w:sz w:val="22"/>
          <w:sz w:val="22"/>
          <w:rtl w:val="true"/>
        </w:rPr>
        <w:t xml:space="preserve"> הדיון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ascii="Century" w:hAnsi="Century" w:cs="Century"/>
          <w:sz w:val="22"/>
          <w:sz w:val="22"/>
          <w:rtl w:val="true"/>
        </w:rPr>
        <w:t>בית המשפט המחוזי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אמירה זו של המערער יש בה כדי להוות ראשית הודאה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לפחות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באשמתו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והיא מחזקת את גרסת המתלונן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תיעד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כהוויתם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בית המשפט המחוזי התייחס מפורשות לאותן סתירות בגרסאות המתלונן עליהן מצביע המערער במסגרת הערעור</w:t>
      </w:r>
      <w:r>
        <w:rPr>
          <w:rtl w:val="true"/>
        </w:rPr>
        <w:t xml:space="preserve">, </w:t>
      </w:r>
      <w:r>
        <w:rPr>
          <w:rtl w:val="true"/>
        </w:rPr>
        <w:t>וקבע כי אין באלו כדי לשמוט את הקרקע תחת עדותו המהימנה</w:t>
      </w:r>
      <w:r>
        <w:rPr>
          <w:rtl w:val="true"/>
        </w:rPr>
        <w:t xml:space="preserve">, </w:t>
      </w:r>
      <w:r>
        <w:rPr>
          <w:rtl w:val="true"/>
        </w:rPr>
        <w:t>אשר נמצא לה חיזוק במקורות ראייתיים נוספים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לנוכח כל האמור</w:t>
      </w:r>
      <w:r>
        <w:rPr>
          <w:rtl w:val="true"/>
        </w:rPr>
        <w:t xml:space="preserve">, </w:t>
      </w:r>
      <w:r>
        <w:rPr>
          <w:rtl w:val="true"/>
        </w:rPr>
        <w:t xml:space="preserve">ומשקבע בית המשפט המחוזי קביעות מהימנות כה מובהקות לעניין עדות המתלונן </w:t>
      </w:r>
      <w:r>
        <w:rPr>
          <w:rtl w:val="true"/>
        </w:rPr>
        <w:t>–</w:t>
      </w:r>
      <w:r>
        <w:rPr>
          <w:rtl w:val="true"/>
        </w:rPr>
        <w:t xml:space="preserve"> יש לדחות את הטענה כי אין ליתן אמון בעדותו</w:t>
      </w:r>
      <w:r>
        <w:rPr>
          <w:rtl w:val="true"/>
        </w:rPr>
        <w:t xml:space="preserve">, </w:t>
      </w:r>
      <w:r>
        <w:rPr>
          <w:rtl w:val="true"/>
        </w:rPr>
        <w:t>או כי יש להתערב בממצאים אלו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איני מקבל גם את טענת המערער לפיה היה ראוי להעניק משקל ראייתי משמעותי יותר לעדותם של עדי ההגנה עלי נאסר ואחמד זועבי</w:t>
      </w:r>
      <w:r>
        <w:rPr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עדויות</w:t>
      </w:r>
      <w:r>
        <w:rPr>
          <w:rtl w:val="true"/>
        </w:rPr>
        <w:t xml:space="preserve"> אלו הוגדרו בבית המשפט המחוזי כעדויות כבושות</w:t>
      </w:r>
      <w:r>
        <w:rPr>
          <w:rtl w:val="true"/>
        </w:rPr>
        <w:t xml:space="preserve">, </w:t>
      </w:r>
      <w:r>
        <w:rPr>
          <w:rtl w:val="true"/>
        </w:rPr>
        <w:t xml:space="preserve">אשר כידוע ערכן הראייתי מועט </w:t>
      </w:r>
      <w:r>
        <w:rPr>
          <w:rtl w:val="true"/>
        </w:rPr>
        <w:t>(</w:t>
      </w:r>
      <w:r>
        <w:rPr>
          <w:rtl w:val="true"/>
        </w:rPr>
        <w:t>וראו למשל</w:t>
      </w:r>
      <w:r>
        <w:rPr>
          <w:rtl w:val="true"/>
        </w:rPr>
        <w:t xml:space="preserve">: </w:t>
      </w:r>
      <w:hyperlink r:id="rId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ב</w:t>
      </w:r>
      <w:bookmarkStart w:id="18" w:name="Seif3"/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bookmarkEnd w:id="18"/>
      <w:r>
        <w:rPr>
          <w:rFonts w:cs="Century" w:ascii="Century" w:hAnsi="Century"/>
          <w:sz w:val="22"/>
        </w:rPr>
        <w:t>22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22.7.2019</w:t>
      </w:r>
      <w:r>
        <w:rPr>
          <w:rFonts w:cs="Century" w:ascii="Century" w:hAnsi="Century"/>
          <w:sz w:val="22"/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יתירה מזאת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>לא מצאתי כי יש מקום להתערב בקביעות המהימנות אשר קבע בית המשפט המחוזי באשר לעדויות אלה</w:t>
      </w:r>
      <w:r>
        <w:rPr>
          <w:rtl w:val="true"/>
        </w:rPr>
        <w:t xml:space="preserve">, </w:t>
      </w:r>
      <w:r>
        <w:rPr>
          <w:rtl w:val="true"/>
        </w:rPr>
        <w:t>וב</w:t>
      </w:r>
      <w:bookmarkStart w:id="19" w:name="Seif9"/>
      <w:r>
        <w:rPr>
          <w:rtl w:val="true"/>
        </w:rPr>
        <w:t xml:space="preserve">כלל זה </w:t>
      </w:r>
      <w:bookmarkEnd w:id="19"/>
      <w:r>
        <w:rPr>
          <w:rtl w:val="true"/>
        </w:rPr>
        <w:t xml:space="preserve">כי יש ליתן לעדותו של נאסר משקל מועט </w:t>
      </w:r>
      <w:r>
        <w:rPr>
          <w:rtl w:val="true"/>
        </w:rPr>
        <w:t>(</w:t>
      </w:r>
      <w:r>
        <w:rPr>
          <w:rtl w:val="true"/>
        </w:rPr>
        <w:t>ומכל מקום כי עדותו אינה סותרת בהכרח את עדות המתלונן</w:t>
      </w:r>
      <w:r>
        <w:rPr>
          <w:rtl w:val="true"/>
        </w:rPr>
        <w:t xml:space="preserve">); </w:t>
      </w:r>
      <w:r>
        <w:rPr>
          <w:rtl w:val="true"/>
        </w:rPr>
        <w:t xml:space="preserve">וכי עדותו של זועבי היא </w:t>
      </w:r>
      <w:r>
        <w:rPr>
          <w:rtl w:val="true"/>
        </w:rPr>
        <w:t>"</w:t>
      </w:r>
      <w:r>
        <w:rPr>
          <w:rtl w:val="true"/>
        </w:rPr>
        <w:t>בלתי אמינה</w:t>
      </w:r>
      <w:r>
        <w:rPr>
          <w:rtl w:val="true"/>
        </w:rPr>
        <w:t xml:space="preserve">, </w:t>
      </w:r>
      <w:r>
        <w:rPr>
          <w:rtl w:val="true"/>
        </w:rPr>
        <w:t>בלתי מהימנה</w:t>
      </w:r>
      <w:r>
        <w:rPr>
          <w:rtl w:val="true"/>
        </w:rPr>
        <w:t xml:space="preserve">, </w:t>
      </w:r>
      <w:r>
        <w:rPr>
          <w:rtl w:val="true"/>
        </w:rPr>
        <w:t>כמו גם בלתי סדורה ובלתי קוהרנטית</w:t>
      </w:r>
      <w:r>
        <w:rPr>
          <w:rtl w:val="true"/>
        </w:rPr>
        <w:t>".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איני סבור כי יש ממש בטענות המערער בדבר פגמים שנפלו בחקירתו</w:t>
      </w:r>
      <w:r>
        <w:rPr>
          <w:rtl w:val="true"/>
        </w:rPr>
        <w:t xml:space="preserve">, </w:t>
      </w:r>
      <w:r>
        <w:rPr>
          <w:rtl w:val="true"/>
        </w:rPr>
        <w:t>וב</w:t>
      </w:r>
      <w:bookmarkStart w:id="20" w:name="Seif7"/>
      <w:r>
        <w:rPr>
          <w:rtl w:val="true"/>
        </w:rPr>
        <w:t xml:space="preserve">פרט בטענה </w:t>
      </w:r>
      <w:bookmarkEnd w:id="20"/>
      <w:r>
        <w:rPr>
          <w:rtl w:val="true"/>
        </w:rPr>
        <w:t>כי היה על המשטרה להפיק ממצאי 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 מהסכין שנמצאה בזירת האירוע</w:t>
      </w:r>
      <w:r>
        <w:rPr>
          <w:rtl w:val="true"/>
        </w:rPr>
        <w:t xml:space="preserve">, </w:t>
      </w:r>
      <w:r>
        <w:rPr>
          <w:rtl w:val="true"/>
        </w:rPr>
        <w:t>כדי להביא לזיכויו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מוטב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ובוחנת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לקיפוח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הגנתו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8965/18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מחאג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</w:t>
      </w:r>
      <w:bookmarkStart w:id="21" w:name="Seif5"/>
      <w:r>
        <w:rPr>
          <w:rFonts w:ascii="Century" w:hAnsi="Century" w:cs="Century"/>
          <w:rtl w:val="true"/>
        </w:rPr>
        <w:t xml:space="preserve">פסקאות </w:t>
      </w:r>
      <w:bookmarkEnd w:id="21"/>
      <w:r>
        <w:rPr>
          <w:rFonts w:cs="Century" w:ascii="Century" w:hAnsi="Century"/>
        </w:rPr>
        <w:t>35-34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3.11.2019</w:t>
      </w:r>
      <w:r>
        <w:rPr>
          <w:rFonts w:cs="Century" w:ascii="Century" w:hAnsi="Century"/>
          <w:rtl w:val="true"/>
        </w:rPr>
        <w:t>)).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ואחרון</w:t>
      </w:r>
      <w:r>
        <w:rPr>
          <w:rtl w:val="true"/>
        </w:rPr>
        <w:t xml:space="preserve">, </w:t>
      </w:r>
      <w:r>
        <w:rPr>
          <w:rtl w:val="true"/>
        </w:rPr>
        <w:t>אין לקבל את הטענה כי יש לזכות את המערער מהעבירות שהורשע בהן במסגרת האישום השני</w:t>
      </w:r>
      <w:r>
        <w:rPr>
          <w:rtl w:val="true"/>
        </w:rPr>
        <w:t xml:space="preserve">, </w:t>
      </w:r>
      <w:r>
        <w:rPr>
          <w:rtl w:val="true"/>
        </w:rPr>
        <w:t>אך ורק משום שהיה כבול ברגליו בעת ניסיון הבריחה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עדותו של החוקר שחקר את המערער ובמהלך חקירתו ניסה האחרון לברוח מהתחנה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46-47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); </w:t>
      </w:r>
      <w:r>
        <w:rPr>
          <w:rtl w:val="true"/>
        </w:rPr>
        <w:t xml:space="preserve">עדויותיהם של השוטרים אשר תפסו את המערער ומנעו ממנו מלברוח </w:t>
      </w:r>
      <w:r>
        <w:rPr>
          <w:rtl w:val="true"/>
        </w:rPr>
        <w:t>(</w:t>
      </w:r>
      <w:r>
        <w:rPr>
          <w:rtl w:val="true"/>
        </w:rPr>
        <w:t>וראו למשל</w:t>
      </w:r>
      <w:r>
        <w:rPr>
          <w:rtl w:val="true"/>
        </w:rPr>
        <w:t xml:space="preserve">: </w:t>
      </w:r>
      <w:r>
        <w:rPr>
          <w:rtl w:val="true"/>
        </w:rPr>
        <w:t>עדותו של פקד ארז רוזן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36-35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וכן בדו</w:t>
      </w:r>
      <w:r>
        <w:rPr>
          <w:rtl w:val="true"/>
        </w:rPr>
        <w:t>"</w:t>
      </w:r>
      <w:r>
        <w:rPr>
          <w:rtl w:val="true"/>
        </w:rPr>
        <w:t>ח ת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שנערך על ידו</w:t>
      </w:r>
      <w:r>
        <w:rPr>
          <w:rtl w:val="true"/>
        </w:rPr>
        <w:t xml:space="preserve">); </w:t>
      </w:r>
      <w:r>
        <w:rPr>
          <w:rtl w:val="true"/>
        </w:rPr>
        <w:t>ואף גרסתו של המערער לפשר בריחתו</w:t>
      </w:r>
      <w:r>
        <w:rPr>
          <w:rtl w:val="true"/>
        </w:rPr>
        <w:t xml:space="preserve">, </w:t>
      </w:r>
      <w:r>
        <w:rPr>
          <w:rtl w:val="true"/>
        </w:rPr>
        <w:t>אשר הוגדרה כ</w:t>
      </w:r>
      <w:r>
        <w:rPr>
          <w:rtl w:val="true"/>
        </w:rPr>
        <w:t>"</w:t>
      </w:r>
      <w:r>
        <w:rPr>
          <w:rtl w:val="true"/>
        </w:rPr>
        <w:t>בלתי מהימנה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כל אלה מלמדים כי המערער אכן ניסה להימלט מתחנת המשטרה</w:t>
      </w:r>
      <w:r>
        <w:rPr>
          <w:rtl w:val="true"/>
        </w:rPr>
        <w:t xml:space="preserve">, </w:t>
      </w:r>
      <w:r>
        <w:rPr>
          <w:rtl w:val="true"/>
        </w:rPr>
        <w:t>וכי לא נפל פגם בממצאי העובדה שנקבעו על ידי בית המשפט המחוזי בעניין 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לערעור על גזר הדין</w:t>
      </w:r>
      <w:r>
        <w:rPr>
          <w:rtl w:val="true"/>
        </w:rPr>
        <w:t xml:space="preserve">, </w:t>
      </w:r>
      <w:r>
        <w:rPr>
          <w:rtl w:val="true"/>
        </w:rPr>
        <w:t>לא מצאתי כי העונש אשר הוטל על המערער חורג בצורה קיצונית ממדיניות הענישה הנוהגת במקרים דומים</w:t>
      </w:r>
      <w:r>
        <w:rPr>
          <w:rtl w:val="true"/>
        </w:rPr>
        <w:t xml:space="preserve">, </w:t>
      </w:r>
      <w:r>
        <w:rPr>
          <w:rtl w:val="true"/>
        </w:rPr>
        <w:t>או כי נפלה טעות מהותית בגזר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באופן המצדיק את התערבותנו </w:t>
      </w:r>
      <w:r>
        <w:rPr>
          <w:rtl w:val="true"/>
        </w:rPr>
        <w:t>(</w:t>
      </w:r>
      <w:r>
        <w:rPr>
          <w:rtl w:val="true"/>
        </w:rPr>
        <w:t>וראו למשל</w:t>
      </w:r>
      <w:r>
        <w:rPr>
          <w:rtl w:val="true"/>
        </w:rPr>
        <w:t xml:space="preserve">: 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6469/19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ב</w:t>
      </w:r>
      <w:bookmarkStart w:id="22" w:name="Seif4"/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bookmarkEnd w:id="22"/>
      <w:r>
        <w:rPr>
          <w:rFonts w:cs="Century" w:ascii="Century" w:hAnsi="Century"/>
          <w:sz w:val="22"/>
        </w:rPr>
        <w:t>10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/>
        <w:t>27.11.2019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 תקף את המתלונן בלא עוול בכפיו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נטל סכין וגרם לחתך באורך של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 בראשו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אבראהים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25.4.2018</w:t>
      </w:r>
      <w:r>
        <w:rPr>
          <w:rFonts w:cs="Century" w:ascii="Century" w:hAnsi="Century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1497-06-19</w:t>
        </w:r>
      </w:hyperlink>
      <w:r>
        <w:rPr>
          <w:rtl w:val="true"/>
        </w:rPr>
        <w:t xml:space="preserve">)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ומשהקל בית המשפט המחוזי בעונשו של המערער נוכח התמשכות ההליכים בענייננו ובשל נסיבותיו האישיות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איני סבור כי יש להקל עמו פעם נוספת ולאפשר לו לרצות את עונש המאסר שהוטל עליו בעבודות שירות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סוף דבר </w:t>
      </w:r>
      <w:r>
        <w:rPr>
          <w:rtl w:val="true"/>
        </w:rPr>
        <w:t>–</w:t>
      </w:r>
      <w:r>
        <w:rPr>
          <w:rtl w:val="true"/>
        </w:rPr>
        <w:t xml:space="preserve"> הערעור נדחה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</w:t>
      </w:r>
      <w:r>
        <w:rPr>
          <w:rtl w:val="true"/>
        </w:rPr>
        <w:t>יתייצב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עליו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2.1.2020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 xml:space="preserve">בבית </w:t>
      </w:r>
      <w:r>
        <w:rPr>
          <w:rtl w:val="true"/>
        </w:rPr>
        <w:t>המעצר קישון</w:t>
      </w:r>
      <w:r>
        <w:rPr>
          <w:rtl w:val="true"/>
        </w:rPr>
        <w:t xml:space="preserve">, </w:t>
      </w:r>
      <w:r>
        <w:rPr>
          <w:rtl w:val="true"/>
        </w:rPr>
        <w:t>או 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3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16.12.2019</w:t>
      </w:r>
      <w:r>
        <w:rPr>
          <w:rtl w:val="true"/>
        </w:rPr>
        <w:t xml:space="preserve">). </w:t>
      </w:r>
      <w:bookmarkEnd w:id="23"/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"/>
              <w:ind w:end="0"/>
              <w:jc w:val="start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18054620</w:t>
      </w:r>
      <w:r>
        <w:rPr>
          <w:sz w:val="16"/>
          <w:rtl w:val="true"/>
        </w:rPr>
        <w:t>_</w:t>
      </w:r>
      <w:r>
        <w:rPr>
          <w:sz w:val="16"/>
        </w:rPr>
        <w:t>J05.docx</w:t>
      </w:r>
      <w:r>
        <w:rPr>
          <w:sz w:val="16"/>
          <w:rtl w:val="true"/>
        </w:rPr>
        <w:t xml:space="preserve">   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0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ד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מינץ </w:t>
      </w:r>
      <w:r>
        <w:rPr>
          <w:rFonts w:cs="David;Times New Roman" w:ascii="David;Times New Roman" w:hAnsi="David;Times New Roman"/>
          <w:color w:val="000000"/>
          <w:szCs w:val="22"/>
        </w:rPr>
        <w:t>54678313-5462/18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2"/>
      <w:footerReference w:type="default" r:id="rId1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altName w:val="Verdana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5462/18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לואי זועבי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FrankRuehl" w:hAnsi="FrankRuehl" w:eastAsia="Times New Roman" w:cs="FrankRueh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162337" TargetMode="External"/><Relationship Id="rId3" Type="http://schemas.openxmlformats.org/officeDocument/2006/relationships/hyperlink" Target="http://www.nevo.co.il/case/4162337" TargetMode="External"/><Relationship Id="rId4" Type="http://schemas.openxmlformats.org/officeDocument/2006/relationships/hyperlink" Target="http://www.nevo.co.il/case/24263082" TargetMode="External"/><Relationship Id="rId5" Type="http://schemas.openxmlformats.org/officeDocument/2006/relationships/hyperlink" Target="http://www.nevo.co.il/case/25388533" TargetMode="External"/><Relationship Id="rId6" Type="http://schemas.openxmlformats.org/officeDocument/2006/relationships/hyperlink" Target="http://www.nevo.co.il/case/25246134" TargetMode="External"/><Relationship Id="rId7" Type="http://schemas.openxmlformats.org/officeDocument/2006/relationships/hyperlink" Target="http://www.nevo.co.il/case/26082398" TargetMode="External"/><Relationship Id="rId8" Type="http://schemas.openxmlformats.org/officeDocument/2006/relationships/hyperlink" Target="http://www.nevo.co.il/case/23532115" TargetMode="External"/><Relationship Id="rId9" Type="http://schemas.openxmlformats.org/officeDocument/2006/relationships/hyperlink" Target="http://www.nevo.co.il/case/25745629" TargetMode="External"/><Relationship Id="rId10" Type="http://schemas.openxmlformats.org/officeDocument/2006/relationships/hyperlink" Target="http://supreme.court.gov.il/" TargetMode="External"/><Relationship Id="rId11" Type="http://schemas.openxmlformats.org/officeDocument/2006/relationships/hyperlink" Target="http://www.nevo.co.il/advertisements/nevo-100.doc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2019-12-17T10:16:00Z</dcterms:created>
  <dc:creator>h4</dc:creator>
  <dc:description/>
  <cp:keywords/>
  <dc:language>en-IL</dc:language>
  <cp:lastModifiedBy>orly</cp:lastModifiedBy>
  <cp:lastPrinted>2019-12-16T09:07:00Z</cp:lastPrinted>
  <dcterms:modified xsi:type="dcterms:W3CDTF">2019-12-17T10:16:00Z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לואי זועבי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4162337:2;24263082;25388533;25246134;26082398;23532115;25745629</vt:lpwstr>
  </property>
  <property fmtid="{D5CDD505-2E9C-101B-9397-08002B2CF9AE}" pid="9" name="CITY">
    <vt:lpwstr/>
  </property>
  <property fmtid="{D5CDD505-2E9C-101B-9397-08002B2CF9AE}" pid="10" name="DATE">
    <vt:lpwstr>20191216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מינץ;י' אלרון;ח' מלצר</vt:lpwstr>
  </property>
  <property fmtid="{D5CDD505-2E9C-101B-9397-08002B2CF9AE}" pid="14" name="LAWYER">
    <vt:lpwstr>רוני זלושינסקי;מוטי לוי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METAKZER">
    <vt:lpwstr>קרן</vt:lpwstr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NOSE11">
    <vt:lpwstr>דיון פלילי</vt:lpwstr>
  </property>
  <property fmtid="{D5CDD505-2E9C-101B-9397-08002B2CF9AE}" pid="26" name="NOSE110">
    <vt:lpwstr/>
  </property>
  <property fmtid="{D5CDD505-2E9C-101B-9397-08002B2CF9AE}" pid="27" name="NOSE12">
    <vt:lpwstr>דיון פלילי</vt:lpwstr>
  </property>
  <property fmtid="{D5CDD505-2E9C-101B-9397-08002B2CF9AE}" pid="28" name="NOSE13">
    <vt:lpwstr>עונשין</vt:lpwstr>
  </property>
  <property fmtid="{D5CDD505-2E9C-101B-9397-08002B2CF9AE}" pid="29" name="NOSE14">
    <vt:lpwstr/>
  </property>
  <property fmtid="{D5CDD505-2E9C-101B-9397-08002B2CF9AE}" pid="30" name="NOSE15">
    <vt:lpwstr/>
  </property>
  <property fmtid="{D5CDD505-2E9C-101B-9397-08002B2CF9AE}" pid="31" name="NOSE16">
    <vt:lpwstr/>
  </property>
  <property fmtid="{D5CDD505-2E9C-101B-9397-08002B2CF9AE}" pid="32" name="NOSE17">
    <vt:lpwstr/>
  </property>
  <property fmtid="{D5CDD505-2E9C-101B-9397-08002B2CF9AE}" pid="33" name="NOSE18">
    <vt:lpwstr/>
  </property>
  <property fmtid="{D5CDD505-2E9C-101B-9397-08002B2CF9AE}" pid="34" name="NOSE19">
    <vt:lpwstr/>
  </property>
  <property fmtid="{D5CDD505-2E9C-101B-9397-08002B2CF9AE}" pid="35" name="NOSE1ID">
    <vt:lpwstr>18;18;77</vt:lpwstr>
  </property>
  <property fmtid="{D5CDD505-2E9C-101B-9397-08002B2CF9AE}" pid="36" name="NOSE21">
    <vt:lpwstr>ערעור</vt:lpwstr>
  </property>
  <property fmtid="{D5CDD505-2E9C-101B-9397-08002B2CF9AE}" pid="37" name="NOSE210">
    <vt:lpwstr/>
  </property>
  <property fmtid="{D5CDD505-2E9C-101B-9397-08002B2CF9AE}" pid="38" name="NOSE22">
    <vt:lpwstr>מחדלי חקירה</vt:lpwstr>
  </property>
  <property fmtid="{D5CDD505-2E9C-101B-9397-08002B2CF9AE}" pid="39" name="NOSE23">
    <vt:lpwstr>ענישה</vt:lpwstr>
  </property>
  <property fmtid="{D5CDD505-2E9C-101B-9397-08002B2CF9AE}" pid="40" name="NOSE24">
    <vt:lpwstr/>
  </property>
  <property fmtid="{D5CDD505-2E9C-101B-9397-08002B2CF9AE}" pid="41" name="NOSE25">
    <vt:lpwstr/>
  </property>
  <property fmtid="{D5CDD505-2E9C-101B-9397-08002B2CF9AE}" pid="42" name="NOSE26">
    <vt:lpwstr/>
  </property>
  <property fmtid="{D5CDD505-2E9C-101B-9397-08002B2CF9AE}" pid="43" name="NOSE27">
    <vt:lpwstr/>
  </property>
  <property fmtid="{D5CDD505-2E9C-101B-9397-08002B2CF9AE}" pid="44" name="NOSE28">
    <vt:lpwstr/>
  </property>
  <property fmtid="{D5CDD505-2E9C-101B-9397-08002B2CF9AE}" pid="45" name="NOSE29">
    <vt:lpwstr/>
  </property>
  <property fmtid="{D5CDD505-2E9C-101B-9397-08002B2CF9AE}" pid="46" name="NOSE2ID">
    <vt:lpwstr>504;17072;1446</vt:lpwstr>
  </property>
  <property fmtid="{D5CDD505-2E9C-101B-9397-08002B2CF9AE}" pid="47" name="NOSE31">
    <vt:lpwstr>אי-התערבות בממצאים עובדתיים</vt:lpwstr>
  </property>
  <property fmtid="{D5CDD505-2E9C-101B-9397-08002B2CF9AE}" pid="48" name="NOSE310">
    <vt:lpwstr/>
  </property>
  <property fmtid="{D5CDD505-2E9C-101B-9397-08002B2CF9AE}" pid="49" name="NOSE32">
    <vt:lpwstr>נפקותם</vt:lpwstr>
  </property>
  <property fmtid="{D5CDD505-2E9C-101B-9397-08002B2CF9AE}" pid="50" name="NOSE33">
    <vt:lpwstr>מדיניות ענישה: עבירות אלימות</vt:lpwstr>
  </property>
  <property fmtid="{D5CDD505-2E9C-101B-9397-08002B2CF9AE}" pid="51" name="NOSE34">
    <vt:lpwstr/>
  </property>
  <property fmtid="{D5CDD505-2E9C-101B-9397-08002B2CF9AE}" pid="52" name="NOSE35">
    <vt:lpwstr/>
  </property>
  <property fmtid="{D5CDD505-2E9C-101B-9397-08002B2CF9AE}" pid="53" name="NOSE36">
    <vt:lpwstr/>
  </property>
  <property fmtid="{D5CDD505-2E9C-101B-9397-08002B2CF9AE}" pid="54" name="NOSE37">
    <vt:lpwstr/>
  </property>
  <property fmtid="{D5CDD505-2E9C-101B-9397-08002B2CF9AE}" pid="55" name="NOSE38">
    <vt:lpwstr/>
  </property>
  <property fmtid="{D5CDD505-2E9C-101B-9397-08002B2CF9AE}" pid="56" name="NOSE39">
    <vt:lpwstr/>
  </property>
  <property fmtid="{D5CDD505-2E9C-101B-9397-08002B2CF9AE}" pid="57" name="NOSE3ID">
    <vt:lpwstr>3849;17177;8984</vt:lpwstr>
  </property>
  <property fmtid="{D5CDD505-2E9C-101B-9397-08002B2CF9AE}" pid="58" name="PADIDATE">
    <vt:lpwstr>20191217</vt:lpwstr>
  </property>
  <property fmtid="{D5CDD505-2E9C-101B-9397-08002B2CF9AE}" pid="59" name="PADIMAIL">
    <vt:lpwstr>YES</vt:lpwstr>
  </property>
  <property fmtid="{D5CDD505-2E9C-101B-9397-08002B2CF9AE}" pid="60" name="PAGE">
    <vt:lpwstr/>
  </property>
  <property fmtid="{D5CDD505-2E9C-101B-9397-08002B2CF9AE}" pid="61" name="PART">
    <vt:lpwstr/>
  </property>
  <property fmtid="{D5CDD505-2E9C-101B-9397-08002B2CF9AE}" pid="62" name="PROCESS">
    <vt:lpwstr>עפ</vt:lpwstr>
  </property>
  <property fmtid="{D5CDD505-2E9C-101B-9397-08002B2CF9AE}" pid="63" name="PROCNUM">
    <vt:lpwstr>5462</vt:lpwstr>
  </property>
  <property fmtid="{D5CDD505-2E9C-101B-9397-08002B2CF9AE}" pid="64" name="PROCYEAR">
    <vt:lpwstr>18</vt:lpwstr>
  </property>
  <property fmtid="{D5CDD505-2E9C-101B-9397-08002B2CF9AE}" pid="65" name="PSAKDIN">
    <vt:lpwstr>פסק-דין</vt:lpwstr>
  </property>
  <property fmtid="{D5CDD505-2E9C-101B-9397-08002B2CF9AE}" pid="66" name="TYPE">
    <vt:lpwstr>1</vt:lpwstr>
  </property>
  <property fmtid="{D5CDD505-2E9C-101B-9397-08002B2CF9AE}" pid="67" name="TYPE_ABS_DATE">
    <vt:lpwstr>410120191216</vt:lpwstr>
  </property>
  <property fmtid="{D5CDD505-2E9C-101B-9397-08002B2CF9AE}" pid="68" name="TYPE_N_DATE">
    <vt:lpwstr>41020191216</vt:lpwstr>
  </property>
  <property fmtid="{D5CDD505-2E9C-101B-9397-08002B2CF9AE}" pid="69" name="VOLUME">
    <vt:lpwstr/>
  </property>
  <property fmtid="{D5CDD505-2E9C-101B-9397-08002B2CF9AE}" pid="70" name="WORDNUMPAGES">
    <vt:lpwstr>8</vt:lpwstr>
  </property>
</Properties>
</file>