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5473/17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יקוב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תה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17222-02-17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21.5.2018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קאופמן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עקיבא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1954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8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השבות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1950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8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1973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DocumentHead"/>
        <w:ind w:end="0"/>
        <w:jc w:val="center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טענות המערער כי הסגרתו לרוסיה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העמדתו לדין על עבירה של מכירת סמים שביצע 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עלולה לפגוע בתקנת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כמשמעותה </w:t>
      </w:r>
      <w:hyperlink r:id="rId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ההסגרה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והותיר על כנה את קביעת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 המערער הוא 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 – סייגים להסגרה – תקנת הציבור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 – תנאי הסגרה – סייגים להסגרה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בירושלים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הכריז על המערער 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 לרוסיה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לדיון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הסגרתו של המערער לרוסיה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העמדתו לדין על עבירה של מכירת סמים שביצע 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עלולה לפגוע בתקנת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כמשמעותה 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ההסגרה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1954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התמקד המערער בשלוש טענות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קיים חשש לשלום המערער ולמשפחתו אם יוחזר לרוסיה נוכח איומים מן האדם שממנו רכש את הסמים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שביסודה החשש מפני פגיעה בזכותו להליך הוגן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אין מנגנון ראוי המפקח על הפעלת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 מדיח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ברוסיה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והשלישית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העונש הצפוי לו ותנאי המאסר ברוסיה קשים ביחס לישראל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שהסגרתו למדינה זו תפגע בתקנת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סייג 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שלפיו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יוסגר מבוקש למדינה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היענות לבקשת ההסגרה עלולה לפגוע בתקנת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 למצבים שבהם הסגרתו של אדם פוגעת באורח קשה בתחושת הצדק וההגינות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שבראיה כוללת יהא זה 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צודק לעשות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במצבים יוצאי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דופן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 ונדירים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 החשש לפגיעה בנאשם עקב ההסגרה היא בעלת עוצמה וכוח מיוחדים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 בהם אף כדי להכריע את האינטרס הציבורי החשוב הטמון במימוש ההסגרה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אחת מן הטענות השכיחות לקיומו של סייג 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 על הסכנה הצפויה למבוקש ההסגרה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בהקשר זה נקבע לא אחת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אין די בהעלאת טענות כלליות בדבר קיומו של סיכון לחיי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או להצביע על ליקויים בהתנהלות מבקשת ההסגרה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שיתקיימו אותן נסיבות חריגות המצדיקות את הפעלת הסייג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נדרשת הערכה ממשית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סבירות 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שמבוקש ההסגרה אכן יפּגע אם יוסגר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אמצעי ביטחון וזהירות שינקטו לא ישאו פרי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באותו עניין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1727/16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בולטיאנסקי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סגי בקיומן של אינדיקציות להפרת זכויות אדם ואסיר ברמת מדיניות 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להצביע על קשר ישיר בין הסגרתו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קיומה של סכנה מוחשית העשויה להתרגש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מצאתי כי קיים חשש 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קונקרטי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למערער יאונה רע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מחמת התנכלות על רקע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כטענתו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מחמת ליקויים כלליים בהתנהלות רשויות הכליאה והשפיטה במדינה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[...]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 גם קושי מוסדי בהעתרוּת לטענות באי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השגותיהם בעניין שקולות לבקשה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יפסול מיניה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וביה את הסדרי ההסגרה בין רוסיה למדינת 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הנשענים על הוראותיה של האמנה האירופית בדבר 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ושוב לא יוסגר אדם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הסדרים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למצער עד אשר ישתנה מצב הדברים הנוהג 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 המערער לא עמד בנטל ההוכחה הגבוה המוצב לפתחו בקשר לאיומים על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מקובלת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במלואה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אלו אמנם אינן בגדר טענות כלליות הנזרקות לחלל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 מתייחסות לאיום קונקרטי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שאין די 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הצביע על אינדיקציה לכך שהאיום המדובר הוא מוחשי וממשי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כזה שהרשויות ברוסיה לא תוכלנה להגן עליו מפניו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האירועים שתארו המערער ואמו התרחשו לפני שנים 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והם אינם מטים את הכף לעבר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הדין באשר לטענתו השלישית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 לעונש הצפוי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הפניה לחוק הפלילי הרוסי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טען המערער טענות בעלמא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המסוכנים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לעבירה המיוחסת 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כטענת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בחוק הרוסי עונש מינימום של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לעבירה הנדונה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בנסיבות מיוחדות מאפשר החוק הרוסי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לגזור עונש פחות מן המינימום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קיימת דרישה בדין לזהות בין רמת הענישה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לרמת הענישה במדינה מבקשת ההסגרה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לטענתו הנוספת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שביסודה החשש מפני פגיעה בזכותו להליך הוגן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זו מבוססת על שני נדבכים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כי רשויות האכיפה ברוסיה השתמשו נגדו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 מדיח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לדין המחייב את רוסיה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שזה נפסק בבית הדין האירופי לזכויות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– כפי שגם נפסק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בית דין זה – ברוסיה לא מתקיימת ביקורת שיפוטית אפקטיבית על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זו מעוררת מספר קשיים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ככל שהטענה היא שהעמדת המערער לדין כאשר הופעל נגדו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 מדיח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פוגעת בתקנת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שיש לבחון טענה זו על רקע הדין הנוהג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לפי הדין בישראל לא עומדת למבוקש ההסגרה הגנה מפני ניהול הליך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שקשה לומר שהעמדתו לדין בחוץ לארץ פוגעת בתקנת הציבור שבישראל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בחינה כאמור מובילה למסקנה כי 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בטענת ההדחה כדי למנוע ניהול הליך פלילי בארץ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היא אינה עילה שלא להסגיר מבוקש הסגרה לחוץ לארץ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לכלל זה נקבע חריג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יסוד דוקטרינת ההגנה מן הצדק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 במצבים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 תרומתו של סוכן מדיח מטעם הרשות לביצוע עבירה פלילית תהיה כה 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אף להורות על ביטולו של כתב 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עיון לכאורי בעובדות המתוארות בבקשת ההסגרה מלמד כי המקרה דנא אינו בא בגדר אותם מצבים שבהם ראוי לבטל את כתב האישום מטעמי הגנה מן הצדק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שטענת ההדחה 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 הדין הישראלי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מוליכה למסקנה כי הסגרת המערער תוביל לפגיעה בתקנת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המערער טוען 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לפי הדין שנפסק בבית הדין האירופי לזכויות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המחייב את רוסיה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טענתו זו אמורה להוביל לזיכויו 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דינה של טענה זו להתברר בערכאות שברוסיה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גם בה אין כדי להצדיק את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 כי הטענה לא תישמע שם כדבעי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שנקבע בפסקי דין שונים של בית הדין האירופי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אמות המידה שתוארו לעיל להוכחת פגיעה בתקנת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טענה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מבוססת 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אינדיקציות להפרת זכויות אדם ואסיר ברמת מדיניות 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 בולטיאנסקי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בהקשר קונקרטי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להניח מראש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שידון בעניינו הקונקרטי של המערער לא ידרש לטענת ההדחה ולא ידון בה בלב פתוח ובנפש חפצה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בסיס אמות המידה של בית הדין האירופי לזכויות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נקבע בעבר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בית הדין שיש פגמים באופן התנהלותה של רוסיה בהקשר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סיבה להניח שדלתו של בית הדין האירופי לזכויות אדם לא תהא פתוחה לפני המערער בהקשר הנדון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שיחפוץ לפנות לאפיק משפטי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DocumentHead"/>
        <w:ind w:end="0"/>
        <w:jc w:val="center"/>
        <w:rPr>
          <w:rFonts w:ascii="Times New Roman" w:hAnsi="Times New Roman" w:cs="Times New Roman"/>
          <w:bCs w:val="false"/>
          <w:spacing w:val="0"/>
          <w:sz w:val="24"/>
          <w:szCs w:val="26"/>
          <w:u w:val="none"/>
        </w:rPr>
      </w:pPr>
      <w:r>
        <w:rPr>
          <w:rFonts w:cs="Times New Roman"/>
          <w:bCs w:val="false"/>
          <w:spacing w:val="0"/>
          <w:sz w:val="24"/>
          <w:szCs w:val="26"/>
          <w:u w:val="none"/>
          <w:rtl w:val="true"/>
        </w:rPr>
      </w:r>
      <w:bookmarkStart w:id="14" w:name="ABSTRACT_END"/>
      <w:bookmarkStart w:id="15" w:name="ABSTRACT_END"/>
      <w:bookmarkEnd w:id="15"/>
    </w:p>
    <w:p>
      <w:pPr>
        <w:pStyle w:val="BODYVERDICT"/>
        <w:ind w:end="0"/>
        <w:jc w:val="center"/>
        <w:rPr>
          <w:sz w:val="32"/>
          <w:szCs w:val="32"/>
        </w:rPr>
      </w:pPr>
      <w:bookmarkStart w:id="16" w:name="PsakDin"/>
      <w:bookmarkEnd w:id="16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7" w:name="PsakDin"/>
      <w:bookmarkStart w:id="18" w:name="PsakDin"/>
      <w:bookmarkEnd w:id="18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1"/>
        <w:ind w:end="0"/>
        <w:jc w:val="both"/>
        <w:rPr/>
      </w:pPr>
      <w:bookmarkStart w:id="22" w:name="_GoBack"/>
      <w:bookmarkEnd w:id="22"/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לרוסיה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כמשמעותה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1954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זהו ערעור על פסק הדין של בית המשפט המחוזי בירושלים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לומפ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אשר הכריז על המערער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 לרוסיה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בקשת ההסגרה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ניהלה משטרת סנט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פטרבורג ביום </w:t>
      </w:r>
      <w:r>
        <w:rPr>
          <w:rFonts w:cs="Century" w:ascii="Century" w:hAnsi="Century"/>
        </w:rPr>
        <w:t>18.5.2011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מבצע ללכידת סוחרי 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המבצע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הפעילה משטרת סנט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פטרבורג סוכן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אזרח בשם אנדרי קרישבסקי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שהכיר את המערער היכרות מוקדמת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קרישבסקי יצר קשר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וסיכם עמו כי ירכוש ממנו סם מסוג אמפטמין תמורת סכום של 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קרישבסקי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בליווי שוטרים סמויים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פגש את המערער בעיר גצ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דרש המערער את התשלום לפני מכירת הסמים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השוטרים הנחו את קרישבסקי להתעקש על כך שהתשלום ימסר רק לאחר העברת הסמים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לבסוף המערער נאות לכך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קרישבסקי והשוטרים נפגשו עם המערער בכתובת שמסר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הצביע על שקית כלשהי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אחד השוטרים שאל במה מדובר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והמערער השיב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זה מה שביקשת – ספיד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השוטר שילם את סכום הכסף המבוקש ולקח עמו את השקית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נעצר באותו 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ושוחרר בתנאים ביום שלמחרת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כמה חודשים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19.9.2011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הוכרז המערער כמבוקש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שלא התייצב לחקירה ולא אותר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19.3.2013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הוחלט על הגשת כתב אישום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פנייה לאינטרפול לצורך איתורו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27.3.2013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הוצא נגדו צו מעצר בבית המשפט בעיר גצ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בבית המשפט המחוזי לא נחלקו הדעות באשר להתקיימותם של מרבית התנאים הנדרשים לצורך 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ישראל לרוסיה קיים הסכם הקובע הדדיות בהסגרת עבריינים – האמנה האירופית בדבר הסגרה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מדובר בעבירה שאילו בוצעה בישראל היה העונש עליה מאסר שנה או עונש חמור מזה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המחלוקת שבין המערער לבין המשיב התמקדה בשלוש טענות שטען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שמחמתן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הסגרתו עלולה לפגוע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קיים חשש לשלום המערער ולמשפחתו אם יוחזר לרוסיה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אין מנגנון ראוי המפקח על הפעלת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סוכן מדיח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ברוסיה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העונש הצפוי לו ותנאי המאסר ברוסיה 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שהסגרתו למדינה זו תפגע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טענתו הראשונה של המערער התבססה על הסכנה האורבת לו ולמשפחתו מן האדם שממנו רכש את הסמים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הופלל בהודעותיו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אנדרה כוחן שמו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איים על המערער ועל משפחתו מאז שנעצר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יחזור לרוסיה עלול אותו עבריין לפגוע במערער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המצדיק כשלעצמו שלא להכריז עליו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טענתו השנייה של המערער קשורה לאופן שבו מפעילה רוסיה סוכנים סמויים בתיקי 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האירופי לזכויות אדם – שפסיקתו מחייבת את רוסיה – קבע הגבלות על הפעלת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סוכן מדיח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ואף ציין כי ברוסיה אין מנגנון הולם לפיקוח על פעילות המדינה בהקשר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בנדון דידן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לעמדת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המבצע שבמסגרתו נעצר היה בגדר פעולת הדחה אסורה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המבצע לא צולם ולא הוקלט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שבית המשפט ברוסיה נותר ללא כלים אפקטיביים לקיים ביקורת שיפוטית על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הסגרתו תוביל לפגיעה בזכותו להליך הוגן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טענתו השלישית ממוקדת בעונש הצפוי לו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בעוד שבישראל אין עונש מינימלי על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ברוסיה קבוע לה עונש מינימום של שמונה שנים – עונש חמור באורח ניכר מן המקובל 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תנאי המאסר נוקשים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הביקורים לאסיר מוגבל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גם השימוש בקנטינה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הצפיפות בתאים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מתן מזון כשר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דחה טענות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והכריז על המערער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פתח בכך שהמונח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תקנת הציבור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שב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ascii="Century" w:hAnsi="Century" w:cs="Century"/>
          <w:rtl w:val="true"/>
        </w:rPr>
        <w:t xml:space="preserve"> הוא מונח עמום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ובפסיקתנו נקבע כי היקפו של סייג זה הוא מצומצם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הטוען לקיומו של הסייג להציג נתונים בדוקים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יוצאי דופן וכבדי משקל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מבססים את הטענה כי ההסגרה המסוימת היא בלתי צודקת בעליל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בכגון דא אין די בטענות כלליות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ונדרש להצביע על נסיבות קונקרטיות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קיומו של חשש כלשהו לשלומו של מבוקש ההסגרה אינו מספיק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ונדרש להוכיח כי קיימת סבירות גבוהה לכך שהמבוקש יפגע אם יוסגר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אמצעי ביטחון שיינקטו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יועילו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הרקע הזה בחן בית המשפט המחוזי את טענותיו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בקשר לסכנה הצפויה לו מכיוונו של כוחן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עניין זה מבוסס על עדותו של המערער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תצהיר שהוגש מאת אמו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בדברים אלה לבדם אין די על מנת לבסס כדבעי ובאופן ממשי את טענת הסכנה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טענותיו של המערער מצביעות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לכל היותר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פגיעה בו שארעה בשנת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איומים ממקור עלום בשנה האחרונה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והללו אינם מבססים סבירות גבוהה לכך שהמערער ייפגע אם יוסגר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לשימוש רשויות החקירה הרוסיות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סוכן מדיח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נקבע כי על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ההחלטה הזו אינה חורגת מגבולות המותר והאסור בהפעלת סוכן משטרתי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שמקובל 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 את הטענה כי זכותו של המערער להליך הוגן תיפגע אם יוסגר לרוסיה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לטענה המבוססת על קביעותיו של בית הדין האירופי לזכויות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המחוזי שזו תוכל להתברר לאחר שיסתיים ההליך ברוסיה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שהמערער יבחר באפיק משפטי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בנוגע לעונש הצפוי למערער ולתנאי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המחוקק לא התייחס לשאלת משך המאסר הצפוי למוסגר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בחינת הענישה הנוהגת בכל מדינה ומדינה בהליכי 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תרוקן מתוכן את הסכמי ההסגרה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ותמריץ עבריינים להימלט למדינות שבהן מוטלים עונשים קלים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לגופו של עניין גם לא הוכח הדין הזר הנוהג ברמה הנדרשת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תנאי הכליאה ברוסיה אינם עילה כשלעצמם להימנע מהסגרתו של אדם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קבלת טענה זו שקולה לפסילה גורפת של הסדר ההסגרה בין רוסיה לישראל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וכבר נפסק שאין לקבלהּ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דן בכמה סוגיות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ביניהן האפשרות לקבוע תנאים להסגרה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ואפשרות ריצוי המאסר 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משדחה בית המשפט את טענותיו של המערער גם בקשר לסוגיות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הכריז על המערער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 לרוסיה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בנימוקי ערעורו שבכתב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 המערער ומפרט את שלושת הטענות שמחמתן ראוי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לקבוע כי הסגרתו תפגע </w:t>
      </w:r>
      <w:r>
        <w:rPr>
          <w:rFonts w:ascii="Century" w:hAnsi="Century" w:cs="Miriam"/>
          <w:sz w:val="18"/>
          <w:sz w:val="18"/>
          <w:szCs w:val="24"/>
          <w:rtl w:val="true"/>
        </w:rPr>
        <w:t>בתקנת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לאיומיו של כוחן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מתאר המערער כי הלה איים על חייו באופן ממשי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ומפיה של 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בתצהירה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מפורט כיצד היה כוחן מגיע לדירתם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מתקשר ומטריד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הוכה 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אנשיו של כוחן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שוטרים מהיחידה החוקרת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טוען כי במהלך הדיון הדגיש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כי הוא נותן אמון בגרסתו בעניין הזה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סבור המערער כי הוא עומד ברף הגבוה שהוצב בפסיקה לקיומו של סייג </w:t>
      </w:r>
      <w:r>
        <w:rPr>
          <w:rFonts w:cs="Miriam" w:ascii="Century" w:hAnsi="Century"/>
          <w:sz w:val="18"/>
          <w:szCs w:val="24"/>
          <w:rtl w:val="true"/>
        </w:rPr>
        <w:t>'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שלפיו נדרשת הערכה ממשית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בסבירות 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לכך שמבוקש ההסגרה אכן יפגע אם יוסגר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לזכותו להליך הוגן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הדגיש המערער כי רוסיה חתומה על האמנה האירופית לזכויות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ומחויבת ליישם את פסקי הדין של בית הדין לזכויות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בשורה של פסקי דין קבע בית הדין כי לצורך השימוש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סוכן מדיח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יש לעמוד במספר תנאים מחמירים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באופן קונקרטי באשר לרוסיה נקבע כי אין במערכת המשפט שלה מנגנון אפקטיבי שיאפשר לנאשם לבקש ביקורת שיפוטית על אופן הפעלתם של סוכנים כאלו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הפעלת הסוכן נעשתה באופן פסול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בהעדר כלים אפקטיביים לבחינת הטענות ברוסיה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שמיניה וביה תיפגע זכותו של המערער להליך הוגן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פגיעה זו מובילה לכך שההסגרה פוגעת ב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לעונש הצפוי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העונשים הנגזרים על מורשעים בעבירות סמים ברוסיה אינם מידתיים ביחס לענישה המקובלת 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אילו היתה העבירה מבוצעת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יתכן מאוד שלא היה נגזר על המערער עונש של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ברוסיה צפוי לו עונש מינימלי של שמונה 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סעיף </w:t>
      </w:r>
      <w:r>
        <w:rPr>
          <w:rFonts w:cs="Century" w:ascii="Century" w:hAnsi="Century"/>
        </w:rPr>
        <w:t>228.1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לקודקס הפלילי הרוסי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יתכן שהמערער ירצה את עונשו במוסדות המכונים 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</w:rPr>
        <w:t>Strict Penal Colony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</w:rPr>
        <w:t>Settlement Colony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הממוקמים במרחק רב ממרכזי האוכלוסיה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שוררים בהם תנאים קשים במיוחד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ביקורים משפחתיים אינם מתאפשרים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וספק רב אם יורשה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יהודי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שחזר בינתיים בתשובה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לשמור על אורח חיים דתי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הדין האירופי לזכויות אדם קבע כי מוסדות אלו פוגעים בזכות לחיי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מהווים ענישה לא מידתית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ופוגעים ביכולת השיקום של האסירים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בנוסף על מצב הצפיפות הכללי במתקני הכליאה שברוסיה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שנבחן בדוחות שונים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בעיקרי טיעון בתשובה לערעור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נימק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 את עמדתו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יש לדחות את טענותיו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הובאה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 ראיה ממשית המבססת את הטענה כי קיים חשש ממשי לחייו אם יוסגר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לא הוכיח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לרוסיה אין כלים מתאימים להגן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מציין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טענותיו של המערער במישור זה יובאו לידיעת רשויות רוסיה עובר להסגרתו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לתקינות מערכת המשפט והאכיפה ברוסיה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 אלו נדחו ב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1727/16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25.4.2017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שם נקבע כי אילו התקבלו טענות 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הדבר שווה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ערך לביטול יחסי ההסגרה עם 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קיומה של אמנה מחייבת בין שתי המדינות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בנדון שלפנינו לא הובאה ראיה לכך שאופן הפעלת הסוכן המשטרתי פגע בזכויותיו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ודינה של טענה מעין זו להתברר בבית המשפט הפלילי שידון בתיק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טענה בדבר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סוכן מדיח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בדין הפלילי הישראלי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משליכה על האחריות הפלילית אלא על חומרת העונש בלבד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ממילא נקבע כי פגיעה כזו אינה נחשבת כפגיעה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פסיקותיו של בית הדין לזכויות אדם אינן רלבנטיות לנדון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בית דין זה קונה סמכות רק לאחר מיצוי ההליכים במדינה הנילונה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לטענתו השלישית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בדבר העונש הצפוי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טענות אלו לא הוכחו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הדין הרוסי קובע עונש מינימום של שמונה 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בדין זה נתונה לבית המשפט סמכות לגזור עונש מופחת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מיוחדות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דברים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ניתן לקבוע ממצא עובדתי באשר לעונש הצפוי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דרישת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הפליליות הכפולה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הקבועה ב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ascii="Century" w:hAnsi="Century" w:cs="Century"/>
          <w:rtl w:val="true"/>
        </w:rPr>
        <w:t xml:space="preserve"> כתנאי להיותה של עבירה בת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כוללת רכיב של זהות רמת הענישה בין המדינות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בדיון שהתקיים לפנינו שלשום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תעודת עובד ציבור עדכנית מאת רשות האוכלוסין וההגירה על אודות מעמדו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ולפיה מאז כניסתו ארצה ביום </w:t>
      </w:r>
      <w:r>
        <w:rPr>
          <w:rFonts w:cs="Century" w:ascii="Century" w:hAnsi="Century"/>
        </w:rPr>
        <w:t>9.8.2011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הוארכה מעת לעת אשרת השהייה שלו כתייר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8.3.2012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 תשובת לשכת הקשר בעניינו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 xml:space="preserve">ולפיה הנדון הינו </w:t>
      </w:r>
      <w:r>
        <w:rPr>
          <w:rFonts w:cs="Century" w:ascii="Century" w:hAnsi="Century"/>
        </w:rPr>
        <w:t>4</w:t>
      </w:r>
      <w:r>
        <w:rPr>
          <w:rFonts w:ascii="Century" w:hAnsi="Century" w:cs="Century"/>
          <w:rtl w:val="true"/>
        </w:rPr>
        <w:t>א ילד ליהודי גרוש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בהחזקת 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ביטל את האשמה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2.7.2012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פקע תוקף אשרת התייר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ומאז הוא שוהה בישראל שלא כחוק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23.12.2014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 המערער בקשה למעמד עולה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התקבלה החלטה להעניק לו מעמד ארעי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שלפני שניתן לו המעמד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התקבל מידע מהמשטרה על כך שהוא דרוש לחקירה ברוסיה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בהמשך הוחלט להעביר את בקשתו להחלטתו של שר הפנים בהתאם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השבות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בטיעונו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התמקד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בשיקול ההומניטארי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מבין המערער היטב כי עליו להישפט על המעשה שעשה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התנגדותו להסגרה אינה נובעת מרצון להתחמק מאימת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רוצה להישפט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ולקבל על עצמו כל עונש שיושת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חושש לחייו ברוסיה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שב ומפנה לראיות שהציג בקשר לכך בבית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המשיב עצמו נתן אמון בדברי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וכתב שמטעמו יבואו בדברים עם הרשויות ברוסיה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ללמדנו שגם המשיב מודע לחשש הממשי לחייו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יוסגר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 טען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 על כך שאין מדובר במקרה נדיר כלל וכלל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הוא אדם שביצע לכאורה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לו שותפים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ולשותפים טענות נגדו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זהו מצב דברים שגרתי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יכול להיות מחסום בפני 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כ המשיב הפנה לפסקה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כך שהמערער העיד 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קבע שהטענה שהעלה נותרה בגדר טענה ספקולטיבית גרידא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עדותו של המשיב הצביעה לכל היותר על פגיעה פיזית בו בשנת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בכך ובתצהיר שהגישה אמו על איומים ממקור עלום בשנה האחרונה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להצביע על סבירות גבוהה לכך שהמערער ייפגע אם יוסגר</w:t>
      </w:r>
      <w:r>
        <w:rPr>
          <w:rFonts w:cs="Century" w:ascii="Century" w:hAnsi="Century"/>
          <w:rtl w:val="true"/>
        </w:rPr>
        <w:t>. "</w:t>
      </w:r>
      <w:r>
        <w:rPr>
          <w:rFonts w:ascii="Century" w:hAnsi="Century" w:cs="Miriam"/>
          <w:sz w:val="18"/>
          <w:sz w:val="18"/>
          <w:szCs w:val="24"/>
          <w:rtl w:val="true"/>
        </w:rPr>
        <w:t>חזקה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על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רשויות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רוסיה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כי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יוכלו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להגן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עליו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מפני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סכנה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זו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סייג 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למדינה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מתייחס למצבים שבהם הסגרתו של אדם פוגעת באורח קשה בתחושת הצדק וההגינות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שבראיה כוללת יהא זה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צודק 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מדובר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בעקרונות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בהשקפות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ובאינטרסים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והמדינה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השקפות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ואינטרסים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שראויים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2521/03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סירקיס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337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346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על מנת ששיקולי צדק והגינות אכן יגברו על האינטרסים המדינתיים והבינלאומיים שלשמם נועד מנגנון ההסגרה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כי הללו יהיו כבדי משקל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בפסיקתנו נקבע כי כך יהא במצבים יוצאי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חריגים ונדירים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להכריע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2144/08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מונדרוביץ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14.1.2010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על הרקע הזה אפנה לבחון את טענותיו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אחת מן הטענות השכיחות לקיומו של סייג 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מבוססת על הסכנה הצפויה למבוקש ההסגרה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נקבע לא אחת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בהעלאת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ליקויים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שיתקיימו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המצדיקות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הסייג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שמבוקש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יפּגע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יוסגר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שינקטו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;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7569/00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יגודייב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529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586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852/86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אלוני</w:t>
        </w:r>
        <w:r>
          <w:rPr>
            <w:rStyle w:val="Hyperlink"/>
            <w:rFonts w:ascii="Times New Roman" w:hAnsi="Times New Roman" w:cs="Times New Roman"/>
            <w:color w:val="0000FF"/>
            <w:u w:val="single"/>
          </w:rPr>
          <w:t>‎</w:t>
        </w:r>
        <w:r>
          <w:rPr>
            <w:rStyle w:val="Hyperlink"/>
            <w:rFonts w:ascii="Century" w:hAnsi="Century" w:cs="Century"/>
            <w:color w:val="0000FF"/>
            <w:u w:val="single"/>
          </w:rPr>
          <w:t xml:space="preserve"> ‎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אלוני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עוד נאמר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בקיומן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אינדיקציות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העשויה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להתרגש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קונקרטי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התנכלות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כטענתו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ליקויים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והשפיטה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בהעתרוּת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השגותיהם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רוסיה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הנשענים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קביעתו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המערער לא עמד בנטל ההוכחה הגבוה המוצב לפתחו בקשר לאיומים על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מקובלת עלי במלואה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טענות אלו אמנם אינן בגדר טענות כלליות הנזרקות לחלל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מתייחסות לאיום קונקרטי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שאין די בהן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לא הצביע על אינדיקציה לכך שהאיום המדובר הוא מוחשי וממשי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כזה שהרשויות ברוסיה לא תוכלנה להגן עליו מפניו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מדובר אפוא 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בדוקים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וכבדי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האירועים שתארו המערער ואמו התרחשו לפני שנים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 אינם מטים את הכף לעבר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הוא הדין באשר לטענתו השלישית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בנוגע לעונש הצפוי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זולת הפניה לחוק הפלילי הרוסי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המערער טענות בעלמא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הראוי להזכיר כי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עונש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לעבירה המיוחסת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בחוק הרוסי עונש מינימום של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לעבירה הנדונה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בנסיבות מיוחדות מאפשר החוק הרוסי לבית המשפט לגזור עונש פחות מן המינימום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לקוד הפלילי הרוסי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הצדק עם המשיב בטענה כי לא קיימת דרישה בדין לזהות בין רמת הענישה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לרמת הענישה במדינה מבקשת ההסגרה </w:t>
      </w:r>
      <w:r>
        <w:rPr>
          <w:rFonts w:cs="Century" w:ascii="Century" w:hAnsi="Century"/>
          <w:rtl w:val="true"/>
        </w:rPr>
        <w:t>(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459/12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13.3.2013</w:t>
      </w:r>
      <w:r>
        <w:rPr>
          <w:rFonts w:cs="Century" w:ascii="Century" w:hAnsi="Century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7742/15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28.8.2016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7108/16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11.12.2016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מטענות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שעוסקות בפגיעה במערער – אם מאיום חיצוני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מן העונש שיגזרו עליו הרשויות – אפנה לטענתו הנוספת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שביסודה החשש מפני פגיעה בזכותו להליך הוגן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מבוססת על שני נדבכים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הטענה כי רשויות האכיפה ברוסיה השתמשו נגדו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Miriam"/>
          <w:sz w:val="18"/>
          <w:sz w:val="18"/>
          <w:szCs w:val="24"/>
          <w:rtl w:val="true"/>
        </w:rPr>
        <w:t>סוכן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מדיח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בניגוד לדין המחייב את 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שזה נפסק בבית הדין האירופי לזכויות אדם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– כפי שגם נפסק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דין זה – ברוסיה לא מתקיימת ביקורת שיפוטית אפקטיבית על כך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טענה זו מעוררת בעינַי מספר קשיים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ככל שהטענה היא שהעמדת המערער לדין כאשר הופעל נגדו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סוכן מדיח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פוגעת ב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שיש לבחון טענה זו על רקע הדין הנוהג בישראל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אם לפי הדין בישראל לא עומדת למבוקש ההסגרה הגנה מפני ניהול הליך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שקשה לומר שהעמדתו לדין בחוץ לארץ פוגעת ב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ascii="Century" w:hAnsi="Century" w:cs="Century"/>
          <w:rtl w:val="true"/>
        </w:rPr>
        <w:t xml:space="preserve"> שבישראל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באחת הפרשיות נטען כי הפעלתו של סוכן מדיח כלפי מבוקש ההסגרה פוגעת ב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 המשפט בחן טענה זו על רקע הדין הישראלי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בחינת טענה זו לפי הדין הישראלי מעוררת קושי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ההדחה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עברייני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סוכן מדיח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הרובצת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מאשמה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1201/12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9.1.2014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המשמעות היא 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בטענת ההדחה כדי למנוע ניהול הליך פלילי בארץ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היא אינה עילה שלא להסגיר מבוקש הסגרה לחוץ לארץ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אמנם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בפסיקתנו נקבע חריג לכלל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יסוד דוקטרינת ה</w:t>
      </w:r>
      <w:r>
        <w:rPr>
          <w:rFonts w:ascii="Century" w:hAnsi="Century" w:cs="Miriam"/>
          <w:sz w:val="18"/>
          <w:sz w:val="18"/>
          <w:szCs w:val="24"/>
          <w:rtl w:val="true"/>
        </w:rPr>
        <w:t>הגנה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מן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במצבים חריגים ניתן אף להורות על ביטולו של כתב אישום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להוציא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תתכנה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תרומתו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בהתקבלה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לביטול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1224/07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בלדב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10.2.2010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אולם עיון לכאורי בעובדות המתוארות בבקשת ההסגרה מלמד כי הנדון שלפנינו אינו בא בגדר אותם מצבים שבהם ראוי לבטל את כתב האישום מטעמי הגנה מן הצדק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 ההדחה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בראי הדין הישראלי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מוליכה למסקנה כי הסגרת המערער תוביל לפגיעה ב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המערער טוען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לפי הדין שנפסק בבית הדין האירופי לזכויות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המחייב את 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טענתו זו אמורה להוביל לזיכויו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דינה של טענה זו להתברר בערכאות שברוסיה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גם בה אין כדי להצדיק את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הטענה לא תישמע שם כדבעי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שנקבע בפסקי דין שונים של בית הדין האירופי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אמות המידה שתוארו לעיל להוכחת פגיעה ב</w:t>
      </w:r>
      <w:r>
        <w:rPr>
          <w:rFonts w:ascii="Century" w:hAnsi="Century" w:cs="Miriam"/>
          <w:sz w:val="18"/>
          <w:sz w:val="18"/>
          <w:szCs w:val="24"/>
          <w:rtl w:val="true"/>
        </w:rPr>
        <w:t>תקנת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 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היא מבוססת על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אינדיקציות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בולטיאנסקי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ולא בהקשר קונקרטי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להניח מראש שבית המשפט שידון בעניינו הקונקרטי של המערער לא ידרש לטענת ההדחה ולא ידון בה בלב פתוח ובנפש חפצה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בסיס אמות המידה של בית הדין האירופי לזכויות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נקבע בעבר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הדין שיש פגמים באופן התנהלותה של רוסיה בהקשר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סיבה להניח שדלתו של בית הדין האירופי לזכויות אדם לא תהא פתוחה לפני המערער בהקשר הנדון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שיחפוץ לפנות לאפיק משפטי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בשולי הדברים אציין כי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הציע שלשום במהלך הדיון לחזור בו מערעורו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ובלבד שהסגרתו של המערער לרוסיה תותנה בריצוי עונשו 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לא נוכל להעתר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שלא התקיים </w:t>
      </w:r>
      <w:r>
        <w:rPr>
          <w:rFonts w:ascii="Century" w:hAnsi="Century" w:cs="Miriam"/>
          <w:sz w:val="18"/>
          <w:sz w:val="18"/>
          <w:szCs w:val="24"/>
          <w:rtl w:val="true"/>
        </w:rPr>
        <w:t>הסייג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להסגרת</w:t>
      </w:r>
      <w:r>
        <w:rPr>
          <w:rFonts w:ascii="Century" w:hAnsi="Century" w:eastAsia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sz w:val="18"/>
          <w:sz w:val="18"/>
          <w:szCs w:val="24"/>
          <w:rtl w:val="true"/>
        </w:rPr>
        <w:t>אזרח</w:t>
      </w:r>
      <w:r>
        <w:rPr>
          <w:rFonts w:cs="Century" w:ascii="Century" w:hAnsi="Century"/>
          <w:rtl w:val="true"/>
        </w:rPr>
        <w:t xml:space="preserve">,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ההסגרה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את כוונתו לפנות לשרת המשפטים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 על שיקול הדעת הרחב המסור לה בכגון דא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רשמנו את דבריו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מצדנו לא ננקוט עמדה מעבר לתחום סמכותנו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יסוד כל הטעמים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כי נדחה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ונותיר את קביעת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המערער הוא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 על כנה</w:t>
      </w:r>
      <w:r>
        <w:rPr>
          <w:rFonts w:cs="Century" w:ascii="Century" w:hAnsi="Century"/>
          <w:rtl w:val="true"/>
        </w:rPr>
        <w:t xml:space="preserve">.    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" w:cs="Arial TUR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ד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" w:cs="Arial TUR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ע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23.5.2018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17054730</w:t>
      </w:r>
      <w:r>
        <w:rPr>
          <w:sz w:val="16"/>
          <w:rtl w:val="true"/>
        </w:rPr>
        <w:t>_</w:t>
      </w:r>
      <w:r>
        <w:rPr>
          <w:sz w:val="16"/>
        </w:rPr>
        <w:t>O05.doc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54678313-5473/17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5473/17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איליה מלצ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יקוב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היועץ המשפטי לממשלה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29972" TargetMode="External"/><Relationship Id="rId3" Type="http://schemas.openxmlformats.org/officeDocument/2006/relationships/hyperlink" Target="http://www.nevo.co.il/law/71723" TargetMode="External"/><Relationship Id="rId4" Type="http://schemas.openxmlformats.org/officeDocument/2006/relationships/hyperlink" Target="http://www.nevo.co.il/law/71723/1a" TargetMode="External"/><Relationship Id="rId5" Type="http://schemas.openxmlformats.org/officeDocument/2006/relationships/hyperlink" Target="http://www.nevo.co.il/law/71723/2b.a.8" TargetMode="External"/><Relationship Id="rId6" Type="http://schemas.openxmlformats.org/officeDocument/2006/relationships/hyperlink" Target="http://www.nevo.co.il/law/72231" TargetMode="External"/><Relationship Id="rId7" Type="http://schemas.openxmlformats.org/officeDocument/2006/relationships/hyperlink" Target="http://www.nevo.co.il/law/72231/2.b.3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71723/2b.a.8" TargetMode="External"/><Relationship Id="rId10" Type="http://schemas.openxmlformats.org/officeDocument/2006/relationships/hyperlink" Target="http://www.nevo.co.il/law/71723" TargetMode="External"/><Relationship Id="rId11" Type="http://schemas.openxmlformats.org/officeDocument/2006/relationships/hyperlink" Target="http://www.nevo.co.il/law/71723/2b.a.8" TargetMode="External"/><Relationship Id="rId12" Type="http://schemas.openxmlformats.org/officeDocument/2006/relationships/hyperlink" Target="http://www.nevo.co.il/law/71723" TargetMode="External"/><Relationship Id="rId13" Type="http://schemas.openxmlformats.org/officeDocument/2006/relationships/hyperlink" Target="http://www.nevo.co.il/case/21015139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71723/2b.a.8" TargetMode="External"/><Relationship Id="rId16" Type="http://schemas.openxmlformats.org/officeDocument/2006/relationships/hyperlink" Target="http://www.nevo.co.il/law/71723" TargetMode="External"/><Relationship Id="rId17" Type="http://schemas.openxmlformats.org/officeDocument/2006/relationships/hyperlink" Target="http://www.nevo.co.il/law/71723" TargetMode="External"/><Relationship Id="rId18" Type="http://schemas.openxmlformats.org/officeDocument/2006/relationships/hyperlink" Target="http://www.nevo.co.il/case/21015139" TargetMode="External"/><Relationship Id="rId19" Type="http://schemas.openxmlformats.org/officeDocument/2006/relationships/hyperlink" Target="http://www.nevo.co.il/law/71723" TargetMode="External"/><Relationship Id="rId20" Type="http://schemas.openxmlformats.org/officeDocument/2006/relationships/hyperlink" Target="http://www.nevo.co.il/law/72231/2.b.3" TargetMode="External"/><Relationship Id="rId21" Type="http://schemas.openxmlformats.org/officeDocument/2006/relationships/hyperlink" Target="http://www.nevo.co.il/law/72231" TargetMode="External"/><Relationship Id="rId22" Type="http://schemas.openxmlformats.org/officeDocument/2006/relationships/hyperlink" Target="http://www.nevo.co.il/case/5838050" TargetMode="External"/><Relationship Id="rId23" Type="http://schemas.openxmlformats.org/officeDocument/2006/relationships/hyperlink" Target="http://www.nevo.co.il/case/5814012" TargetMode="External"/><Relationship Id="rId24" Type="http://schemas.openxmlformats.org/officeDocument/2006/relationships/hyperlink" Target="http://www.nevo.co.il/case/5982052" TargetMode="External"/><Relationship Id="rId25" Type="http://schemas.openxmlformats.org/officeDocument/2006/relationships/hyperlink" Target="http://www.nevo.co.il/case/17937922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case/5571807" TargetMode="External"/><Relationship Id="rId28" Type="http://schemas.openxmlformats.org/officeDocument/2006/relationships/hyperlink" Target="http://www.nevo.co.il/case/21012280" TargetMode="External"/><Relationship Id="rId29" Type="http://schemas.openxmlformats.org/officeDocument/2006/relationships/hyperlink" Target="http://www.nevo.co.il/case/22302832" TargetMode="External"/><Relationship Id="rId30" Type="http://schemas.openxmlformats.org/officeDocument/2006/relationships/hyperlink" Target="http://www.nevo.co.il/case/6243440" TargetMode="External"/><Relationship Id="rId31" Type="http://schemas.openxmlformats.org/officeDocument/2006/relationships/hyperlink" Target="http://www.nevo.co.il/case/5704648" TargetMode="External"/><Relationship Id="rId32" Type="http://schemas.openxmlformats.org/officeDocument/2006/relationships/hyperlink" Target="http://www.nevo.co.il/law/71723/1a" TargetMode="External"/><Relationship Id="rId33" Type="http://schemas.openxmlformats.org/officeDocument/2006/relationships/hyperlink" Target="http://www.nevo.co.il/law/71723" TargetMode="External"/><Relationship Id="rId34" Type="http://schemas.openxmlformats.org/officeDocument/2006/relationships/hyperlink" Target="https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2018-05-24T07:47:00Z</dcterms:created>
  <dc:creator> </dc:creator>
  <dc:description/>
  <cp:keywords/>
  <dc:language>en-IL</dc:language>
  <cp:lastModifiedBy>orly</cp:lastModifiedBy>
  <cp:lastPrinted>2018-05-23T11:34:00Z</cp:lastPrinted>
  <dcterms:modified xsi:type="dcterms:W3CDTF">2018-05-24T10:33:00Z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איליה מלצ'יקוב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22229972;21015139;5838050;5814012;5982052;17937922;5571807;21012280;22302832;6243440;5704648</vt:lpwstr>
  </property>
  <property fmtid="{D5CDD505-2E9C-101B-9397-08002B2CF9AE}" pid="9" name="CITY">
    <vt:lpwstr/>
  </property>
  <property fmtid="{D5CDD505-2E9C-101B-9397-08002B2CF9AE}" pid="10" name="DATE">
    <vt:lpwstr>20180523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מינץ;ע' גרוסקופף</vt:lpwstr>
  </property>
  <property fmtid="{D5CDD505-2E9C-101B-9397-08002B2CF9AE}" pid="14" name="LAWLISTTMP1">
    <vt:lpwstr>71723/002b.a.8;001a</vt:lpwstr>
  </property>
  <property fmtid="{D5CDD505-2E9C-101B-9397-08002B2CF9AE}" pid="15" name="LAWLISTTMP2">
    <vt:lpwstr>72231/002.b.3</vt:lpwstr>
  </property>
  <property fmtid="{D5CDD505-2E9C-101B-9397-08002B2CF9AE}" pid="16" name="LAWLISTTMP3">
    <vt:lpwstr>4216</vt:lpwstr>
  </property>
  <property fmtid="{D5CDD505-2E9C-101B-9397-08002B2CF9AE}" pid="17" name="LAWYER">
    <vt:lpwstr>מתן עקיבא;ניק קאופמן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הסגרה</vt:lpwstr>
  </property>
  <property fmtid="{D5CDD505-2E9C-101B-9397-08002B2CF9AE}" pid="29" name="NOSE110">
    <vt:lpwstr/>
  </property>
  <property fmtid="{D5CDD505-2E9C-101B-9397-08002B2CF9AE}" pid="30" name="NOSE12">
    <vt:lpwstr>הסגרה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28;28</vt:lpwstr>
  </property>
  <property fmtid="{D5CDD505-2E9C-101B-9397-08002B2CF9AE}" pid="39" name="NOSE21">
    <vt:lpwstr>סייגים להסגרה</vt:lpwstr>
  </property>
  <property fmtid="{D5CDD505-2E9C-101B-9397-08002B2CF9AE}" pid="40" name="NOSE210">
    <vt:lpwstr/>
  </property>
  <property fmtid="{D5CDD505-2E9C-101B-9397-08002B2CF9AE}" pid="41" name="NOSE22">
    <vt:lpwstr>תנאי הסגרה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610;614</vt:lpwstr>
  </property>
  <property fmtid="{D5CDD505-2E9C-101B-9397-08002B2CF9AE}" pid="50" name="NOSE31">
    <vt:lpwstr>תקנת הציבור</vt:lpwstr>
  </property>
  <property fmtid="{D5CDD505-2E9C-101B-9397-08002B2CF9AE}" pid="51" name="NOSE310">
    <vt:lpwstr/>
  </property>
  <property fmtid="{D5CDD505-2E9C-101B-9397-08002B2CF9AE}" pid="52" name="NOSE32">
    <vt:lpwstr>סייגים להסגרה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4221;4231</vt:lpwstr>
  </property>
  <property fmtid="{D5CDD505-2E9C-101B-9397-08002B2CF9AE}" pid="61" name="PADIDATE">
    <vt:lpwstr>20180524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5473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410120180523</vt:lpwstr>
  </property>
  <property fmtid="{D5CDD505-2E9C-101B-9397-08002B2CF9AE}" pid="71" name="TYPE_N_DATE">
    <vt:lpwstr>41020180523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