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רושרוש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21.11.2019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41205-01-17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אסתר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יפעת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שיטרית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וסאאב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138"/>
        <w:gridCol w:w="995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1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2.7.2020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99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1"/>
        <w:gridCol w:w="3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sz w:val="4"/>
                <w:szCs w:val="10"/>
              </w:rPr>
            </w:pPr>
            <w:r>
              <w:rPr>
                <w:sz w:val="4"/>
                <w:szCs w:val="10"/>
                <w:rtl w:val="true"/>
              </w:rPr>
            </w:r>
          </w:p>
        </w:tc>
        <w:tc>
          <w:tcPr>
            <w:tcW w:w="515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ברזני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שלומוביץ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ab/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  <w:p>
            <w:pPr>
              <w:pStyle w:val="BodyRuller1"/>
              <w:spacing w:lineRule="auto" w:line="360"/>
              <w:ind w:end="0"/>
              <w:jc w:val="start"/>
              <w:rPr>
                <w:vertAlign w:val="subscript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יורין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 דחה את ערעורו של המערער שגרם למותה של 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זוגו ופסק כי אין להמיר את הרשעתו לעבירה של המתה בקלות דעת לפי 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ג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תחת הרשעתו בעבירת ההריגה לפי 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298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טרם תיקונו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ולהקל בעונשו 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נדחה ערעורו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הכולל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המתה בקלות דעת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מחשבה פלילית – קלות דעת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הריגה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ואלימות כלפי בנות זוג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בהתאם לכתב האישום המערער חנק את בת זוגו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וחבט בה עד זוב דם ואובדן הכרה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הטיח אבן כבדה בראשה ורוצץ את גולגלתה וגרם למותה ולאחר מכן נמלט מהמקום מבלי להגיש לה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הרשיע את המערער במסגרת הסדר טיעון שנחתם לאחר פרסום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בעבירת הריגה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298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במקום בעבירת רצח שיוחסה לו בכתב האישום המקורי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וביתר העבירות שיוחסו לו מלכתחילה – עבירות אלימות נוספות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עבירות של הדחה בחקירה בנסיבות מחמירות ושיבוש מהלכי משפט והטיל עליו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מאסרים מותנים ופיצוי לנפגעי העבירה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258,000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לטענת המערער יש להרשיעו בעבירה של המתה בקלות דעת לפי 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ג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תחת הרשעתו בעבירת ההריגה לפי 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298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טרם תיקונו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ולהקל בעונשו 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לחילופין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טען המערער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החמיר עימו החמרה יתרה הן בכך שלא נתן משקל ראוי לנסיבותיו האישיות והן בכך שחרג לחומרה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ומטעמים אלו יש להקל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הרפורמה בעבירות ההמתה בוטלה עבירת ההריגה לפי 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298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שהיסוד הנפשי בה היה מחשבה פלילית מסוג של פזיזות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שבגדרה באו אדישות או קלות דעת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1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והעונש המירבי שלצידה היה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והיא פוצלה כך שהמתה שהיסוד הנפשי הנלווה לה הוא אדישות מגבשת כיום עבירת רצח שדינה מאסר עולם כעונש מירבי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20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לאחר תיקונו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עבירה עצמאית שדינה עונש מירבי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2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ג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לחוק לאחר תיקונו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בשעה שתיקון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נכנס לתוקפו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 לא נגזר דינו של המערער ולכן חלה עליו הוראת המעבר שבתיקון ולפיה יש לדון אותו לפי הוראות החיקוק המקל עימו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משמעות הדבר כי יש לייחס לו יסוד נפשי של קלות דעת בהתעלם מן המסד העובדתי שבו הודה ועל פיו הורשע בעבירת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בכתב האישום המתוקן אין כל התייחסות ליסוד הנפשי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לאחר שנמחקו ממנו התייחסות ליסוד הנפשי בעבירת הרצח שיוחסה למערער בכתב האישום מלכתחילה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ממש בטענה כי בשל כך עולה ספק ביחס לטיבו של היסוד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קביעה ביחס לקיומו של היסוד הנפשי הינה קביעה עובדתית מטיבה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המבוססת על נסיבות המקרה ועל חזקות ראייתיות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המסד העובדתי המוסכם בהסדר הטיעון הוא הבסיס לקביעתו ומסקנתו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מוצדקת ומעוגנת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התיאור העובדתי שבכתב האישום המתוקן אינו מתיישב כלל ועיקר עם יסוד נפשי של 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שעניינו במי שנטל סיכון בלתי סביר לאפשרות גרימת התוצאות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מתוך תקווה להצליח למנוע אותן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2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ובניגוד לנטען אין כל חוסר בכתב האישום המתוקן ביחס למנגנון המוות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נכתב בו מפורשות כי המערער גרם למות המנוחה בכך שרוצץ את גולגלתה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גם אלמלא היה הדבר מצוין במפורש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היה לקבל את טענת המערער לקיומו של יסוד נפשי של קלות דעת בהינתן האפשרות כי המנוחה כבר לא הייתה בין החיים שעה שהכה בראשה באבן השפה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עצם העובדה כי המערער הכה בראשה באבן כה כבדה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מבטלת מניה וביה כל טענה כי פעל בסמוך לפני כן בחניקתה ובהכאתה בפניה מתוך הלך נפש של 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 מתוך תקווה להצליח למנוע את התוצאה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מכלול מעשיו באותו לילה מנוגדים בתכלית לתקווה למנוע את התוצאה הטבעית של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וכפי שקבע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המסד העובדתי המוסכם מעלה כי המערער פעל מתוך הלך נפש של אדישות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כהגדרתו </w:t>
      </w:r>
      <w:hyperlink r:id="rId2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על 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לו היה החוק כנוסחו לאחר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 בעניינו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ניתן היה לייחס לו עבירת רצח לפי </w:t>
      </w:r>
      <w:hyperlink r:id="rId2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300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הקובע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הגורם בכוונה או באדישות למותו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סיכומו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החוק לאחר תיקונו בבחינת דין מקל לגבי המערער בנסיבות שבכתב האישום המתוקן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 בטעמים מהותיים אלו כדי לדחות את הטענה להמרת הרשעת המערער לעבירה של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לציין כי המערער הודה בהסדר 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שמכוחו הורשע בעבירת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שהסכים כי המשיבה תטען לעונש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נדחה הערעור לעניין חורת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של המערער בא בגדרו של טווח הענישה המוסכם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ובנסיבות אלה הוא מבטא את מכלול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חומרת מעשיו ואת האכזריות שבה נקט כלפי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את תוצאתם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אובדן חייה של אישה צעירה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ואת היקף ועומק החורבן וההרס שהמיט במעשיו על בני משפחתה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כל עילה או הצדקה להקל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לבקשת משפחת המנוחה להחמיר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צוין כי בקשה זו מובנת על רקע צערם ואסונם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לא ניתן לעשות כן בגדרו של ערעור על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41205-01-17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20.12.2016</w:t>
      </w:r>
      <w:r>
        <w:rPr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, </w:t>
      </w:r>
      <w:r>
        <w:rPr>
          <w:rtl w:val="true"/>
        </w:rPr>
        <w:t>שבמהלכה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tl w:val="true"/>
        </w:rPr>
        <w:t xml:space="preserve">, </w:t>
      </w:r>
      <w:r>
        <w:rPr>
          <w:rtl w:val="true"/>
        </w:rPr>
        <w:t>מכאיב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משפיל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18.9.2016</w:t>
      </w:r>
      <w:r>
        <w:rPr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המטומה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12.10.2016</w:t>
      </w:r>
      <w:r>
        <w:rPr>
          <w:rtl w:val="true"/>
        </w:rPr>
        <w:t xml:space="preserve">, </w:t>
      </w:r>
      <w:r>
        <w:rPr>
          <w:rtl w:val="true"/>
        </w:rPr>
        <w:t>בסיום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בגפיה</w:t>
      </w:r>
      <w:r>
        <w:rPr>
          <w:rtl w:val="true"/>
        </w:rPr>
        <w:t xml:space="preserve">, </w:t>
      </w:r>
      <w:r>
        <w:rPr>
          <w:rtl w:val="true"/>
        </w:rPr>
        <w:t>כאבים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20.12.2016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00:45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מגדל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לשיחים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בגרונה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שפה</w:t>
      </w:r>
      <w:r>
        <w:rPr>
          <w:rtl w:val="true"/>
        </w:rPr>
        <w:t xml:space="preserve">, </w:t>
      </w:r>
      <w:r>
        <w:rPr>
          <w:rtl w:val="true"/>
        </w:rPr>
        <w:t>שמשקלה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רוצץ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בגפיים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בקרסול</w:t>
      </w:r>
      <w:r>
        <w:rPr>
          <w:rtl w:val="true"/>
        </w:rPr>
        <w:t xml:space="preserve">, </w:t>
      </w:r>
      <w:r>
        <w:rPr>
          <w:rtl w:val="true"/>
        </w:rPr>
        <w:t>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באמות</w:t>
      </w:r>
      <w:r>
        <w:rPr>
          <w:rtl w:val="true"/>
        </w:rPr>
        <w:t xml:space="preserve">,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 xml:space="preserve">, </w:t>
      </w:r>
      <w:r>
        <w:rPr>
          <w:rtl w:val="true"/>
        </w:rPr>
        <w:t>מעיכה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הגולגולת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</w:rPr>
        <w:t>18.1.2017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הוגש נגד המערער כתב אישום שבו יוחס לו רצח המנוחה בכוונה תחילה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)), </w:t>
      </w:r>
      <w:r>
        <w:rPr>
          <w:rFonts w:ascii="Century" w:hAnsi="Century" w:cs="Century"/>
          <w:rtl w:val="true"/>
        </w:rPr>
        <w:t>כנוסחו באותה עת ועבירות נוספות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כפר במיוחס לו והתקיימו דיוני הוכחות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שנשמעו מרבית עדי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הצדדים להסדר טיעון במסגרתו תוקן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קשיים ראייתיים מהותיים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התיאור העובדתי שבכתב האישום ביחס למעשי המערער לא השתנה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הושמטה ממנו הטענה כי בלב המערער גמלה החלטה להמית את המנוחה וכי הוא גרם למותה בכוונה 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שהחליט להמיתה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והמיתה בדם קר בלא שקדמה התגרות בתכוף 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ובמקום עבירת הרצח יוחסה למערער עבירת הריגה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ויתר העבירות שיוחסו לו מלכתחילה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19.2.2019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21.11.2019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>ששינה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ולהעמידה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strike/>
        </w:rPr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גולגלתה</w:t>
      </w:r>
      <w:r>
        <w:rPr>
          <w:rtl w:val="true"/>
        </w:rPr>
        <w:t xml:space="preserve">, </w:t>
      </w:r>
      <w:r>
        <w:rPr>
          <w:rtl w:val="true"/>
        </w:rPr>
        <w:t>וקודם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המבוצעת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מגבשת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וכבדה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קיפח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 xml:space="preserve">, </w:t>
      </w:r>
      <w:r>
        <w:rPr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); 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 xml:space="preserve">טיעוני הצדדים </w:t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משתוקן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ובוטלה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eastAsia="Arial TUR;Arial" w:cs="Arial TUR;Arial"/>
          <w:rtl w:val="true"/>
        </w:rPr>
        <w:t xml:space="preserve"> </w:t>
      </w:r>
      <w:r>
        <w:rPr/>
        <w:t>2025/19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;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והגמגום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משהוסכם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>והתמונות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דיון והכרעה</w:t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צרופותיהן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שהיסוד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, </w:t>
      </w:r>
      <w:r>
        <w:rPr>
          <w:rtl w:val="true"/>
        </w:rPr>
        <w:t>שבגדרה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פוצלה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),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לתוקפו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שנמחקו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מטיבה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ארבאן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2.7.2020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ארבאן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ארבאן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>ומסקנתו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מתוך תקווה להצליח למנוע אותן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בגרונה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שפה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ורוצץ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גולגלתה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גולגלתה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השפה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tl w:val="true"/>
        </w:rPr>
        <w:t xml:space="preserve">, </w:t>
      </w:r>
      <w:r>
        <w:rPr>
          <w:rtl w:val="true"/>
        </w:rPr>
        <w:t>מבטלת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בחניקתה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ובהכאתה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3510/16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אבו דקה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(</w:t>
      </w:r>
      <w:r>
        <w:rPr/>
        <w:t>17.7.2019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כהגדרתו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". </w:t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שמכוחו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משנדחתה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ארבאן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שיינברג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פוגלמן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6.12.2018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10184/16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חטיב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(</w:t>
      </w:r>
      <w:r>
        <w:rPr/>
        <w:t>7.2.2018</w:t>
      </w:r>
      <w:r>
        <w:rPr>
          <w:rtl w:val="true"/>
        </w:rPr>
        <w:t xml:space="preserve">)).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הנדונה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, </w:t>
      </w:r>
      <w:r>
        <w:rPr>
          <w:rtl w:val="true"/>
        </w:rPr>
        <w:t>ובהתייחסות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זיתוני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26.12.2017</w:t>
      </w:r>
      <w:r>
        <w:rPr>
          <w:rtl w:val="true"/>
        </w:rPr>
        <w:t xml:space="preserve">)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המוסכמות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חניקה</w:t>
      </w:r>
      <w:r>
        <w:rPr>
          <w:rtl w:val="true"/>
        </w:rPr>
        <w:t xml:space="preserve">, </w:t>
      </w:r>
      <w:r>
        <w:rPr>
          <w:rtl w:val="true"/>
        </w:rPr>
        <w:t>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והמשך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tl w:val="true"/>
        </w:rPr>
        <w:t xml:space="preserve">, </w:t>
      </w:r>
      <w:r>
        <w:rPr>
          <w:rtl w:val="true"/>
        </w:rPr>
        <w:t>בהטחת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 xml:space="preserve">, </w:t>
      </w:r>
      <w:r>
        <w:rPr>
          <w:rtl w:val="true"/>
        </w:rPr>
        <w:t>בהימלטות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אבשלום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3042/13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חיימוב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21.5.2015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4524/18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חנוכייב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3.3.2019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המוסכמות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כראוי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מובנת</w:t>
      </w:r>
      <w:r>
        <w:rPr>
          <w:rtl w:val="true"/>
        </w:rPr>
        <w:t xml:space="preserve">. </w:t>
      </w:r>
      <w:r>
        <w:rPr>
          <w:rtl w:val="true"/>
        </w:rPr>
        <w:t>צערם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עינינו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</w:rPr>
      </w:pPr>
      <w:r>
        <w:rPr>
          <w:rFonts w:cs="Miriam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א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שטיין</w:t>
      </w:r>
      <w:r>
        <w:rPr>
          <w:rFonts w:cs="Miriam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eastAsia="Century" w:cs="FrankRuehl"/>
          <w:spacing w:val="10"/>
          <w:sz w:val="22"/>
          <w:szCs w:val="28"/>
        </w:rPr>
      </w:pPr>
      <w:r>
        <w:rPr>
          <w:rFonts w:eastAsia="Century" w:cs="FrankRuehl" w:ascii="Century" w:hAnsi="Century"/>
          <w:spacing w:val="10"/>
          <w:sz w:val="22"/>
          <w:szCs w:val="28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sz w:val="28"/>
          <w:sz w:val="28"/>
          <w:rtl w:val="true"/>
        </w:rPr>
        <w:t>הוחלט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קרא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4" w:name="Nitan"/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19.7.2020</w:t>
      </w:r>
      <w:r>
        <w:rPr>
          <w:rFonts w:cs="Century" w:ascii="Century" w:hAnsi="Century"/>
          <w:rtl w:val="true"/>
        </w:rPr>
        <w:t xml:space="preserve">). </w:t>
      </w:r>
      <w:bookmarkEnd w:id="14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20000550</w:t>
      </w:r>
      <w:r>
        <w:rPr>
          <w:sz w:val="16"/>
          <w:rtl w:val="true"/>
        </w:rPr>
        <w:t>_</w:t>
      </w:r>
      <w:r>
        <w:rPr>
          <w:sz w:val="16"/>
        </w:rPr>
        <w:t>Q04.docx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54678313-55/20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55/20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ראיד רושרוש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15181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.a" TargetMode="External"/><Relationship Id="rId5" Type="http://schemas.openxmlformats.org/officeDocument/2006/relationships/hyperlink" Target="http://www.nevo.co.il/law/70301/20.a.2" TargetMode="External"/><Relationship Id="rId6" Type="http://schemas.openxmlformats.org/officeDocument/2006/relationships/hyperlink" Target="http://www.nevo.co.il/law/70301/20.a.2.a" TargetMode="External"/><Relationship Id="rId7" Type="http://schemas.openxmlformats.org/officeDocument/2006/relationships/hyperlink" Target="http://www.nevo.co.il/law/70301/20.a.2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00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300.a.2" TargetMode="External"/><Relationship Id="rId12" Type="http://schemas.openxmlformats.org/officeDocument/2006/relationships/hyperlink" Target="http://www.nevo.co.il/law/70301/301c" TargetMode="External"/><Relationship Id="rId13" Type="http://schemas.openxmlformats.org/officeDocument/2006/relationships/hyperlink" Target="http://www.nevo.co.il/law/70301/301c" TargetMode="External"/><Relationship Id="rId14" Type="http://schemas.openxmlformats.org/officeDocument/2006/relationships/hyperlink" Target="http://www.nevo.co.il/law/70301/298" TargetMode="External"/><Relationship Id="rId15" Type="http://schemas.openxmlformats.org/officeDocument/2006/relationships/hyperlink" Target="http://www.nevo.co.il/law/70301/298" TargetMode="External"/><Relationship Id="rId16" Type="http://schemas.openxmlformats.org/officeDocument/2006/relationships/hyperlink" Target="http://www.nevo.co.il/law/70301/301c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/20.a.2" TargetMode="External"/><Relationship Id="rId20" Type="http://schemas.openxmlformats.org/officeDocument/2006/relationships/hyperlink" Target="http://www.nevo.co.il/law/70301/300" TargetMode="External"/><Relationship Id="rId21" Type="http://schemas.openxmlformats.org/officeDocument/2006/relationships/hyperlink" Target="http://www.nevo.co.il/law/70301/301c" TargetMode="External"/><Relationship Id="rId22" Type="http://schemas.openxmlformats.org/officeDocument/2006/relationships/hyperlink" Target="http://www.nevo.co.il/law/70301/20.a.2.b" TargetMode="External"/><Relationship Id="rId23" Type="http://schemas.openxmlformats.org/officeDocument/2006/relationships/hyperlink" Target="http://www.nevo.co.il/law/70301/20.a.2.a" TargetMode="External"/><Relationship Id="rId24" Type="http://schemas.openxmlformats.org/officeDocument/2006/relationships/hyperlink" Target="http://www.nevo.co.il/law/70301/300.a" TargetMode="External"/><Relationship Id="rId25" Type="http://schemas.openxmlformats.org/officeDocument/2006/relationships/hyperlink" Target="http://www.nevo.co.il/case/22151814" TargetMode="External"/><Relationship Id="rId26" Type="http://schemas.openxmlformats.org/officeDocument/2006/relationships/hyperlink" Target="http://www.nevo.co.il/law/70301/300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98" TargetMode="External"/><Relationship Id="rId31" Type="http://schemas.openxmlformats.org/officeDocument/2006/relationships/hyperlink" Target="http://www.nevo.co.il/law/70301/5.a" TargetMode="External"/><Relationship Id="rId32" Type="http://schemas.openxmlformats.org/officeDocument/2006/relationships/hyperlink" Target="http://www.nevo.co.il/law/70301/298" TargetMode="External"/><Relationship Id="rId33" Type="http://schemas.openxmlformats.org/officeDocument/2006/relationships/hyperlink" Target="http://www.nevo.co.il/law/70301/301c" TargetMode="External"/><Relationship Id="rId34" Type="http://schemas.openxmlformats.org/officeDocument/2006/relationships/hyperlink" Target="http://www.nevo.co.il/law/70301/20.a.2.b" TargetMode="External"/><Relationship Id="rId35" Type="http://schemas.openxmlformats.org/officeDocument/2006/relationships/hyperlink" Target="http://www.nevo.co.il/law/70301/300.a" TargetMode="External"/><Relationship Id="rId36" Type="http://schemas.openxmlformats.org/officeDocument/2006/relationships/hyperlink" Target="http://www.nevo.co.il/law/70301/301c" TargetMode="External"/><Relationship Id="rId37" Type="http://schemas.openxmlformats.org/officeDocument/2006/relationships/hyperlink" Target="http://www.nevo.co.il/law/70301/298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1c" TargetMode="External"/><Relationship Id="rId40" Type="http://schemas.openxmlformats.org/officeDocument/2006/relationships/hyperlink" Target="http://www.nevo.co.il/law/70301/301c" TargetMode="External"/><Relationship Id="rId41" Type="http://schemas.openxmlformats.org/officeDocument/2006/relationships/hyperlink" Target="http://www.nevo.co.il/law/70301/298" TargetMode="External"/><Relationship Id="rId42" Type="http://schemas.openxmlformats.org/officeDocument/2006/relationships/hyperlink" Target="http://www.nevo.co.il/law/70301/298" TargetMode="External"/><Relationship Id="rId43" Type="http://schemas.openxmlformats.org/officeDocument/2006/relationships/hyperlink" Target="http://www.nevo.co.il/law/70301/20.a.2" TargetMode="External"/><Relationship Id="rId44" Type="http://schemas.openxmlformats.org/officeDocument/2006/relationships/hyperlink" Target="http://www.nevo.co.il/law/70301/300" TargetMode="External"/><Relationship Id="rId45" Type="http://schemas.openxmlformats.org/officeDocument/2006/relationships/hyperlink" Target="http://www.nevo.co.il/law/70301/301c" TargetMode="External"/><Relationship Id="rId46" Type="http://schemas.openxmlformats.org/officeDocument/2006/relationships/hyperlink" Target="http://www.nevo.co.il/case/26418331" TargetMode="External"/><Relationship Id="rId47" Type="http://schemas.openxmlformats.org/officeDocument/2006/relationships/hyperlink" Target="http://www.nevo.co.il/law/70301/20.a.2.b" TargetMode="External"/><Relationship Id="rId48" Type="http://schemas.openxmlformats.org/officeDocument/2006/relationships/hyperlink" Target="http://www.nevo.co.il/case/21473673" TargetMode="External"/><Relationship Id="rId49" Type="http://schemas.openxmlformats.org/officeDocument/2006/relationships/hyperlink" Target="http://www.nevo.co.il/law/70301/20.a.2.a" TargetMode="External"/><Relationship Id="rId50" Type="http://schemas.openxmlformats.org/officeDocument/2006/relationships/hyperlink" Target="http://www.nevo.co.il/law/70301/300.a" TargetMode="External"/><Relationship Id="rId51" Type="http://schemas.openxmlformats.org/officeDocument/2006/relationships/hyperlink" Target="http://www.nevo.co.il/case/23825973" TargetMode="External"/><Relationship Id="rId52" Type="http://schemas.openxmlformats.org/officeDocument/2006/relationships/hyperlink" Target="http://www.nevo.co.il/case/21915161" TargetMode="External"/><Relationship Id="rId53" Type="http://schemas.openxmlformats.org/officeDocument/2006/relationships/hyperlink" Target="http://www.nevo.co.il/case/22006497" TargetMode="External"/><Relationship Id="rId54" Type="http://schemas.openxmlformats.org/officeDocument/2006/relationships/hyperlink" Target="http://www.nevo.co.il/case/5756128" TargetMode="External"/><Relationship Id="rId55" Type="http://schemas.openxmlformats.org/officeDocument/2006/relationships/hyperlink" Target="http://www.nevo.co.il/case/6953822" TargetMode="External"/><Relationship Id="rId56" Type="http://schemas.openxmlformats.org/officeDocument/2006/relationships/hyperlink" Target="http://www.nevo.co.il/case/24287805" TargetMode="External"/><Relationship Id="rId57" Type="http://schemas.openxmlformats.org/officeDocument/2006/relationships/hyperlink" Target="http://supreme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2020-07-20T06:42:00Z</dcterms:created>
  <dc:creator>h4</dc:creator>
  <dc:description/>
  <cp:keywords/>
  <dc:language>en-IL</dc:language>
  <cp:lastModifiedBy>orly</cp:lastModifiedBy>
  <cp:lastPrinted>2020-07-19T09:22:00Z</cp:lastPrinted>
  <dcterms:modified xsi:type="dcterms:W3CDTF">2020-07-20T06:42:00Z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ראיד רושרוש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22151814:2;26418331;21473673;23825973;21915161;22006497;5756128;6953822;24287805</vt:lpwstr>
  </property>
  <property fmtid="{D5CDD505-2E9C-101B-9397-08002B2CF9AE}" pid="9" name="CITY">
    <vt:lpwstr/>
  </property>
  <property fmtid="{D5CDD505-2E9C-101B-9397-08002B2CF9AE}" pid="10" name="DATE">
    <vt:lpwstr>20200719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קרא;א' שטיין</vt:lpwstr>
  </property>
  <property fmtid="{D5CDD505-2E9C-101B-9397-08002B2CF9AE}" pid="14" name="LAWLISTTMP1">
    <vt:lpwstr>70301/300.a.2;298:6;005.a;301c:5;020.a.2.b:2;300.a:2;020.a.2;300;020.a.2.a</vt:lpwstr>
  </property>
  <property fmtid="{D5CDD505-2E9C-101B-9397-08002B2CF9AE}" pid="15" name="LAWYER">
    <vt:lpwstr>אופיר טישלר;יאנה יורין;שמואל ברזני;תמי אולמן;יעקב שלומוביץ'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מחשבה פלילית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1443;1443;1436;1446;1446</vt:lpwstr>
  </property>
  <property fmtid="{D5CDD505-2E9C-101B-9397-08002B2CF9AE}" pid="48" name="NOSE31">
    <vt:lpwstr>הריגה</vt:lpwstr>
  </property>
  <property fmtid="{D5CDD505-2E9C-101B-9397-08002B2CF9AE}" pid="49" name="NOSE310">
    <vt:lpwstr/>
  </property>
  <property fmtid="{D5CDD505-2E9C-101B-9397-08002B2CF9AE}" pid="50" name="NOSE32">
    <vt:lpwstr>המתה בקלות דעת</vt:lpwstr>
  </property>
  <property fmtid="{D5CDD505-2E9C-101B-9397-08002B2CF9AE}" pid="51" name="NOSE33">
    <vt:lpwstr>קלות דעת</vt:lpwstr>
  </property>
  <property fmtid="{D5CDD505-2E9C-101B-9397-08002B2CF9AE}" pid="52" name="NOSE34">
    <vt:lpwstr>מדיניות ענישה: הריגה</vt:lpwstr>
  </property>
  <property fmtid="{D5CDD505-2E9C-101B-9397-08002B2CF9AE}" pid="53" name="NOSE35">
    <vt:lpwstr>מדיניות ענישה: עבירות מין ואלימות כלפי בנות זוג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8816;18467;12613;14739;18688</vt:lpwstr>
  </property>
  <property fmtid="{D5CDD505-2E9C-101B-9397-08002B2CF9AE}" pid="59" name="PADIDATE">
    <vt:lpwstr>20200720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55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410120200719</vt:lpwstr>
  </property>
  <property fmtid="{D5CDD505-2E9C-101B-9397-08002B2CF9AE}" pid="69" name="TYPE_N_DATE">
    <vt:lpwstr>41020200719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