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5510/19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דן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שפריר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30.07.2019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מ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30977-05-15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לינדנשטראוס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  <w:tab/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באב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(</w:t>
      </w:r>
      <w:r>
        <w:rPr/>
        <w:t>27.8.2019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ציון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סהראי</w:t>
      </w:r>
    </w:p>
    <w:p>
      <w:pPr>
        <w:pStyle w:val="Ruller31"/>
        <w:ind w:end="0"/>
        <w:jc w:val="start"/>
        <w:rPr/>
      </w:pPr>
      <w:bookmarkStart w:id="3" w:name="FirstLawyer"/>
      <w:r>
        <w:rPr>
          <w:rtl w:val="true"/>
        </w:rPr>
        <w:t>בשם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המשיב</w:t>
      </w:r>
      <w:bookmarkEnd w:id="3"/>
      <w:r>
        <w:rPr>
          <w:rtl w:val="true"/>
        </w:rPr>
        <w:t>ה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שרית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משגב</w:t>
      </w:r>
      <w:bookmarkStart w:id="4" w:name="LawTable"/>
      <w:bookmarkEnd w:id="4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5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יסוד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כבוד האדם וחירותו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6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משולב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תשמ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1982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63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9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10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תקנות הסמים המסוכנים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סדרי דין לענין חילוט רכוש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1990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13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זיכוי העורר מעבירות לפי חוק איסור הלבנת הון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כי הרשעתו בגין ביצוע עבירות לפי חוק העונשין נותרה על כנה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מחייב ביטול סעד זמני שהוצא לגבי רכושו מכוח חוק איסור הלבנת הון במסגרתו ניתן צו מניעה בנוגע למקרקעין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וקבע כי אין לעכב את הביטול עד לשמיעת הערעור שבכוונת המשיבה להגיש על הזיכוי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משפט – סמכות – סעדים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בתי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משפט – סעדים זמניים – תנאי לנתינתם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העורר הורשע בבימ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המחוזי בעבירות של זיוף לפי בקשר למקרקעין שונים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ובעבירות לפי חוק איסור הלבנת הון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הוציא צו זמני לגבי רכושו של המבקש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לרבות צו מניעה בנוגע למקרקעין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העורר זוכה לאחרונה מעבירות לפי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ולפיכך הגיש בקשה לבימ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לביטול הסעד הזמני וצו המניעה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דחה את הבקשה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תוך שאיבחן בין מקרה זה לבין עניין גאווי בו נפסק כי לאחר זיכוי הנאשם מעבירות הלבנת הון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הן בית המשפט המברר והן ערכאת הערעור אינם מוסמכים להותיר צו זמני על כנו עד להכרעה בערעור בהיעדר הוראת חוק המסמיכה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שם זוכה הנאשם מכל אשמה ואילו בענייננו העורר הורשע בעבירות אחרות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לא בעבירות לפי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נקבע כי ניתן להמתין לערעור על הכרעת הדין שהמדינה הודיעה שבכוונתה להגיש על הזיכוי מעבירה לפי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מכאן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הדיון נסב אודות השאלה האם זיכוי העורר מעבירות לפי החוק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מחייב ביטול סעד זמני שהוצא לגבי רכושו מכוח חוק זה במסגרתו ניתן צו מניעה בנוגע למקרקעין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 שמא ניתן לעכב את הביטול עד לשמיעת הערעור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נ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את הערר ופסק כי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קבע כי אין מקום לשנות מההחלטה בעניין גאווי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שם נדונו שש נקודות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אופי הסעד הזמני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מבנה החוק הרלוונטי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משמעות זיכוי נאשם בהליך פלילי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מלאכת איזון חקיקתית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להבדיל משיפוטית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קיומו או אי קיומו של עיגון בחוק לביסוס עיכוב ביטול הסעד הזמני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והשפעת חוק יסוד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כבוד האדם וחירותו על הסוגיה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בהקשר זה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די לומר כי הצו הוא 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הסמכות היא נקודתית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הזיכוי של אדם הוא הכרעה מהותית שמשפיעה על זכויותיו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האיזון בחוק דורש כי אם המחוקק רוצה להעניק סמכות לפגיעה ברכושו או חירותו של אדם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 אף הזיכוי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עליו לומר זאת מפורשות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כך נהג למשל במעצר אדם שזוכה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לשלול באופן אוטומטי את האפשרות של המשך פגיעה מסוימת בזכויות הנאשם עד להכרעת עניינו בערעור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מצב זה מחייב הוראה ברורה של המחוקק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הזיכוי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אף אם זיכוי חלקי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אינו עוד החלטה במשפט הפלילי אלא עומד בליבו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ניסה להבחין בין מקרה בו הנאשם זוכה באופן מלא לבין מקרה זה בו הורשע בעבירות לפי חוק העונשין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אך חוק העונשין אינו מסמיך את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להוציא צו זמני מהסוג שהוצא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באשר לסעיפי החוק המסמיכים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העורר זוכה מעבירות אלו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בהתאם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מקום להבחין בין שני המצבים בכל הקשור להארכת הצו הזמני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המדינה לא הצביעה על מקור סמכות אחר ואף לא הצביעה על החלטה של בימ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העליון המסתייגת מההחלטה בעניין גאווי במצב בו זוכה הנאשם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לאור כל האמור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הסעד הזמני בוטל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31"/>
        <w:ind w:end="0"/>
        <w:jc w:val="start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/>
          <w:spacing w:val="0"/>
          <w:sz w:val="24"/>
          <w:szCs w:val="26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bookmarkStart w:id="12" w:name="Writer_Name"/>
      <w:bookmarkEnd w:id="12"/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האם זיכויו של העורר מעבירות לפי </w:t>
      </w:r>
      <w:hyperlink r:id="rId1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ס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2000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מחייב ביטול סעד זמני שהוצא לגבי רכושו מכוח חוק זה בהליך קמא ושבמסגרתו ניתן צו מניעה בנוגע למקרקעין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או שמא ניתן לעכב את הביטול עד לשמיעת הערעור</w:t>
      </w:r>
      <w:r>
        <w:rPr>
          <w:rFonts w:cs="Century" w:ascii="Century" w:hAnsi="Century"/>
          <w:rtl w:val="true"/>
        </w:rPr>
        <w:t xml:space="preserve">? </w:t>
      </w:r>
      <w:r>
        <w:rPr>
          <w:rFonts w:ascii="Century" w:hAnsi="Century" w:cs="Century"/>
          <w:rtl w:val="true"/>
        </w:rPr>
        <w:t>זוהי הסוגיה העומדת להכרעה בערר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בית המשפט המחוזי בנצרת </w:t>
      </w:r>
      <w:r>
        <w:rPr>
          <w:rFonts w:cs="Century" w:ascii="Century" w:hAnsi="Century"/>
          <w:rtl w:val="true"/>
        </w:rPr>
        <w:t>(</w:t>
      </w:r>
      <w:hyperlink r:id="rId1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מ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30977-05-15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לינדנשטראוס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דחה את בקשת הביטול תוך ציון כי הואיל והעורר הורשע בעבירות פליליות של שימוש במסמך מזויף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קבלת דבר במרמה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שיבוש מהלכי משפט ומסירת הצהרה לא נכונה לרשויות המס ביודעין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אין מקום להורות על ביטול הסעד הזמני וניתן להמתין לערעור על הכרעת הדין שהמדינה הודיעה שבכוונתה להגיש על הזיכוי מעבירה לפי </w:t>
      </w:r>
      <w:hyperlink r:id="rId1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נגד העורר ואחרים הוגש כתב אישום לפיו הנאשמים קשרו ביניהם קשר להשתלט על חלקות קרקע שונות דרך זיוף מסמכים והעברת הבעלות על שמם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פגיעה בזכויות בעליהן החוקיים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וכך במקרים רבים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הוציא כאמור צו זמני לגבי רכושו של המבקש לרבות צו מניעה בנוגע למקרקעין שונים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בסוף חודש אוגוסט האחרון זוכה העורר מעבירות לפי </w:t>
      </w:r>
      <w:hyperlink r:id="rId1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1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אך הורשע בעבירות שונות כמתואר לעיל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התיק נקבע לטיעונים לעונש במהלך חודש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בד בבד הגיש העורר בקשה לבית משפט קמא לביטול הסעד הזמני וצו המניעה וזאת לנוכח זיכויו מהעבירות לפי </w:t>
      </w:r>
      <w:hyperlink r:id="rId1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ascii="Century" w:hAnsi="Century" w:cs="Century"/>
          <w:rtl w:val="true"/>
        </w:rPr>
        <w:t xml:space="preserve"> שמכוחו ניתנו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התייחס להחלטתי ב</w:t>
      </w:r>
      <w:hyperlink r:id="rId1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בש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10290/09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גאווי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להלן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גאווי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שניתן בתאריך </w:t>
      </w:r>
      <w:r>
        <w:rPr>
          <w:rFonts w:cs="Century" w:ascii="Century" w:hAnsi="Century"/>
        </w:rPr>
        <w:t>7.1.2010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בעניין זה נפסק כי לאחר זיכוי הנאשם מעבירות הלבנת הון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בית המשפט המברר והן ערכאת הערעור אינם מוסמכים להותיר צו זמני על כנו עד להכרעה בערעור בהיעדר הוראת חוק המסמיכה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במקרה שבפנינו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משפט המחוזי הבחין בין המקרים באומרו שבעניין גאווי זוכה הנאשם מכל אשמה ואילו בענייננו העורר הורשע בעבירות אחרות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אם כי לא בעבירות לפי </w:t>
      </w:r>
      <w:hyperlink r:id="rId19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איסור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הלבנת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הון</w:t>
        </w:r>
      </w:hyperlink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לאחר עיון בכל החומר ושמיעת טענות הצדדים לא מצאתי לשנות מההחלטה בעניין גאווי שניתנה לפני יותר מתשע שנים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בהכרעה בעניין גאווי התייחסתי לשש נקודות</w:t>
      </w:r>
      <w:r>
        <w:rPr>
          <w:rFonts w:cs="Century" w:ascii="Century" w:hAnsi="Century"/>
          <w:rtl w:val="true"/>
        </w:rPr>
        <w:t xml:space="preserve">: </w:t>
      </w:r>
      <w:r>
        <w:rPr>
          <w:rFonts w:ascii="Century" w:hAnsi="Century" w:cs="Century"/>
          <w:rtl w:val="true"/>
        </w:rPr>
        <w:t>אופיו של הסעד הזמני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מבנה החוק הרלוונטי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משמעות זיכויו של נאשם בהליך פלילי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מלאכת איזון חקיקתית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להבדיל משיפוטית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קיומו או אי קיומו של עיגון בחוק לביסוס עיכוב ביטול הסעד הזמני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 xml:space="preserve">והשפעת </w:t>
      </w:r>
      <w:hyperlink r:id="rId20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יסוד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כבוד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האדם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וחירותו</w:t>
        </w:r>
      </w:hyperlink>
      <w:r>
        <w:rPr>
          <w:rFonts w:ascii="Century" w:hAnsi="Century" w:cs="Century"/>
          <w:rtl w:val="true"/>
        </w:rPr>
        <w:t xml:space="preserve"> על הסוגיה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הדברים נכתבו בהרחבה שם והמעוניין יעיין 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די לומר כי הצו הוא זמני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הסמכות היא נקודתית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הזיכוי של אדם הוא הכרעה מהותית שמשפיעה על זכויותיו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האיזון בחוק דורש כי אם המחוקק רוצה להעניק סמכות לפגיעה ברכושו או חירותו של אדם על אף הזיכוי עליו לומר זאת מפורשות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כך נהג למשל במעצר אדם שזוכה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 xml:space="preserve">ראו </w:t>
      </w:r>
      <w:hyperlink r:id="rId21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63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2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סמכויות אכיפה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מעצרים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התשנ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1996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רוצה לומר כי אינני שולל באופן אוטומטי את האפשרות של המשך פגיעה מסוימת בזכויות הנאשם עד להכרעת עניינו בערעור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אך מצב זה מחייב הוראה ברורה של המחוקק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הזיכוי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אף אם זיכוי חלקי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אינו עוד החלטה במשפט הפלילי אלא עומד בליבו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בית המשפט ניסה להבחין בין מקרה בו הנאשם זוכה באופן מלא לבין מקרה זה בו הורשע בעבירות לפי </w:t>
      </w:r>
      <w:hyperlink r:id="rId2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התשל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1977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אך אין </w:t>
      </w:r>
      <w:hyperlink r:id="rId2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העונשין</w:t>
        </w:r>
      </w:hyperlink>
      <w:r>
        <w:rPr>
          <w:rFonts w:ascii="Century" w:hAnsi="Century" w:cs="Century"/>
          <w:rtl w:val="true"/>
        </w:rPr>
        <w:t xml:space="preserve"> מסמיך את בית המשפט להוציא צו זמני מהסוג שהוצא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באשר לסעיפי החוק המסמיכים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העורר זוכה מעבירות אלו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בהתאם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מצאתי מקום להבחין בין שני המצבים בכל הקשור להארכת הצו הזמני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גם ניסיונותיה של באת כוח המדינה להצביע על מקור סמכות אחר לא צלחו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בקצירת האומר נאמר כי </w:t>
      </w:r>
      <w:hyperlink r:id="rId2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213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cs="Century" w:ascii="Century" w:hAnsi="Century"/>
            <w:color w:val="0000FF"/>
            <w:u w:val="single"/>
          </w:rPr>
          <w:t>3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חוק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הפלילי</w:t>
        </w:r>
      </w:hyperlink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נוסח משולב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>התשמ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1982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אינו רלוונטי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שם כתוב כי בסמכותו של בית המשפט של ערעור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בקשר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לפסק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הדין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החלטה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אחרת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שהערכאה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הקודמת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היתה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מוסמכת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לתתה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סעיף זה אינו יכול לסייע כי לא ברור שבית משפט השלום הוסמך לעכב את ביטול הסעד הזמני ולכן אין הוא מהווה מקור לסמכותו של בית המשפט המחוזי לעשות זאת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אפשרות נוספת למקור סמכות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 xml:space="preserve">פי באת כוח המדינה היא </w:t>
      </w:r>
      <w:hyperlink r:id="rId27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13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28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תקנות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המסוכנים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סדרי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לעניין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חילוט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רכוש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ן</w:t>
      </w:r>
      <w:r>
        <w:rPr>
          <w:rFonts w:cs="Century" w:ascii="Century" w:hAnsi="Century"/>
          <w:rtl w:val="true"/>
        </w:rPr>
        <w:t>-</w:t>
      </w:r>
      <w:r>
        <w:rPr>
          <w:rFonts w:cs="Century" w:ascii="Century" w:hAnsi="Century"/>
        </w:rPr>
        <w:t>1990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ואולם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הכותרת של סעיף זה היא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ערעור בהליך אזרחי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ברם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בענייננו לא מדובר בחילוט אזרחי או בצד ג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הטוען לזכות ברכוש אלא בנאשם בעצמו אשר זוכה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יצוין כי באת כוח המדינה לא הצביעה על החלטה של בית משפט זה המסתייגת מההחלטה בעניין גאווי במצב בו זוכה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אף חלוף כעשור ממתן מועד ההחלטה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הערר מתקבל והנני מורה על ביטול הסעד הזמני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bookmarkStart w:id="13" w:name="Nitan"/>
      <w:bookmarkStart w:id="14" w:name="Start_Write"/>
      <w:bookmarkEnd w:id="14"/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ניתנה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י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באלול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10.9.2019</w:t>
      </w:r>
      <w:r>
        <w:rPr>
          <w:rFonts w:cs="Century" w:ascii="Century" w:hAnsi="Century"/>
          <w:rtl w:val="true"/>
        </w:rPr>
        <w:t xml:space="preserve">). </w:t>
      </w:r>
      <w:bookmarkEnd w:id="13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19055100</w:t>
      </w:r>
      <w:r>
        <w:rPr>
          <w:sz w:val="16"/>
          <w:rtl w:val="true"/>
        </w:rPr>
        <w:t>_</w:t>
      </w:r>
      <w:r>
        <w:rPr>
          <w:sz w:val="16"/>
        </w:rPr>
        <w:t>Z01.docx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  <w:szCs w:val="22"/>
        </w:rPr>
        <w:t>54678313-5510/19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1"/>
      <w:footerReference w:type="default" r:id="rId3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5510/19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דן שפריר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BODYPROTOCOL">
    <w:name w:val="BODY PROTOCOL"/>
    <w:basedOn w:val="Normal"/>
    <w:qFormat/>
    <w:pPr>
      <w:overflowPunct w:val="true"/>
      <w:spacing w:lineRule="auto" w:line="360"/>
      <w:jc w:val="both"/>
      <w:textAlignment w:val="auto"/>
    </w:pPr>
    <w:rPr>
      <w:rFonts w:cs="FrankRuehl;Times New Roman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289699" TargetMode="External"/><Relationship Id="rId3" Type="http://schemas.openxmlformats.org/officeDocument/2006/relationships/hyperlink" Target="http://www.nevo.co.il/law/74345" TargetMode="External"/><Relationship Id="rId4" Type="http://schemas.openxmlformats.org/officeDocument/2006/relationships/hyperlink" Target="http://www.nevo.co.il/law/74345/3.a" TargetMode="External"/><Relationship Id="rId5" Type="http://schemas.openxmlformats.org/officeDocument/2006/relationships/hyperlink" Target="http://www.nevo.co.il/law/70320" TargetMode="External"/><Relationship Id="rId6" Type="http://schemas.openxmlformats.org/officeDocument/2006/relationships/hyperlink" Target="http://www.nevo.co.il/law/74903" TargetMode="External"/><Relationship Id="rId7" Type="http://schemas.openxmlformats.org/officeDocument/2006/relationships/hyperlink" Target="http://www.nevo.co.il/law/74903/63" TargetMode="External"/><Relationship Id="rId8" Type="http://schemas.openxmlformats.org/officeDocument/2006/relationships/hyperlink" Target="http://www.nevo.co.il/law/74903/213.3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9" TargetMode="External"/><Relationship Id="rId11" Type="http://schemas.openxmlformats.org/officeDocument/2006/relationships/hyperlink" Target="http://www.nevo.co.il/law/4219/13" TargetMode="External"/><Relationship Id="rId12" Type="http://schemas.openxmlformats.org/officeDocument/2006/relationships/hyperlink" Target="http://www.nevo.co.il/law/74345" TargetMode="External"/><Relationship Id="rId13" Type="http://schemas.openxmlformats.org/officeDocument/2006/relationships/hyperlink" Target="http://www.nevo.co.il/case/20289699" TargetMode="External"/><Relationship Id="rId14" Type="http://schemas.openxmlformats.org/officeDocument/2006/relationships/hyperlink" Target="http://www.nevo.co.il/law/74345" TargetMode="External"/><Relationship Id="rId15" Type="http://schemas.openxmlformats.org/officeDocument/2006/relationships/hyperlink" Target="http://www.nevo.co.il/law/74345/3.a" TargetMode="External"/><Relationship Id="rId16" Type="http://schemas.openxmlformats.org/officeDocument/2006/relationships/hyperlink" Target="http://www.nevo.co.il/law/74345" TargetMode="External"/><Relationship Id="rId17" Type="http://schemas.openxmlformats.org/officeDocument/2006/relationships/hyperlink" Target="http://www.nevo.co.il/law/74345" TargetMode="External"/><Relationship Id="rId18" Type="http://schemas.openxmlformats.org/officeDocument/2006/relationships/hyperlink" Target="http://www.nevo.co.il/case/5722150" TargetMode="External"/><Relationship Id="rId19" Type="http://schemas.openxmlformats.org/officeDocument/2006/relationships/hyperlink" Target="http://www.nevo.co.il/law/74345" TargetMode="External"/><Relationship Id="rId20" Type="http://schemas.openxmlformats.org/officeDocument/2006/relationships/hyperlink" Target="http://www.nevo.co.il/law/70320" TargetMode="External"/><Relationship Id="rId21" Type="http://schemas.openxmlformats.org/officeDocument/2006/relationships/hyperlink" Target="http://www.nevo.co.il/law/74903/63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4903/213.3" TargetMode="External"/><Relationship Id="rId26" Type="http://schemas.openxmlformats.org/officeDocument/2006/relationships/hyperlink" Target="http://www.nevo.co.il/law/74903" TargetMode="External"/><Relationship Id="rId27" Type="http://schemas.openxmlformats.org/officeDocument/2006/relationships/hyperlink" Target="http://www.nevo.co.il/law/4219/13" TargetMode="External"/><Relationship Id="rId28" Type="http://schemas.openxmlformats.org/officeDocument/2006/relationships/hyperlink" Target="http://www.nevo.co.il/law/4219" TargetMode="External"/><Relationship Id="rId29" Type="http://schemas.openxmlformats.org/officeDocument/2006/relationships/hyperlink" Target="http://supreme.court.gov.il/" TargetMode="External"/><Relationship Id="rId30" Type="http://schemas.openxmlformats.org/officeDocument/2006/relationships/hyperlink" Target="http://www.nevo.co.il/advertisements/nevo-100.doc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2019-09-11T11:13:00Z</dcterms:created>
  <dc:creator>h4</dc:creator>
  <dc:description/>
  <cp:keywords/>
  <dc:language>en-IL</dc:language>
  <cp:lastModifiedBy>orly</cp:lastModifiedBy>
  <cp:lastPrinted>2019-09-10T17:34:00Z</cp:lastPrinted>
  <dcterms:modified xsi:type="dcterms:W3CDTF">2019-09-11T11:13:00Z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דן שפריר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20289699:2;5722150</vt:lpwstr>
  </property>
  <property fmtid="{D5CDD505-2E9C-101B-9397-08002B2CF9AE}" pid="9" name="CITY">
    <vt:lpwstr/>
  </property>
  <property fmtid="{D5CDD505-2E9C-101B-9397-08002B2CF9AE}" pid="10" name="DATE">
    <vt:lpwstr>20190910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</vt:lpwstr>
  </property>
  <property fmtid="{D5CDD505-2E9C-101B-9397-08002B2CF9AE}" pid="14" name="LAWLISTTMP1">
    <vt:lpwstr>74345/003.a</vt:lpwstr>
  </property>
  <property fmtid="{D5CDD505-2E9C-101B-9397-08002B2CF9AE}" pid="15" name="LAWLISTTMP2">
    <vt:lpwstr>70320</vt:lpwstr>
  </property>
  <property fmtid="{D5CDD505-2E9C-101B-9397-08002B2CF9AE}" pid="16" name="LAWLISTTMP3">
    <vt:lpwstr>74903/063;213.3</vt:lpwstr>
  </property>
  <property fmtid="{D5CDD505-2E9C-101B-9397-08002B2CF9AE}" pid="17" name="LAWLISTTMP4">
    <vt:lpwstr>70301:2</vt:lpwstr>
  </property>
  <property fmtid="{D5CDD505-2E9C-101B-9397-08002B2CF9AE}" pid="18" name="LAWLISTTMP5">
    <vt:lpwstr>4219/013</vt:lpwstr>
  </property>
  <property fmtid="{D5CDD505-2E9C-101B-9397-08002B2CF9AE}" pid="19" name="LAWYER">
    <vt:lpwstr>שרית משגב;ציון סהראי</vt:lpwstr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METAKZER">
    <vt:lpwstr>פאני</vt:lpwstr>
  </property>
  <property fmtid="{D5CDD505-2E9C-101B-9397-08002B2CF9AE}" pid="26" name="NEWPARTA">
    <vt:lpwstr/>
  </property>
  <property fmtid="{D5CDD505-2E9C-101B-9397-08002B2CF9AE}" pid="27" name="NEWPARTB">
    <vt:lpwstr/>
  </property>
  <property fmtid="{D5CDD505-2E9C-101B-9397-08002B2CF9AE}" pid="28" name="NEWPARTC">
    <vt:lpwstr/>
  </property>
  <property fmtid="{D5CDD505-2E9C-101B-9397-08002B2CF9AE}" pid="29" name="NEWPROC">
    <vt:lpwstr/>
  </property>
  <property fmtid="{D5CDD505-2E9C-101B-9397-08002B2CF9AE}" pid="30" name="NOSE11">
    <vt:lpwstr>בתי-משפט</vt:lpwstr>
  </property>
  <property fmtid="{D5CDD505-2E9C-101B-9397-08002B2CF9AE}" pid="31" name="NOSE110">
    <vt:lpwstr/>
  </property>
  <property fmtid="{D5CDD505-2E9C-101B-9397-08002B2CF9AE}" pid="32" name="NOSE12">
    <vt:lpwstr>בתי-משפט</vt:lpwstr>
  </property>
  <property fmtid="{D5CDD505-2E9C-101B-9397-08002B2CF9AE}" pid="33" name="NOSE13">
    <vt:lpwstr/>
  </property>
  <property fmtid="{D5CDD505-2E9C-101B-9397-08002B2CF9AE}" pid="34" name="NOSE14">
    <vt:lpwstr/>
  </property>
  <property fmtid="{D5CDD505-2E9C-101B-9397-08002B2CF9AE}" pid="35" name="NOSE15">
    <vt:lpwstr/>
  </property>
  <property fmtid="{D5CDD505-2E9C-101B-9397-08002B2CF9AE}" pid="36" name="NOSE16">
    <vt:lpwstr/>
  </property>
  <property fmtid="{D5CDD505-2E9C-101B-9397-08002B2CF9AE}" pid="37" name="NOSE17">
    <vt:lpwstr/>
  </property>
  <property fmtid="{D5CDD505-2E9C-101B-9397-08002B2CF9AE}" pid="38" name="NOSE18">
    <vt:lpwstr/>
  </property>
  <property fmtid="{D5CDD505-2E9C-101B-9397-08002B2CF9AE}" pid="39" name="NOSE19">
    <vt:lpwstr/>
  </property>
  <property fmtid="{D5CDD505-2E9C-101B-9397-08002B2CF9AE}" pid="40" name="NOSE1ID">
    <vt:lpwstr>14;14</vt:lpwstr>
  </property>
  <property fmtid="{D5CDD505-2E9C-101B-9397-08002B2CF9AE}" pid="41" name="NOSE21">
    <vt:lpwstr>סמכות</vt:lpwstr>
  </property>
  <property fmtid="{D5CDD505-2E9C-101B-9397-08002B2CF9AE}" pid="42" name="NOSE210">
    <vt:lpwstr/>
  </property>
  <property fmtid="{D5CDD505-2E9C-101B-9397-08002B2CF9AE}" pid="43" name="NOSE22">
    <vt:lpwstr>סעדים זמניים</vt:lpwstr>
  </property>
  <property fmtid="{D5CDD505-2E9C-101B-9397-08002B2CF9AE}" pid="44" name="NOSE23">
    <vt:lpwstr/>
  </property>
  <property fmtid="{D5CDD505-2E9C-101B-9397-08002B2CF9AE}" pid="45" name="NOSE24">
    <vt:lpwstr/>
  </property>
  <property fmtid="{D5CDD505-2E9C-101B-9397-08002B2CF9AE}" pid="46" name="NOSE25">
    <vt:lpwstr/>
  </property>
  <property fmtid="{D5CDD505-2E9C-101B-9397-08002B2CF9AE}" pid="47" name="NOSE26">
    <vt:lpwstr/>
  </property>
  <property fmtid="{D5CDD505-2E9C-101B-9397-08002B2CF9AE}" pid="48" name="NOSE27">
    <vt:lpwstr/>
  </property>
  <property fmtid="{D5CDD505-2E9C-101B-9397-08002B2CF9AE}" pid="49" name="NOSE28">
    <vt:lpwstr/>
  </property>
  <property fmtid="{D5CDD505-2E9C-101B-9397-08002B2CF9AE}" pid="50" name="NOSE29">
    <vt:lpwstr/>
  </property>
  <property fmtid="{D5CDD505-2E9C-101B-9397-08002B2CF9AE}" pid="51" name="NOSE2ID">
    <vt:lpwstr>328;330</vt:lpwstr>
  </property>
  <property fmtid="{D5CDD505-2E9C-101B-9397-08002B2CF9AE}" pid="52" name="NOSE31">
    <vt:lpwstr>סעדים</vt:lpwstr>
  </property>
  <property fmtid="{D5CDD505-2E9C-101B-9397-08002B2CF9AE}" pid="53" name="NOSE310">
    <vt:lpwstr/>
  </property>
  <property fmtid="{D5CDD505-2E9C-101B-9397-08002B2CF9AE}" pid="54" name="NOSE32">
    <vt:lpwstr>תנאי לנתינתם</vt:lpwstr>
  </property>
  <property fmtid="{D5CDD505-2E9C-101B-9397-08002B2CF9AE}" pid="55" name="NOSE33">
    <vt:lpwstr/>
  </property>
  <property fmtid="{D5CDD505-2E9C-101B-9397-08002B2CF9AE}" pid="56" name="NOSE34">
    <vt:lpwstr/>
  </property>
  <property fmtid="{D5CDD505-2E9C-101B-9397-08002B2CF9AE}" pid="57" name="NOSE35">
    <vt:lpwstr/>
  </property>
  <property fmtid="{D5CDD505-2E9C-101B-9397-08002B2CF9AE}" pid="58" name="NOSE36">
    <vt:lpwstr/>
  </property>
  <property fmtid="{D5CDD505-2E9C-101B-9397-08002B2CF9AE}" pid="59" name="NOSE37">
    <vt:lpwstr/>
  </property>
  <property fmtid="{D5CDD505-2E9C-101B-9397-08002B2CF9AE}" pid="60" name="NOSE38">
    <vt:lpwstr/>
  </property>
  <property fmtid="{D5CDD505-2E9C-101B-9397-08002B2CF9AE}" pid="61" name="NOSE39">
    <vt:lpwstr/>
  </property>
  <property fmtid="{D5CDD505-2E9C-101B-9397-08002B2CF9AE}" pid="62" name="NOSE3ID">
    <vt:lpwstr>2633;2683</vt:lpwstr>
  </property>
  <property fmtid="{D5CDD505-2E9C-101B-9397-08002B2CF9AE}" pid="63" name="PADIDATE">
    <vt:lpwstr>20190911</vt:lpwstr>
  </property>
  <property fmtid="{D5CDD505-2E9C-101B-9397-08002B2CF9AE}" pid="64" name="PADIMAIL">
    <vt:lpwstr>YES</vt:lpwstr>
  </property>
  <property fmtid="{D5CDD505-2E9C-101B-9397-08002B2CF9AE}" pid="65" name="PAGE">
    <vt:lpwstr/>
  </property>
  <property fmtid="{D5CDD505-2E9C-101B-9397-08002B2CF9AE}" pid="66" name="PART">
    <vt:lpwstr/>
  </property>
  <property fmtid="{D5CDD505-2E9C-101B-9397-08002B2CF9AE}" pid="67" name="PROCESS">
    <vt:lpwstr>עפ</vt:lpwstr>
  </property>
  <property fmtid="{D5CDD505-2E9C-101B-9397-08002B2CF9AE}" pid="68" name="PROCNUM">
    <vt:lpwstr>5510</vt:lpwstr>
  </property>
  <property fmtid="{D5CDD505-2E9C-101B-9397-08002B2CF9AE}" pid="69" name="PROCYEAR">
    <vt:lpwstr>19</vt:lpwstr>
  </property>
  <property fmtid="{D5CDD505-2E9C-101B-9397-08002B2CF9AE}" pid="70" name="PSAKDIN">
    <vt:lpwstr>החלטה</vt:lpwstr>
  </property>
  <property fmtid="{D5CDD505-2E9C-101B-9397-08002B2CF9AE}" pid="71" name="TYPE">
    <vt:lpwstr>1</vt:lpwstr>
  </property>
  <property fmtid="{D5CDD505-2E9C-101B-9397-08002B2CF9AE}" pid="72" name="TYPE_ABS_DATE">
    <vt:lpwstr>410120190910</vt:lpwstr>
  </property>
  <property fmtid="{D5CDD505-2E9C-101B-9397-08002B2CF9AE}" pid="73" name="TYPE_N_DATE">
    <vt:lpwstr>41020190910</vt:lpwstr>
  </property>
  <property fmtid="{D5CDD505-2E9C-101B-9397-08002B2CF9AE}" pid="74" name="VOLUME">
    <vt:lpwstr/>
  </property>
  <property fmtid="{D5CDD505-2E9C-101B-9397-08002B2CF9AE}" pid="75" name="WORDNUMPAGES">
    <vt:lpwstr>4</vt:lpwstr>
  </property>
</Properties>
</file>