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5518/17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020819-09-15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25.05.2017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13.06.2018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עטרי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שרף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בגיסתו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וחומרתן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ערע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חקירת עדים – אופן ביצועה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בגיסתו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מחלוקת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התמקדה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ההסכמה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מרצונה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להמשיך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ועקב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מוגבלת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13.5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הנתונה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ומביכה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גדולה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בסניגור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לרשותו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לניסיון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המספקת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קלאסי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מאפיינים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בפלס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ההיגיון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והרציונ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התנהגותם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עיניהם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לאפם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הצעירה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דאז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תמימותה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מצוקתה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באחותה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הסלמה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והתחרט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שנטילת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ומיותרת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בחלקה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הגדול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מקוממות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לבטא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בהכרח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שיפוי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לפסוק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האומדנה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וסבל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וחומרתן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LawTable_End"/>
      <w:bookmarkStart w:id="9" w:name="ABSTRACT_END"/>
      <w:bookmarkStart w:id="10" w:name="LawTable_End"/>
      <w:bookmarkStart w:id="11" w:name="ABSTRACT_END"/>
      <w:bookmarkEnd w:id="10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2" w:name="PsakDin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ביחידת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וחתנם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בגיסתו</w:t>
      </w:r>
      <w:r>
        <w:rPr>
          <w:rtl w:val="true"/>
        </w:rPr>
        <w:t xml:space="preserve">,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12.5</w:t>
      </w:r>
      <w:r>
        <w:rPr>
          <w:rtl w:val="true"/>
        </w:rPr>
        <w:t xml:space="preserve"> </w:t>
      </w:r>
      <w:r>
        <w:rPr>
          <w:rtl w:val="true"/>
        </w:rPr>
        <w:t>בכיתה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). </w:t>
      </w:r>
      <w:r>
        <w:rPr>
          <w:rtl w:val="true"/>
        </w:rPr>
        <w:t>לסופו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תסריט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התמיהה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ומשניתנה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התקשיתי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ואסקור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אפיזודות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הגג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המקלחת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ונסקר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הפתקים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תאריך</w:t>
      </w:r>
      <w:r>
        <w:rPr>
          <w:rtl w:val="true"/>
        </w:rPr>
        <w:t xml:space="preserve">, </w:t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מהרישומים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[</w:t>
      </w:r>
      <w:r>
        <w:rPr>
          <w:rtl w:val="true"/>
        </w:rPr>
        <w:t>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</w:t>
      </w:r>
      <w:r>
        <w:rPr>
          <w:rtl w:val="true"/>
        </w:rPr>
        <w:t>]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באחותה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במשפחתה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ידידות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וההורים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נטלי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, </w:t>
      </w:r>
      <w:r>
        <w:rPr>
          <w:rtl w:val="true"/>
        </w:rPr>
        <w:t>ונטלי</w:t>
      </w:r>
      <w:r>
        <w:rPr>
          <w:rtl w:val="true"/>
        </w:rPr>
        <w:t xml:space="preserve">, </w:t>
      </w:r>
      <w:r>
        <w:rPr>
          <w:rtl w:val="true"/>
        </w:rPr>
        <w:t>שהקשיבה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לשיחה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>-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. </w:t>
      </w:r>
      <w:r>
        <w:rPr>
          <w:rtl w:val="true"/>
        </w:rPr>
        <w:t>נטלי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וסיפרה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</w:t>
      </w:r>
      <w:r>
        <w:rPr>
          <w:rtl w:val="true"/>
        </w:rPr>
        <w:t xml:space="preserve">.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tl w:val="true"/>
        </w:rPr>
        <w:t xml:space="preserve">, </w:t>
      </w:r>
      <w:r>
        <w:rPr>
          <w:rtl w:val="true"/>
        </w:rPr>
        <w:t>שנפגשה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ותשובותיו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אישר כי פגע במתלוננת במהלך הטיול בחו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בביתה בחדרה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בעליית הגג ובחדר האמבטיה</w:t>
      </w:r>
      <w:r>
        <w:rPr>
          <w:rFonts w:cs="Century" w:ascii="Century" w:hAnsi="Century"/>
          <w:rtl w:val="true"/>
        </w:rPr>
        <w:t>; [</w:t>
      </w:r>
      <w:r>
        <w:rPr>
          <w:rFonts w:ascii="Century" w:hAnsi="Century" w:cs="Century"/>
          <w:rtl w:val="true"/>
        </w:rPr>
        <w:t>קטע הושמט</w:t>
      </w:r>
      <w:r>
        <w:rPr>
          <w:rFonts w:cs="Century" w:ascii="Century" w:hAnsi="Century"/>
          <w:rtl w:val="true"/>
        </w:rPr>
        <w:t xml:space="preserve">].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בתחילת הדרך המעשים כללו ליטופים ונגיעות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ואז זה התפתח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הדברים נעשו כאשר אשתו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אחותה של המתלוננת ישנה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לא הייתה נוכחת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שהדברים נעשו במקום נסתר מן העין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 בחדר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לדבריו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קטע הושמט</w:t>
      </w:r>
      <w:r>
        <w:rPr>
          <w:rFonts w:cs="Century" w:ascii="Century" w:hAnsi="Century"/>
          <w:rtl w:val="true"/>
        </w:rPr>
        <w:t>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נצטווה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שנשאה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הקלטה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</w:t>
      </w:r>
      <w:r>
        <w:rPr>
          <w:rtl w:val="true"/>
        </w:rPr>
        <w:t xml:space="preserve">, </w:t>
      </w:r>
      <w:r>
        <w:rPr>
          <w:rtl w:val="true"/>
        </w:rPr>
        <w:t>ומתוודה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שהוקלטו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חטאתי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 xml:space="preserve">אין לי מה להכחיש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זה התחיל וזה נגמר ב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מתלוננת</w:t>
      </w:r>
      <w:r>
        <w:rPr>
          <w:rFonts w:cs="Century" w:ascii="Century" w:hAnsi="Century"/>
          <w:rtl w:val="true"/>
        </w:rPr>
        <w:t xml:space="preserve">) [...] </w:t>
      </w:r>
      <w:r>
        <w:rPr>
          <w:rFonts w:ascii="Century" w:hAnsi="Century" w:cs="Century"/>
          <w:rtl w:val="true"/>
        </w:rPr>
        <w:t>שיקרתי לך על עוד משהו חוץ מ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)? </w:t>
      </w:r>
      <w:r>
        <w:rPr>
          <w:rFonts w:ascii="Century" w:hAnsi="Century" w:cs="Century"/>
          <w:rtl w:val="true"/>
        </w:rPr>
        <w:t>פורנוגרפיה הרבה יותר ממה שאת יודעת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פורנוגרפיה קשה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כל בוקר שאני קם אני רק מבקש שיעבור עלייך תקופה קלה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שתרפא מכל הצלקות שהשארתי לה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עשיתי לה הרבה דברים אסורים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אני מצטער שאני לא יכול לספר ואני מצטער שעשיתי את זה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אני אשם בהכל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אין לי מה להגיד אין לי מה לתרץ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חטאתי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אני מצטער היצר שלי גבר עליי היצר שלי גבר עליי </w:t>
      </w:r>
      <w:r>
        <w:rPr>
          <w:rFonts w:cs="Century" w:ascii="Century" w:hAnsi="Century"/>
          <w:rtl w:val="true"/>
        </w:rPr>
        <w:t xml:space="preserve">[...]  </w:t>
      </w:r>
      <w:r>
        <w:rPr>
          <w:rFonts w:ascii="Century" w:hAnsi="Century" w:cs="Century"/>
          <w:rtl w:val="true"/>
        </w:rPr>
        <w:t>היא בחיים לא אמרה לי תפסיק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תקופה שהיא רצתה שאני אפסיק כי היא הרגישה עם זה בעיה מוסרית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אחרי כמה זמן שכנעתי אותה שזה בסדר והמשכנו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אף פעם היא לא אמרה לי תפסיק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אף פעם לא היה בכוח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אני אדם מעוות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זה הכי קשה לך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לא שפגעתי ב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מתלוננת</w:t>
      </w:r>
      <w:r>
        <w:rPr>
          <w:rFonts w:cs="Century" w:ascii="Century" w:hAnsi="Century"/>
          <w:rtl w:val="true"/>
        </w:rPr>
        <w:t xml:space="preserve">)? </w:t>
      </w:r>
      <w:r>
        <w:rPr>
          <w:rFonts w:ascii="Century" w:hAnsi="Century" w:cs="Century"/>
          <w:rtl w:val="true"/>
        </w:rPr>
        <w:t>לא שבגדתי בך</w:t>
      </w:r>
      <w:r>
        <w:rPr>
          <w:rFonts w:cs="Century" w:ascii="Century" w:hAnsi="Century"/>
          <w:rtl w:val="true"/>
        </w:rPr>
        <w:t xml:space="preserve">?"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האגרסיבית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ההסכמה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הרצון</w:t>
      </w:r>
      <w:r>
        <w:rPr>
          <w:rtl w:val="true"/>
        </w:rPr>
        <w:t xml:space="preserve">"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רלבנטית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"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12.5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המקוממים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הסכמה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[</w:t>
      </w:r>
      <w:r>
        <w:rPr>
          <w:rtl w:val="true"/>
        </w:rPr>
        <w:t>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</w:t>
      </w:r>
      <w:r>
        <w:rPr>
          <w:rtl w:val="true"/>
        </w:rPr>
        <w:t xml:space="preserve">]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הסכמה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>-</w:t>
      </w:r>
      <w:r>
        <w:rPr>
          <w:rtl w:val="true"/>
        </w:rPr>
        <w:t>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12.5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כהסכמה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הדינימיקה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להודעתו</w:t>
      </w:r>
      <w:r>
        <w:rPr>
          <w:rtl w:val="true"/>
        </w:rPr>
        <w:t>-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למישהו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שיסכים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מניפולציות</w:t>
      </w:r>
      <w:r>
        <w:rPr>
          <w:rtl w:val="true"/>
        </w:rPr>
        <w:t xml:space="preserve">".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נורא</w:t>
      </w:r>
      <w:r>
        <w:rPr>
          <w:rtl w:val="true"/>
        </w:rPr>
        <w:t>", 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", 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", "</w:t>
      </w:r>
      <w:r>
        <w:rPr>
          <w:rtl w:val="true"/>
        </w:rPr>
        <w:t>כיף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אפיזודות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פחדתי</w:t>
      </w:r>
      <w:r>
        <w:rPr>
          <w:rtl w:val="true"/>
        </w:rPr>
        <w:t>", [</w:t>
      </w:r>
      <w:r>
        <w:rPr>
          <w:rtl w:val="true"/>
        </w:rPr>
        <w:t>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</w:t>
      </w:r>
      <w:r>
        <w:rPr>
          <w:rtl w:val="true"/>
        </w:rPr>
        <w:t>], "</w:t>
      </w:r>
      <w:r>
        <w:rPr>
          <w:rtl w:val="true"/>
        </w:rPr>
        <w:t>הזזתי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>", 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",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עייפה</w:t>
      </w:r>
      <w:r>
        <w:rPr>
          <w:rtl w:val="true"/>
        </w:rPr>
        <w:t>", "</w:t>
      </w:r>
      <w:r>
        <w:rPr>
          <w:rtl w:val="true"/>
        </w:rPr>
        <w:t>שיעזוב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 "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רצוני</w:t>
      </w:r>
      <w:r>
        <w:rPr>
          <w:rtl w:val="true"/>
        </w:rPr>
        <w:t xml:space="preserve">".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שיחדל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, </w:t>
      </w:r>
      <w:r>
        <w:rPr>
          <w:rtl w:val="true"/>
        </w:rPr>
        <w:t>וניצל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ומשונים</w:t>
      </w:r>
      <w:r>
        <w:rPr>
          <w:rtl w:val="true"/>
        </w:rPr>
        <w:t xml:space="preserve">.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שהתבטאו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המגששת</w:t>
      </w:r>
      <w:r>
        <w:rPr>
          <w:rtl w:val="true"/>
        </w:rPr>
        <w:t xml:space="preserve">, </w:t>
      </w:r>
      <w:r>
        <w:rPr>
          <w:rtl w:val="true"/>
        </w:rPr>
        <w:t>ובדרכים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ואירוע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אפקטיבית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ולכוונם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יעילה</w:t>
      </w:r>
      <w:r>
        <w:rPr>
          <w:rtl w:val="true"/>
        </w:rPr>
        <w:t xml:space="preserve">, </w:t>
      </w:r>
      <w:r>
        <w:rPr>
          <w:rtl w:val="true"/>
        </w:rPr>
        <w:t>ומקום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ייפגע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לתכליותיה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[...]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מסע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דייג</w:t>
      </w:r>
      <w:r>
        <w:rPr>
          <w:rtl w:val="true"/>
        </w:rPr>
        <w:t xml:space="preserve">'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הגבלתן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[...] </w:t>
      </w:r>
      <w:r>
        <w:rPr>
          <w:rtl w:val="true"/>
        </w:rPr>
        <w:t>בארצות</w:t>
      </w:r>
      <w:r>
        <w:rPr>
          <w:position w:val="4"/>
          <w:rtl w:val="true"/>
        </w:rPr>
        <w:t>-</w:t>
      </w:r>
      <w:r>
        <w:rPr>
          <w:rtl w:val="true"/>
        </w:rPr>
        <w:t>הברית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position w:val="4"/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נאות</w:t>
      </w:r>
      <w:r>
        <w:rPr>
          <w:rtl w:val="true"/>
        </w:rPr>
        <w:t xml:space="preserve">, </w:t>
      </w:r>
      <w:r>
        <w:rPr>
          <w:rtl w:val="true"/>
        </w:rPr>
        <w:t>הכירו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position w:val="4"/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position w:val="4"/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חובתו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5329/98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'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273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281</w:t>
      </w:r>
      <w:r>
        <w:rPr>
          <w:rFonts w:cs="Century" w:ascii="Century" w:hAnsi="Century"/>
          <w:rtl w:val="true"/>
        </w:rPr>
        <w:t xml:space="preserve"> 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ומביכה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" </w:t>
      </w:r>
      <w:r>
        <w:rPr>
          <w:rtl w:val="true"/>
        </w:rPr>
        <w:t>כדברי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ושאלותיו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ומשטען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ובקיצור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tl w:val="true"/>
        </w:rPr>
        <w:t>-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;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;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ושאפילו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נתבררה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הגג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</w:t>
      </w:r>
      <w:r>
        <w:rPr>
          <w:rtl w:val="true"/>
        </w:rPr>
        <w:t>].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המספקת</w:t>
      </w:r>
      <w:r>
        <w:rPr>
          <w:rtl w:val="true"/>
        </w:rPr>
        <w:t xml:space="preserve">" </w:t>
      </w:r>
      <w:r>
        <w:rPr>
          <w:rtl w:val="true"/>
        </w:rPr>
        <w:t>ומבחן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החד</w:t>
      </w:r>
      <w:r>
        <w:rPr>
          <w:rtl w:val="true"/>
        </w:rPr>
        <w:t>-</w:t>
      </w:r>
      <w:r>
        <w:rPr>
          <w:rtl w:val="true"/>
        </w:rPr>
        <w:t>משמעות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ברהמי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17.4.2018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הגג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 [</w:t>
      </w:r>
      <w:r>
        <w:rPr>
          <w:rtl w:val="true"/>
        </w:rPr>
        <w:t>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</w:t>
      </w:r>
      <w:r>
        <w:rPr>
          <w:rtl w:val="true"/>
        </w:rPr>
        <w:t xml:space="preserve">].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</w:t>
      </w:r>
      <w:r>
        <w:rPr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קלאסי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20.10.2009</w:t>
      </w:r>
      <w:r>
        <w:rPr>
          <w:rtl w:val="true"/>
        </w:rPr>
        <w:t xml:space="preserve">)),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והרציונליות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בניגוד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להיגיון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של המתבונן מן הצד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קורבן העבירה עשוי להמשיך לחיות את חייו במחיצת התוקף ולעיתים אף להפגין כלפיו חיבה ולחפש את קרבתו </w:t>
      </w:r>
      <w:r>
        <w:rPr>
          <w:rFonts w:cs="Century" w:ascii="Century" w:hAnsi="Century"/>
          <w:rtl w:val="true"/>
        </w:rPr>
        <w:t xml:space="preserve">[...]. </w:t>
      </w:r>
      <w:r>
        <w:rPr>
          <w:rFonts w:ascii="Century" w:hAnsi="Century" w:cs="Century"/>
          <w:rtl w:val="true"/>
        </w:rPr>
        <w:t>מעשים תמוהים אפשריים לא רק מצדו של קורבן עבירת מין אלא גם מצדו של מבצע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ניסיון החיים והפסיקה מלמדים כי מעשי אינוס ומעשים מגונים בוצעו במקומות חשופים וגלויים כמו סלון הבית או חדר שכל אחד יכול להיכנס אליו בכל 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שעה שאדם אחר נוכח בחדר במיטה סמוכה וכיו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87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האפיזודות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השלג</w:t>
      </w:r>
      <w:r>
        <w:rPr>
          <w:rtl w:val="true"/>
        </w:rPr>
        <w:t xml:space="preserve">)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ואחיה</w:t>
      </w:r>
      <w:r>
        <w:rPr>
          <w:rtl w:val="true"/>
        </w:rPr>
        <w:t xml:space="preserve">, </w:t>
      </w:r>
      <w:r>
        <w:rPr>
          <w:rtl w:val="true"/>
        </w:rPr>
        <w:t>והוביל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דפקה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?".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בקרוון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שמיכה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"[</w:t>
      </w:r>
      <w:r>
        <w:rPr>
          <w:rFonts w:ascii="Times New Roman" w:hAnsi="Times New Roman" w:cs="Times New Roman"/>
          <w:rtl w:val="true"/>
        </w:rPr>
        <w:t>קטע הושמט</w:t>
      </w:r>
      <w:r>
        <w:rPr>
          <w:rFonts w:cs="Times New Roman" w:ascii="Times New Roman" w:hAnsi="Times New Roman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</w:t>
      </w:r>
      <w:r>
        <w:rPr>
          <w:rtl w:val="true"/>
        </w:rPr>
        <w:t xml:space="preserve">, </w:t>
      </w:r>
      <w:r>
        <w:rPr>
          <w:rtl w:val="true"/>
        </w:rPr>
        <w:t>שהסתכלה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מסתכלת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וחושך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הקטן</w:t>
      </w:r>
      <w:r>
        <w:rPr>
          <w:rtl w:val="true"/>
        </w:rPr>
        <w:t xml:space="preserve">),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</w:t>
      </w:r>
      <w:r>
        <w:rPr>
          <w:rtl w:val="true"/>
        </w:rPr>
        <w:t xml:space="preserve">].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עצרה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[</w:t>
      </w:r>
      <w:r>
        <w:rPr>
          <w:rtl w:val="true"/>
        </w:rPr>
        <w:t>במאמר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</w:t>
      </w:r>
      <w:r>
        <w:rPr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במעלליו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</w:t>
      </w:r>
      <w:r>
        <w:rPr>
          <w:rtl w:val="true"/>
        </w:rPr>
        <w:t>, [</w:t>
      </w:r>
      <w:r>
        <w:rPr>
          <w:rtl w:val="true"/>
        </w:rPr>
        <w:t>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</w:t>
      </w:r>
      <w:r>
        <w:rPr>
          <w:rtl w:val="true"/>
        </w:rPr>
        <w:t xml:space="preserve">],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במטוס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מדגימה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ורכיביו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תמימותה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בעילה במשפחה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 xml:space="preserve">לפי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בנסיבות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9"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ובנסיבות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שתי עבירות של מעשה סדום במשפחה </w:t>
      </w:r>
      <w:r>
        <w:rPr>
          <w:rFonts w:cs="Century" w:ascii="Century" w:hAnsi="Century"/>
          <w:rtl w:val="true"/>
        </w:rPr>
        <w:t xml:space="preserve">-  </w:t>
      </w:r>
      <w:r>
        <w:rPr>
          <w:rFonts w:ascii="Century" w:hAnsi="Century" w:cs="Century"/>
          <w:rtl w:val="true"/>
        </w:rPr>
        <w:t xml:space="preserve">לפי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בנסיבות 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347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4"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וכן בנסיבות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שתי עבירות ניסיון אינוס במשפחה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 xml:space="preserve">לפי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בנסיבות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וכן בנסיבות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בצירוף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ועבירות רבות של מעשים מגונים במשפחה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 xml:space="preserve">לפי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בנסיבות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ובנסיבות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ובנסיבות 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[</w:t>
      </w:r>
      <w:r>
        <w:rPr>
          <w:rtl w:val="true"/>
        </w:rPr>
        <w:t>במאמר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ולפיהם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תמיהה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.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סיסמה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ולחוץ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הסכמה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),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מכבידות</w:t>
      </w:r>
      <w:r>
        <w:rPr>
          <w:rtl w:val="true"/>
        </w:rPr>
        <w:t xml:space="preserve">, </w:t>
      </w:r>
      <w:r>
        <w:rPr>
          <w:rtl w:val="true"/>
        </w:rPr>
        <w:t>שלטעמי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והתנצחות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26.4.2017</w:t>
      </w:r>
      <w:r>
        <w:rPr>
          <w:rtl w:val="true"/>
        </w:rPr>
        <w:t xml:space="preserve">, </w:t>
      </w:r>
      <w:r>
        <w:rPr>
          <w:rtl w:val="true"/>
        </w:rPr>
        <w:t>השאלות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היריעה</w:t>
      </w:r>
      <w:r>
        <w:rPr>
          <w:rtl w:val="true"/>
        </w:rPr>
        <w:t xml:space="preserve">, </w:t>
      </w:r>
      <w:r>
        <w:rPr>
          <w:rtl w:val="true"/>
        </w:rPr>
        <w:t>ללקט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tl w:val="true"/>
        </w:rPr>
        <w:t xml:space="preserve">".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ובכלל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שיפוי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ובהיקש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הנזיקין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האומדנה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וסבל</w:t>
      </w:r>
      <w:r>
        <w:rPr>
          <w:rtl w:val="true"/>
        </w:rPr>
        <w:t xml:space="preserve">"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למים</w:t>
      </w:r>
      <w:r>
        <w:rPr>
          <w:rtl w:val="true"/>
        </w:rPr>
        <w:t xml:space="preserve">, </w:t>
      </w:r>
      <w:r>
        <w:rPr>
          <w:rtl w:val="true"/>
        </w:rPr>
        <w:t>יצרה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מאופקים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מתלהמים</w:t>
      </w:r>
      <w:r>
        <w:rPr>
          <w:rtl w:val="true"/>
        </w:rPr>
        <w:t xml:space="preserve">, </w:t>
      </w:r>
      <w:r>
        <w:rPr>
          <w:rtl w:val="true"/>
        </w:rPr>
        <w:t>שמבטאים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ורכיביו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כשופטים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". </w:t>
      </w:r>
      <w:r>
        <w:rPr>
          <w:rtl w:val="true"/>
        </w:rPr>
        <w:t>גילית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ותעוזה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נעימה</w:t>
      </w:r>
      <w:r>
        <w:rPr>
          <w:rtl w:val="true"/>
        </w:rPr>
        <w:t xml:space="preserve">. </w:t>
      </w:r>
      <w:r>
        <w:rPr>
          <w:rtl w:val="true"/>
        </w:rPr>
        <w:t>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ונבונה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ומסוגלת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).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ובבהירות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הפוגע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קמצוץ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בושה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אשמה</w:t>
      </w:r>
      <w:r>
        <w:rPr>
          <w:rtl w:val="true"/>
        </w:rPr>
        <w:t xml:space="preserve">"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נגנב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כייס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שתעמיסי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סיבכת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משפחתך</w:t>
      </w:r>
      <w:r>
        <w:rPr>
          <w:rtl w:val="true"/>
        </w:rPr>
        <w:t xml:space="preserve">. </w:t>
      </w:r>
      <w:r>
        <w:rPr>
          <w:rtl w:val="true"/>
        </w:rPr>
        <w:t>המשא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-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ביניכם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למזלך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tl w:val="true"/>
        </w:rPr>
        <w:t xml:space="preserve">, </w:t>
      </w:r>
      <w:r>
        <w:rPr>
          <w:rtl w:val="true"/>
        </w:rPr>
        <w:t>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, </w:t>
      </w:r>
      <w:r>
        <w:rPr>
          <w:rtl w:val="true"/>
        </w:rPr>
        <w:t>שכולם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בטובתך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וכמי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31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חותמת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שהיטיב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הבזויים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12.5</w:t>
      </w:r>
      <w:r>
        <w:rPr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להוקיע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tl w:val="true"/>
        </w:rPr>
        <w:t xml:space="preserve">" </w:t>
      </w:r>
      <w:r>
        <w:rPr>
          <w:rtl w:val="true"/>
        </w:rPr>
        <w:t>שהתאפיינה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הדדיות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הסכמה</w:t>
      </w:r>
      <w:r>
        <w:rPr>
          <w:rtl w:val="true"/>
        </w:rPr>
        <w:t xml:space="preserve">". </w:t>
      </w:r>
      <w:r>
        <w:rPr>
          <w:rtl w:val="true"/>
        </w:rPr>
        <w:t>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יכירם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;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חשוכות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ונעשה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cs="Times New Roman" w:ascii="Times New Roman" w:hAnsi="Times New Roman"/>
          <w:rtl w:val="true"/>
        </w:rPr>
        <w:t>‏</w:t>
      </w:r>
      <w:r>
        <w:rPr/>
        <w:t>1</w:t>
      </w:r>
      <w:r>
        <w:rPr/>
        <w:t>7</w:t>
      </w:r>
      <w:r>
        <w:rPr/>
        <w:t>.6.2018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הערה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  <w:lang w:val="en-IL" w:eastAsia="en-IL"/>
        </w:rPr>
        <w:t>נוסח</w:t>
      </w:r>
      <w:r>
        <w:rPr>
          <w:rFonts w:eastAsia="Arial TUR;Arial" w:cs="Arial TUR;Arial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eastAsia="Arial TUR;Arial" w:cs="Arial TUR;Arial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הותר</w:t>
      </w:r>
      <w:r>
        <w:rPr>
          <w:rFonts w:eastAsia="Arial TUR;Arial" w:cs="Arial TUR;Arial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לפרסום</w:t>
      </w:r>
      <w:r>
        <w:rPr>
          <w:rFonts w:eastAsia="Arial TUR;Arial" w:cs="Arial TUR;Arial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ביום</w:t>
      </w:r>
      <w:r>
        <w:rPr>
          <w:rFonts w:eastAsia="Arial TUR;Arial" w:cs="Arial TUR;Arial"/>
          <w:rtl w:val="true"/>
          <w:lang w:val="en-IL" w:eastAsia="en-IL"/>
        </w:rPr>
        <w:t xml:space="preserve"> </w:t>
      </w:r>
      <w:r>
        <w:rPr>
          <w:lang w:val="en-IL" w:eastAsia="en-IL"/>
        </w:rPr>
        <w:t>21.6.2018</w:t>
      </w:r>
      <w:r>
        <w:rPr>
          <w:rtl w:val="true"/>
          <w:lang w:val="en-IL" w:eastAsia="en-IL"/>
        </w:rPr>
        <w:t>.</w:t>
      </w:r>
    </w:p>
    <w:p>
      <w:pPr>
        <w:pStyle w:val="Ruller41"/>
        <w:ind w:end="0"/>
        <w:jc w:val="both"/>
        <w:rPr>
          <w:lang w:val="en-IL" w:eastAsia="en-IL"/>
        </w:rPr>
      </w:pPr>
      <w:r>
        <w:rPr>
          <w:rFonts w:eastAsia="Arial TUR;Arial" w:cs="Arial TUR;Arial"/>
          <w:rtl w:val="true"/>
          <w:lang w:val="en-IL" w:eastAsia="en-IL"/>
        </w:rPr>
        <w:t xml:space="preserve">          </w:t>
      </w:r>
      <w:r>
        <w:rPr>
          <w:rtl w:val="true"/>
          <w:lang w:val="en-IL" w:eastAsia="en-IL"/>
        </w:rPr>
        <w:t>חל</w:t>
      </w:r>
      <w:r>
        <w:rPr>
          <w:rFonts w:eastAsia="Arial TUR;Arial" w:cs="Arial TUR;Arial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איסור</w:t>
      </w:r>
      <w:r>
        <w:rPr>
          <w:rFonts w:eastAsia="Arial TUR;Arial" w:cs="Arial TUR;Arial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פרסום</w:t>
      </w:r>
      <w:r>
        <w:rPr>
          <w:rFonts w:eastAsia="Arial TUR;Arial" w:cs="Arial TUR;Arial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eastAsia="Arial TUR;Arial" w:cs="Arial TUR;Arial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eastAsia="Arial TUR;Arial" w:cs="Arial TUR;Arial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פרט</w:t>
      </w:r>
      <w:r>
        <w:rPr>
          <w:rFonts w:eastAsia="Arial TUR;Arial" w:cs="Arial TUR;Arial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מפרטי</w:t>
      </w:r>
      <w:r>
        <w:rPr>
          <w:rFonts w:eastAsia="Arial TUR;Arial" w:cs="Arial TUR;Arial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המתלוננת</w:t>
      </w:r>
      <w:r>
        <w:rPr>
          <w:rtl w:val="true"/>
          <w:lang w:val="en-IL" w:eastAsia="en-IL"/>
        </w:rPr>
        <w:t>.</w:t>
      </w:r>
    </w:p>
    <w:p>
      <w:pPr>
        <w:pStyle w:val="Ruller41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17055180</w:t>
      </w:r>
      <w:r>
        <w:rPr>
          <w:sz w:val="16"/>
          <w:rtl w:val="true"/>
        </w:rPr>
        <w:t>_</w:t>
      </w:r>
      <w:r>
        <w:rPr>
          <w:sz w:val="16"/>
        </w:rPr>
        <w:t>E10.doc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7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54678313-5518/17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5518/17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a.1.3" TargetMode="External"/><Relationship Id="rId7" Type="http://schemas.openxmlformats.org/officeDocument/2006/relationships/hyperlink" Target="http://www.nevo.co.il/law/70301/345.a.3" TargetMode="External"/><Relationship Id="rId8" Type="http://schemas.openxmlformats.org/officeDocument/2006/relationships/hyperlink" Target="http://www.nevo.co.il/law/70301/345.b.1" TargetMode="External"/><Relationship Id="rId9" Type="http://schemas.openxmlformats.org/officeDocument/2006/relationships/hyperlink" Target="http://www.nevo.co.il/law/70301/347.b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51.a" TargetMode="External"/><Relationship Id="rId12" Type="http://schemas.openxmlformats.org/officeDocument/2006/relationships/hyperlink" Target="http://www.nevo.co.il/law/70301/351.c.2" TargetMode="External"/><Relationship Id="rId13" Type="http://schemas.openxmlformats.org/officeDocument/2006/relationships/hyperlink" Target="http://www.nevo.co.il/case/6006517" TargetMode="External"/><Relationship Id="rId14" Type="http://schemas.openxmlformats.org/officeDocument/2006/relationships/hyperlink" Target="http://www.nevo.co.il/case/23226444" TargetMode="External"/><Relationship Id="rId15" Type="http://schemas.openxmlformats.org/officeDocument/2006/relationships/hyperlink" Target="http://www.nevo.co.il/case/6246452" TargetMode="External"/><Relationship Id="rId16" Type="http://schemas.openxmlformats.org/officeDocument/2006/relationships/hyperlink" Target="http://www.nevo.co.il/law/70301/351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5.a.1" TargetMode="External"/><Relationship Id="rId19" Type="http://schemas.openxmlformats.org/officeDocument/2006/relationships/hyperlink" Target="http://www.nevo.co.il/law/70301/345.a.3" TargetMode="External"/><Relationship Id="rId20" Type="http://schemas.openxmlformats.org/officeDocument/2006/relationships/hyperlink" Target="http://www.nevo.co.il/law/70301/345.b.1" TargetMode="External"/><Relationship Id="rId21" Type="http://schemas.openxmlformats.org/officeDocument/2006/relationships/hyperlink" Target="http://www.nevo.co.il/law/70301/351.a" TargetMode="External"/><Relationship Id="rId22" Type="http://schemas.openxmlformats.org/officeDocument/2006/relationships/hyperlink" Target="http://www.nevo.co.il/law/70301/347.b" TargetMode="External"/><Relationship Id="rId23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law/70301/345.a.3" TargetMode="External"/><Relationship Id="rId25" Type="http://schemas.openxmlformats.org/officeDocument/2006/relationships/hyperlink" Target="http://www.nevo.co.il/law/70301/345.b.1" TargetMode="External"/><Relationship Id="rId26" Type="http://schemas.openxmlformats.org/officeDocument/2006/relationships/hyperlink" Target="http://www.nevo.co.il/law/70301/351.a" TargetMode="External"/><Relationship Id="rId27" Type="http://schemas.openxmlformats.org/officeDocument/2006/relationships/hyperlink" Target="http://www.nevo.co.il/law/70301/345.a.1.3" TargetMode="External"/><Relationship Id="rId28" Type="http://schemas.openxmlformats.org/officeDocument/2006/relationships/hyperlink" Target="http://www.nevo.co.il/law/70301/345.b.1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/351.c.2" TargetMode="External"/><Relationship Id="rId31" Type="http://schemas.openxmlformats.org/officeDocument/2006/relationships/hyperlink" Target="http://www.nevo.co.il/law/70301/348.b" TargetMode="External"/><Relationship Id="rId32" Type="http://schemas.openxmlformats.org/officeDocument/2006/relationships/hyperlink" Target="http://www.nevo.co.il/law/70301/345.b.1" TargetMode="External"/><Relationship Id="rId33" Type="http://schemas.openxmlformats.org/officeDocument/2006/relationships/hyperlink" Target="http://www.nevo.co.il/law/70301/345.a.1" TargetMode="External"/><Relationship Id="rId34" Type="http://schemas.openxmlformats.org/officeDocument/2006/relationships/hyperlink" Target="http://www.nevo.co.il/law/70301/77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1477594" TargetMode="External"/><Relationship Id="rId37" Type="http://schemas.openxmlformats.org/officeDocument/2006/relationships/hyperlink" Target="https://supreme.court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2018-06-24T11:53:00Z</dcterms:created>
  <dc:creator> </dc:creator>
  <dc:description/>
  <cp:keywords/>
  <dc:language>en-IL</dc:language>
  <cp:lastModifiedBy>orly</cp:lastModifiedBy>
  <cp:lastPrinted>2018-06-21T12:26:00Z</cp:lastPrinted>
  <dcterms:modified xsi:type="dcterms:W3CDTF">2018-06-24T11:53:00Z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6006517;23226444;6246452;21477594</vt:lpwstr>
  </property>
  <property fmtid="{D5CDD505-2E9C-101B-9397-08002B2CF9AE}" pid="9" name="CITY">
    <vt:lpwstr/>
  </property>
  <property fmtid="{D5CDD505-2E9C-101B-9397-08002B2CF9AE}" pid="10" name="DATE">
    <vt:lpwstr>20180617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עמית;מ' מזוז;ע' ברון</vt:lpwstr>
  </property>
  <property fmtid="{D5CDD505-2E9C-101B-9397-08002B2CF9AE}" pid="14" name="LAWLISTTMP1">
    <vt:lpwstr>70301/351.a:3;345.a.1:3;345.a.3:2;345.b.1:4;347.b;345.a.1.3;025;351.c.2;348.b;077</vt:lpwstr>
  </property>
  <property fmtid="{D5CDD505-2E9C-101B-9397-08002B2CF9AE}" pid="15" name="LAWYER">
    <vt:lpwstr>יעל שרף;אריאל עטרי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הרשעה</vt:lpwstr>
  </property>
  <property fmtid="{D5CDD505-2E9C-101B-9397-08002B2CF9AE}" pid="40" name="NOSE23">
    <vt:lpwstr>חקירת עדים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1446;465;478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ערע;</vt:lpwstr>
  </property>
  <property fmtid="{D5CDD505-2E9C-101B-9397-08002B2CF9AE}" pid="51" name="NOSE33">
    <vt:lpwstr>אופן ביצועה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16241;;17426</vt:lpwstr>
  </property>
  <property fmtid="{D5CDD505-2E9C-101B-9397-08002B2CF9AE}" pid="59" name="PADIDATE">
    <vt:lpwstr>20180624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5518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410120180617</vt:lpwstr>
  </property>
  <property fmtid="{D5CDD505-2E9C-101B-9397-08002B2CF9AE}" pid="69" name="TYPE_N_DATE">
    <vt:lpwstr>41020180617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