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5522/20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נזאר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חלייחל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נצרת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62717-07-19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סבאג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;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21.2.2021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פרופ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מוחמד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ותד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סיף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אלדין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ותד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אופיר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ביתן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58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144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340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)).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bookmarkStart w:id="8" w:name="ABSTRACT_START"/>
      <w:bookmarkEnd w:id="8"/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 דחה ערעור על העונש שהושת על המערער בגין ביצוע עבירות בנשק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בין היתר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חודשי מאסר בפועל והפעלת עונש מאסר על תנאי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חודשים שהושת בעבר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בהעדר כל עילה להתערב בעונש שנגזר בגין ההרשעה הנוכחית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ואף לא לגבי הקביעה כי עונש המאסר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תנאי שהופעל ירוצה במצטבר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עמידה על הצורך בענישה מחמירה בגין ביצוע עבירות בנשק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עבירות נשק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עונשים מצטברים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בימ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ש המחוזי הרשיע את המערער בביצוע עבירות בנשק והשית עליו עונש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36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בפועל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12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 מאסר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תנאי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אם יעבור עבירת נשק מסוג פשע בתוך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וקנס בסך של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5,000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₪,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או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30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ימי מאסר תמורתו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בעקבות ההרשעה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הופעל גם עונש מאסר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תנאי בן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5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שנגזר עליו בעבר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הערעור נסב אודות חומרת העונש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מפי השופט סולברג ובהסכמת השופטים מזוז 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וילנר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דחה את הערעור ופסק כי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נוכח מידת התערבותה של ערכאת הערעור בעונש שגזרה הערכאה הדיונית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זה אין מקום להתערב בגזר הדין או בקביעה כי עונש המאסר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תנאי יופעל במצטבר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סעיף </w:t>
      </w:r>
      <w:r>
        <w:rPr>
          <w:rFonts w:cs="Times New Roman;Times New Roman" w:ascii="Times New Roman;Times New Roman" w:hAnsi="Times New Roman;Times New Roman"/>
          <w:spacing w:val="0"/>
          <w:szCs w:val="26"/>
        </w:rPr>
        <w:t>144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לחוק העונשין אוסר על נשיאה או הובלה של כלי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, 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בלא רשות על פי 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האיסור נועד להגן על ערך חיי האדם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שלמות גופו ונפשו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ולקדם את השמירה על הסדר הציבורי ואורח חיים תקין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שלו ובטוח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עבירה זו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כמו יתר עבירות הנשק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נועדה למנוע התנהגות מסוכנת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ולמזער את הפוטנציאל לגרימת נזקים חמורים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חרף האיסור שבדין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הפכה תופעת השימוש בנשק חם למכת מדינה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בעקבות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לשם הרתעה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ניכרת בפסיקה מגמה של החמרה הדרגתית בענישה על עבירות הנשק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במקרה זה לא נמצא כי נפלה שגגה בבחינת נסיבות ביצוע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לצורך קביעת מתחם הענישה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אמנם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לאחר תיקון כתב האישום יוחס למערער ביצוע עבירה של נשיאה והובלה של 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תוך שנמחק האישום בגין ביצוע עבירה של ירי באזור מגורים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ואכן לא ניתן לייחס למערער ירי באזור מגורים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יחד עם זאת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ירי בסביבת מגורים בוצע במקרה זה ונסיבה זו אופפת את ביצוע העבירה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ובצדק היא נלקחה בחשבון לצורך קביעת המתחם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גם אם המערער לא היה זה שלחץ על ההדק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הרי שהאירועים לא הסתכמו אך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'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בנשיאה והובלה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של כלי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אלא בירי של ממש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בקרבת בתים ומסגד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הטענה כי העונש שנגזר חורג באופן קיצוני ממדיניות הענישה הנהוגה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נדחתה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אפילו נפלו פגמים במלאכת קביעת מתחם העונש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כל עוד העונש שנגזר הולם את הנסיבות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תתערב ערכאת הערעור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במקרים אחרים של ביצוע עבירות בנשק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בנסיבות פחותות בחומרתן בהשוואה לענייננו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נגזרים עונשי מאסר בפועל של כשנתיים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ימים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ובהינתן נסיבות מחמירות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כבענייננו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עולה רף הענישה בהתאם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אפשר שעונשו של המערער לא נגזר על הצד המקל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אולי גם ניתן למצוא בו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משום חריגה מסוימת מן הנהוג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אך בשים לב למגמת ההחמרה במדיניות הענישה בעבירות הנשק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מדובר בחריגה משמעותית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שמצדיקה התערבות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אשר להפעלת עונש המאסר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תנאי במצטבר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כאשר מופעל עונש מאסר על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תנאי בעקבות ביצוע עבירה נוספת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ככלל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 xml:space="preserve">ירוצו תקופות המאסר 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בזו אחר זו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";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סטייה מנקודת המוצא תֵעשה רק מ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טעמים שיירשמו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".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הגם שלזכות המערער עומדת הודאתו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יש להתחשב בכך שגם בהרשעתו הקודמת הביע חרטה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והצהיר כי בכוונתו לחדול מהתנהלותו הפסולה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לן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לא רק שיש להתחשב בעברו הפלילי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הרי שלאחר שהופרה התחייבותו בהרשעה הראשונה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פוחת במידת מה המשקל שיש ליתן להצהרותיו הנוכחיות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נוכח האמור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Cs w:val="26"/>
          <w:rtl w:val="true"/>
        </w:rPr>
        <w:t>אין טעמים חזקים דיים להצדקת חריגה מן הכלל לפיו העונשים ירוצו במצטבר</w:t>
      </w:r>
      <w:r>
        <w:rPr>
          <w:rFonts w:cs="Times New Roman;Times New Roman" w:ascii="Times New Roman;Times New Roman" w:hAnsi="Times New Roman;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auto" w:line="480"/>
        <w:ind w:end="0"/>
        <w:jc w:val="start"/>
        <w:rPr>
          <w:rFonts w:ascii="Times New Roman;Times New Roman" w:hAnsi="Times New Roman;Times New Roman" w:cs="Times New Roman;Times New Roman"/>
          <w:spacing w:val="0"/>
          <w:szCs w:val="26"/>
        </w:rPr>
      </w:pPr>
      <w:r>
        <w:rPr>
          <w:rFonts w:cs="Times New Roman;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5" w:name="Start_Write"/>
      <w:bookmarkStart w:id="16" w:name="Start_Write"/>
      <w:bookmarkEnd w:id="16"/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ערעור על גזר הדין של בית המשפט המחוזי בנצרת מיום </w:t>
      </w:r>
      <w:r>
        <w:rPr/>
        <w:t>18.6.2020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62717-07-19</w:t>
        </w:r>
      </w:hyperlink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סבאג</w:t>
      </w:r>
      <w:r>
        <w:rPr>
          <w:rtl w:val="true"/>
        </w:rPr>
        <w:t xml:space="preserve">), </w:t>
      </w:r>
      <w:r>
        <w:rPr>
          <w:rtl w:val="true"/>
        </w:rPr>
        <w:t>שבגדרו הושת על המערער</w:t>
      </w:r>
      <w:r>
        <w:rPr>
          <w:rtl w:val="true"/>
        </w:rPr>
        <w:t xml:space="preserve">, </w:t>
      </w:r>
      <w:r>
        <w:rPr>
          <w:rtl w:val="true"/>
        </w:rPr>
        <w:t>נזאר אחמד חלייחל</w:t>
      </w:r>
      <w:r>
        <w:rPr>
          <w:rtl w:val="true"/>
        </w:rPr>
        <w:t xml:space="preserve">, </w:t>
      </w:r>
      <w:r>
        <w:rPr>
          <w:rtl w:val="true"/>
        </w:rPr>
        <w:t xml:space="preserve">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 xml:space="preserve">אם יעבור עבירת נשק מסוג פשע בתוך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 xml:space="preserve">וקנס </w:t>
      </w:r>
      <w:r>
        <w:rPr>
          <w:rtl w:val="true"/>
        </w:rPr>
        <w:t>ב</w:t>
      </w:r>
      <w:r>
        <w:rPr>
          <w:rtl w:val="true"/>
        </w:rPr>
        <w:t xml:space="preserve">סך של </w:t>
      </w:r>
      <w:r>
        <w:rPr/>
        <w:t>5,000</w:t>
      </w:r>
      <w:r>
        <w:rPr>
          <w:rtl w:val="true"/>
        </w:rPr>
        <w:t xml:space="preserve"> ₪, </w:t>
      </w:r>
      <w:r>
        <w:rPr>
          <w:rtl w:val="true"/>
        </w:rPr>
        <w:t xml:space="preserve">או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ימי מאסר תמורתו</w:t>
      </w:r>
      <w:r>
        <w:rPr>
          <w:rtl w:val="true"/>
        </w:rPr>
        <w:t xml:space="preserve">. </w:t>
      </w:r>
      <w:r>
        <w:rPr>
          <w:rtl w:val="true"/>
        </w:rPr>
        <w:t>בעקבות ההרשעה</w:t>
      </w:r>
      <w:r>
        <w:rPr>
          <w:rtl w:val="true"/>
        </w:rPr>
        <w:t xml:space="preserve">, </w:t>
      </w:r>
      <w:r>
        <w:rPr>
          <w:rtl w:val="true"/>
        </w:rPr>
        <w:t>הופעל גם עונש מאסר על</w:t>
      </w:r>
      <w:r>
        <w:rPr>
          <w:rtl w:val="true"/>
        </w:rPr>
        <w:t>-</w:t>
      </w:r>
      <w:r>
        <w:rPr>
          <w:rtl w:val="true"/>
        </w:rPr>
        <w:t xml:space="preserve">תנאי 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שנגזר עליו בעבר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18.7.2019</w:t>
      </w:r>
      <w:r>
        <w:rPr>
          <w:rtl w:val="true"/>
        </w:rPr>
        <w:t xml:space="preserve">, </w:t>
      </w:r>
      <w:r>
        <w:rPr>
          <w:rtl w:val="true"/>
        </w:rPr>
        <w:t>בשעת לילה</w:t>
      </w:r>
      <w:r>
        <w:rPr>
          <w:rtl w:val="true"/>
        </w:rPr>
        <w:t xml:space="preserve">, </w:t>
      </w:r>
      <w:r>
        <w:rPr>
          <w:rtl w:val="true"/>
        </w:rPr>
        <w:t>נסעו נזאר ושניים מחבריו ברחובות הכפר עכברה</w:t>
      </w:r>
      <w:r>
        <w:rPr>
          <w:rtl w:val="true"/>
        </w:rPr>
        <w:t xml:space="preserve">, </w:t>
      </w:r>
      <w:r>
        <w:rPr>
          <w:rtl w:val="true"/>
        </w:rPr>
        <w:t>כאשר נזאר נושא עמו 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בשלב כלשהו הגיעו השלושה לשביל עפר שבפאתי הכפר</w:t>
      </w:r>
      <w:r>
        <w:rPr>
          <w:rtl w:val="true"/>
        </w:rPr>
        <w:t xml:space="preserve">. </w:t>
      </w:r>
      <w:r>
        <w:rPr>
          <w:rtl w:val="true"/>
        </w:rPr>
        <w:t>בעודם שוהים במקום</w:t>
      </w:r>
      <w:r>
        <w:rPr>
          <w:rtl w:val="true"/>
        </w:rPr>
        <w:t xml:space="preserve">, </w:t>
      </w:r>
      <w:r>
        <w:rPr>
          <w:rtl w:val="true"/>
        </w:rPr>
        <w:t>סמוך לבתי מגורים</w:t>
      </w:r>
      <w:r>
        <w:rPr>
          <w:rtl w:val="true"/>
        </w:rPr>
        <w:t xml:space="preserve">, </w:t>
      </w:r>
      <w:r>
        <w:rPr>
          <w:rtl w:val="true"/>
        </w:rPr>
        <w:t>נורו שני כדורים מכלי</w:t>
      </w:r>
      <w:r>
        <w:rPr>
          <w:rtl w:val="true"/>
        </w:rPr>
        <w:t>-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באמצעות כלי</w:t>
      </w:r>
      <w:r>
        <w:rPr>
          <w:rtl w:val="true"/>
        </w:rPr>
        <w:t>-</w:t>
      </w:r>
      <w:r>
        <w:rPr>
          <w:rtl w:val="true"/>
        </w:rPr>
        <w:t>הנשק הנזכר</w:t>
      </w:r>
      <w:r>
        <w:rPr>
          <w:rtl w:val="true"/>
        </w:rPr>
        <w:t xml:space="preserve">. </w:t>
      </w:r>
      <w:r>
        <w:rPr>
          <w:rtl w:val="true"/>
        </w:rPr>
        <w:t>בכך לא הסתיימו מאורעות הלילה</w:t>
      </w:r>
      <w:r>
        <w:rPr>
          <w:rtl w:val="true"/>
        </w:rPr>
        <w:t xml:space="preserve">. </w:t>
      </w:r>
      <w:r>
        <w:rPr>
          <w:rtl w:val="true"/>
        </w:rPr>
        <w:t>השלושה המשיכו לשוטט במכונית בדרכי הכפר</w:t>
      </w:r>
      <w:r>
        <w:rPr>
          <w:rtl w:val="true"/>
        </w:rPr>
        <w:t xml:space="preserve">, </w:t>
      </w:r>
      <w:r>
        <w:rPr>
          <w:rtl w:val="true"/>
        </w:rPr>
        <w:t>עד בואם לחניון הממוקם בסמוך למסגד</w:t>
      </w:r>
      <w:r>
        <w:rPr>
          <w:rtl w:val="true"/>
        </w:rPr>
        <w:t xml:space="preserve">. </w:t>
      </w:r>
      <w:r>
        <w:rPr>
          <w:rtl w:val="true"/>
        </w:rPr>
        <w:t xml:space="preserve">לאחר שהמכונית </w:t>
      </w:r>
      <w:r>
        <w:rPr>
          <w:rtl w:val="true"/>
        </w:rPr>
        <w:t xml:space="preserve">חנתה </w:t>
      </w:r>
      <w:r>
        <w:rPr>
          <w:rtl w:val="true"/>
        </w:rPr>
        <w:t>בחניון</w:t>
      </w:r>
      <w:r>
        <w:rPr>
          <w:rtl w:val="true"/>
        </w:rPr>
        <w:t xml:space="preserve">, </w:t>
      </w:r>
      <w:r>
        <w:rPr>
          <w:rtl w:val="true"/>
        </w:rPr>
        <w:t>ביצע מי מנוסעיה ירי אוטומטי באוויר</w:t>
      </w:r>
      <w:r>
        <w:rPr>
          <w:rtl w:val="true"/>
        </w:rPr>
        <w:t xml:space="preserve">, </w:t>
      </w:r>
      <w:r>
        <w:rPr>
          <w:rtl w:val="true"/>
        </w:rPr>
        <w:t>ולאחר זמן</w:t>
      </w:r>
      <w:r>
        <w:rPr>
          <w:rtl w:val="true"/>
        </w:rPr>
        <w:t>-</w:t>
      </w:r>
      <w:r>
        <w:rPr>
          <w:rtl w:val="true"/>
        </w:rPr>
        <w:t>מה בוצע ירי נוסף</w:t>
      </w:r>
      <w:r>
        <w:rPr>
          <w:rtl w:val="true"/>
        </w:rPr>
        <w:t xml:space="preserve">. </w:t>
      </w:r>
      <w:r>
        <w:rPr>
          <w:rtl w:val="true"/>
        </w:rPr>
        <w:t>סך הכל</w:t>
      </w:r>
      <w:r>
        <w:rPr>
          <w:rtl w:val="true"/>
        </w:rPr>
        <w:t xml:space="preserve">, </w:t>
      </w:r>
      <w:r>
        <w:rPr>
          <w:rtl w:val="true"/>
        </w:rPr>
        <w:t>נורו כ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כדורים באזור המסגד</w:t>
      </w:r>
      <w:r>
        <w:rPr>
          <w:rtl w:val="true"/>
        </w:rPr>
        <w:t xml:space="preserve">. </w:t>
      </w:r>
      <w:r>
        <w:rPr>
          <w:rtl w:val="true"/>
        </w:rPr>
        <w:t>בשלב זה</w:t>
      </w:r>
      <w:r>
        <w:rPr>
          <w:rtl w:val="true"/>
        </w:rPr>
        <w:t xml:space="preserve">, </w:t>
      </w:r>
      <w:r>
        <w:rPr>
          <w:rtl w:val="true"/>
        </w:rPr>
        <w:t>הבחין נזאר בכוחות משטרה קר</w:t>
      </w:r>
      <w:r>
        <w:rPr>
          <w:rtl w:val="true"/>
        </w:rPr>
        <w:t>ֵ</w:t>
      </w:r>
      <w:r>
        <w:rPr>
          <w:rtl w:val="true"/>
        </w:rPr>
        <w:t>בים</w:t>
      </w:r>
      <w:r>
        <w:rPr>
          <w:rtl w:val="true"/>
        </w:rPr>
        <w:t xml:space="preserve">, </w:t>
      </w:r>
      <w:r>
        <w:rPr>
          <w:rtl w:val="true"/>
        </w:rPr>
        <w:t>ונמלט ברגל מן המקום</w:t>
      </w:r>
      <w:r>
        <w:rPr>
          <w:rtl w:val="true"/>
        </w:rPr>
        <w:t xml:space="preserve">, </w:t>
      </w:r>
      <w:r>
        <w:rPr>
          <w:rtl w:val="true"/>
        </w:rPr>
        <w:t>תוך שהוא משליך את כלי</w:t>
      </w:r>
      <w:r>
        <w:rPr>
          <w:rtl w:val="true"/>
        </w:rPr>
        <w:t>-</w:t>
      </w:r>
      <w:r>
        <w:rPr>
          <w:rtl w:val="true"/>
        </w:rPr>
        <w:t>הנשק במנוסתו</w:t>
      </w:r>
      <w:r>
        <w:rPr>
          <w:rtl w:val="true"/>
        </w:rPr>
        <w:t xml:space="preserve">. </w:t>
      </w:r>
      <w:r>
        <w:rPr>
          <w:rtl w:val="true"/>
        </w:rPr>
        <w:t>בסופו של דבר הגיע לבית שכניו</w:t>
      </w:r>
      <w:r>
        <w:rPr>
          <w:rtl w:val="true"/>
        </w:rPr>
        <w:t xml:space="preserve">, </w:t>
      </w:r>
      <w:r>
        <w:rPr>
          <w:rtl w:val="true"/>
        </w:rPr>
        <w:t>שם הסתתר עד שנעצר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נגד נזאר הוגש כתב אישום</w:t>
      </w:r>
      <w:r>
        <w:rPr>
          <w:rtl w:val="true"/>
        </w:rPr>
        <w:t xml:space="preserve">, </w:t>
      </w:r>
      <w:r>
        <w:rPr>
          <w:rtl w:val="true"/>
        </w:rPr>
        <w:t>ולאחר שנחתם הסדר טיעון</w:t>
      </w:r>
      <w:r>
        <w:rPr>
          <w:rtl w:val="true"/>
        </w:rPr>
        <w:t xml:space="preserve">, </w:t>
      </w:r>
      <w:r>
        <w:rPr>
          <w:rtl w:val="true"/>
        </w:rPr>
        <w:t>הורשע על בסיס הודאתו בכתב אישום מתוקן</w:t>
      </w:r>
      <w:r>
        <w:rPr>
          <w:rtl w:val="true"/>
        </w:rPr>
        <w:t xml:space="preserve">, </w:t>
      </w:r>
      <w:r>
        <w:rPr>
          <w:rtl w:val="true"/>
        </w:rPr>
        <w:t xml:space="preserve">המייחס לו ביצוע עבירות בנשק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)). </w:t>
      </w:r>
      <w:r>
        <w:rPr>
          <w:rtl w:val="true"/>
        </w:rPr>
        <w:t xml:space="preserve">לאחר שהצדדים </w:t>
      </w:r>
      <w:r>
        <w:rPr>
          <w:rtl w:val="true"/>
        </w:rPr>
        <w:t xml:space="preserve">טענו </w:t>
      </w:r>
      <w:r>
        <w:rPr>
          <w:rtl w:val="true"/>
        </w:rPr>
        <w:t>לעניין העונש</w:t>
      </w:r>
      <w:r>
        <w:rPr>
          <w:rtl w:val="true"/>
        </w:rPr>
        <w:t xml:space="preserve">, </w:t>
      </w:r>
      <w:r>
        <w:rPr>
          <w:rtl w:val="true"/>
        </w:rPr>
        <w:t xml:space="preserve">ולאחר שנזאר </w:t>
      </w:r>
      <w:r>
        <w:rPr>
          <w:rtl w:val="true"/>
        </w:rPr>
        <w:t xml:space="preserve">הביע </w:t>
      </w:r>
      <w:r>
        <w:rPr>
          <w:rtl w:val="true"/>
        </w:rPr>
        <w:t>צער וחרטה על ביצוע המעשים</w:t>
      </w:r>
      <w:r>
        <w:rPr>
          <w:rtl w:val="true"/>
        </w:rPr>
        <w:t xml:space="preserve">, </w:t>
      </w:r>
      <w:r>
        <w:rPr>
          <w:rtl w:val="true"/>
        </w:rPr>
        <w:t>ניתן גזר הדין</w:t>
      </w:r>
      <w:r>
        <w:rPr>
          <w:rtl w:val="true"/>
        </w:rPr>
        <w:t xml:space="preserve">. </w:t>
      </w:r>
      <w:r>
        <w:rPr>
          <w:rtl w:val="true"/>
        </w:rPr>
        <w:t>בית המשפט המחוזי עמד על חומרתן של עבירות הנשק</w:t>
      </w:r>
      <w:r>
        <w:rPr>
          <w:rtl w:val="true"/>
        </w:rPr>
        <w:t xml:space="preserve">; </w:t>
      </w:r>
      <w:r>
        <w:rPr>
          <w:rtl w:val="true"/>
        </w:rPr>
        <w:t>על הפגיעה בערכים של שלום הציבור ושמירת הסדר הציבורי</w:t>
      </w:r>
      <w:r>
        <w:rPr>
          <w:rtl w:val="true"/>
        </w:rPr>
        <w:t xml:space="preserve">, </w:t>
      </w:r>
      <w:r>
        <w:rPr>
          <w:rtl w:val="true"/>
        </w:rPr>
        <w:t>כמו גם על הפגיעה בערך ההגנה על חיי אדם</w:t>
      </w:r>
      <w:r>
        <w:rPr>
          <w:rtl w:val="true"/>
        </w:rPr>
        <w:t xml:space="preserve">. </w:t>
      </w:r>
      <w:r>
        <w:rPr>
          <w:rtl w:val="true"/>
        </w:rPr>
        <w:t>לגבי נסיבות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הודגש כי לא ניתן לראות במעשיו של נזאר משום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מעידה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פעמית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רגעית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 xml:space="preserve">כאשר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הצטייד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מבעוד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אוטומטי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כי יש לראות בחומרה את העובדה שהנשק שימש לירי בסביבת בתי הכפר</w:t>
      </w:r>
      <w:r>
        <w:rPr>
          <w:rtl w:val="true"/>
        </w:rPr>
        <w:t xml:space="preserve">; </w:t>
      </w:r>
      <w:r>
        <w:rPr>
          <w:rtl w:val="true"/>
        </w:rPr>
        <w:t>כי ללא התערבות המשטרה יתכן שהיה נגרם נזק גדול</w:t>
      </w:r>
      <w:r>
        <w:rPr>
          <w:rtl w:val="true"/>
        </w:rPr>
        <w:t xml:space="preserve">; </w:t>
      </w:r>
      <w:r>
        <w:rPr>
          <w:rtl w:val="true"/>
        </w:rPr>
        <w:t>וכי יש להתחשב גם בניסיונו של נזאר להימלט מכוחות המשטרה</w:t>
      </w:r>
      <w:r>
        <w:rPr>
          <w:rtl w:val="true"/>
        </w:rPr>
        <w:t xml:space="preserve">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ולאחר שנסקרה מדיניות הענישה הנהוגה במקרים דומים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כי מתחם העונש ההולם עומד על </w:t>
      </w:r>
      <w:r>
        <w:rPr/>
        <w:t>48-24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>.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במשפחתו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ומאסרו</w:t>
      </w:r>
      <w:r>
        <w:rPr>
          <w:rtl w:val="true"/>
        </w:rPr>
        <w:t xml:space="preserve">, </w:t>
      </w:r>
      <w:r>
        <w:rPr>
          <w:rtl w:val="true"/>
        </w:rPr>
        <w:t>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ולחרטה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הקודמת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להתחייבויותיו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והצהרותיו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השחרורים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הפכו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לנגע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שהתפשט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הישראלית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בכלל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ובחברה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הערבית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בפרט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נזאר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4.5.2017</w:t>
      </w:r>
      <w:r>
        <w:rPr>
          <w:rtl w:val="true"/>
        </w:rPr>
        <w:t xml:space="preserve">, </w:t>
      </w:r>
      <w:r>
        <w:rPr>
          <w:rtl w:val="true"/>
        </w:rPr>
        <w:t>וקבע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נזאר מלין על חומרת עונשו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tl w:val="true"/>
        </w:rPr>
        <w:t xml:space="preserve">, </w:t>
      </w:r>
      <w:r>
        <w:rPr>
          <w:rtl w:val="true"/>
        </w:rPr>
        <w:t>הגם שעונש ברף הבינוני הולם את חומרת מעשיו</w:t>
      </w:r>
      <w:r>
        <w:rPr>
          <w:rtl w:val="true"/>
        </w:rPr>
        <w:t xml:space="preserve">, </w:t>
      </w:r>
      <w:r>
        <w:rPr>
          <w:rtl w:val="true"/>
        </w:rPr>
        <w:t>מתחם הענישה שנקבע חורג לחומר</w:t>
      </w:r>
      <w:r>
        <w:rPr>
          <w:rtl w:val="true"/>
        </w:rPr>
        <w:t>ה</w:t>
      </w:r>
      <w:r>
        <w:rPr>
          <w:rtl w:val="true"/>
        </w:rPr>
        <w:t xml:space="preserve"> ממדיניות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כפי שעולה מפסקי דין שניתנו במקרים דומים</w:t>
      </w:r>
      <w:r>
        <w:rPr>
          <w:rtl w:val="true"/>
        </w:rPr>
        <w:t xml:space="preserve">. </w:t>
      </w:r>
      <w:r>
        <w:rPr>
          <w:rtl w:val="true"/>
        </w:rPr>
        <w:t>הוטעם</w:t>
      </w:r>
      <w:r>
        <w:rPr>
          <w:rtl w:val="true"/>
        </w:rPr>
        <w:t xml:space="preserve">, </w:t>
      </w:r>
      <w:r>
        <w:rPr>
          <w:rtl w:val="true"/>
        </w:rPr>
        <w:t xml:space="preserve">כי עבירות הנשק מתאפיינות במקשתת </w:t>
      </w:r>
      <w:r>
        <w:rPr>
          <w:rtl w:val="true"/>
        </w:rPr>
        <w:t>(</w:t>
      </w:r>
      <w:r>
        <w:rPr>
          <w:rtl w:val="true"/>
        </w:rPr>
        <w:t>ספקטרום</w:t>
      </w:r>
      <w:r>
        <w:rPr>
          <w:rtl w:val="true"/>
        </w:rPr>
        <w:t xml:space="preserve">) </w:t>
      </w:r>
      <w:r>
        <w:rPr>
          <w:rtl w:val="true"/>
        </w:rPr>
        <w:t>ענישה רחבה</w:t>
      </w:r>
      <w:r>
        <w:rPr>
          <w:rtl w:val="true"/>
        </w:rPr>
        <w:t xml:space="preserve">, </w:t>
      </w:r>
      <w:r>
        <w:rPr>
          <w:rtl w:val="true"/>
        </w:rPr>
        <w:t>כך שקביעת המתחם בעניינן מצריכה עיון</w:t>
      </w:r>
      <w:r>
        <w:rPr>
          <w:rtl w:val="true"/>
        </w:rPr>
        <w:t xml:space="preserve">, </w:t>
      </w:r>
      <w:r>
        <w:rPr>
          <w:rtl w:val="true"/>
        </w:rPr>
        <w:t>דקדוק</w:t>
      </w:r>
      <w:r>
        <w:rPr>
          <w:rtl w:val="true"/>
        </w:rPr>
        <w:t xml:space="preserve">, </w:t>
      </w:r>
      <w:r>
        <w:rPr>
          <w:rtl w:val="true"/>
        </w:rPr>
        <w:t>והבחנה בין נסיבות מקרה אחד למשנהו</w:t>
      </w:r>
      <w:r>
        <w:rPr>
          <w:rtl w:val="true"/>
        </w:rPr>
        <w:t xml:space="preserve">. </w:t>
      </w:r>
      <w:r>
        <w:rPr>
          <w:rtl w:val="true"/>
        </w:rPr>
        <w:t>בכלל זה מדגיש נזאר</w:t>
      </w:r>
      <w:r>
        <w:rPr>
          <w:rtl w:val="true"/>
        </w:rPr>
        <w:t xml:space="preserve">, </w:t>
      </w:r>
      <w:r>
        <w:rPr>
          <w:rtl w:val="true"/>
        </w:rPr>
        <w:t>כי לא היה מקום להתחשב בכך שהירי בוצע בסמוך לבתי מגורים</w:t>
      </w:r>
      <w:r>
        <w:rPr>
          <w:rtl w:val="true"/>
        </w:rPr>
        <w:t xml:space="preserve">, </w:t>
      </w:r>
      <w:r>
        <w:rPr>
          <w:rtl w:val="true"/>
        </w:rPr>
        <w:t>לאחר שאישום זה נמחק בתיקון כתב האישום</w:t>
      </w:r>
      <w:r>
        <w:rPr>
          <w:rtl w:val="true"/>
        </w:rPr>
        <w:t xml:space="preserve">. </w:t>
      </w:r>
      <w:r>
        <w:rPr>
          <w:rtl w:val="true"/>
        </w:rPr>
        <w:t>עוד סבור נזאר כי לא היה מקום להורות על ריצוי במצטבר של עונש המאסר ועונש המאסר על</w:t>
      </w:r>
      <w:r>
        <w:rPr>
          <w:rtl w:val="true"/>
        </w:rPr>
        <w:t>-</w:t>
      </w:r>
      <w:r>
        <w:rPr>
          <w:rtl w:val="true"/>
        </w:rPr>
        <w:t>תנאי שהופעל</w:t>
      </w:r>
      <w:r>
        <w:rPr>
          <w:rtl w:val="true"/>
        </w:rPr>
        <w:t xml:space="preserve">. </w:t>
      </w:r>
      <w:r>
        <w:rPr>
          <w:rtl w:val="true"/>
        </w:rPr>
        <w:t>זאת נוכח גילו הצעיר</w:t>
      </w:r>
      <w:r>
        <w:rPr>
          <w:rtl w:val="true"/>
        </w:rPr>
        <w:t xml:space="preserve">; </w:t>
      </w:r>
      <w:r>
        <w:rPr>
          <w:rtl w:val="true"/>
        </w:rPr>
        <w:t>חרטתו הכנה</w:t>
      </w:r>
      <w:r>
        <w:rPr>
          <w:rtl w:val="true"/>
        </w:rPr>
        <w:t xml:space="preserve">; </w:t>
      </w:r>
      <w:r>
        <w:rPr>
          <w:rtl w:val="true"/>
        </w:rPr>
        <w:t>סיכויי שיקומו הטובים</w:t>
      </w:r>
      <w:r>
        <w:rPr>
          <w:rtl w:val="true"/>
        </w:rPr>
        <w:t xml:space="preserve">;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שחסכה זמן שיפוטי וכספי ציבור</w:t>
      </w:r>
      <w:r>
        <w:rPr>
          <w:rtl w:val="true"/>
        </w:rPr>
        <w:t xml:space="preserve">; </w:t>
      </w:r>
      <w:r>
        <w:rPr>
          <w:rtl w:val="true"/>
        </w:rPr>
        <w:t>ותקופת מאסרו הממושכת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חזר ב</w:t>
      </w:r>
      <w:r>
        <w:rPr>
          <w:rtl w:val="true"/>
        </w:rPr>
        <w:t>"</w:t>
      </w:r>
      <w:r>
        <w:rPr>
          <w:rtl w:val="true"/>
        </w:rPr>
        <w:t>כ של נזאר על עיקר טענותיו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טענה ב</w:t>
      </w:r>
      <w:r>
        <w:rPr>
          <w:rtl w:val="true"/>
        </w:rPr>
        <w:t>"</w:t>
      </w:r>
      <w:r>
        <w:rPr>
          <w:rtl w:val="true"/>
        </w:rPr>
        <w:t>כ המשיבה כי לא ארעה תקלה בגזר הדין</w:t>
      </w:r>
      <w:r>
        <w:rPr>
          <w:rtl w:val="true"/>
        </w:rPr>
        <w:t xml:space="preserve">, </w:t>
      </w:r>
      <w:r>
        <w:rPr>
          <w:rtl w:val="true"/>
        </w:rPr>
        <w:t>לבטח לא נפל בו פגם שיכול להצדיק התערבותה של ערכאת הערעור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הגם שבכתב האישום המתוקן לא יוחס לנזאר ביצוע ירי בכלי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לא ניתן להתעלם משלל הנסיבות שמצביעות על חומרת מעשיו</w:t>
      </w:r>
      <w:r>
        <w:rPr>
          <w:rtl w:val="true"/>
        </w:rPr>
        <w:t xml:space="preserve">: </w:t>
      </w:r>
      <w:r>
        <w:rPr>
          <w:rtl w:val="true"/>
        </w:rPr>
        <w:t>נשיאתו את 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והעובדה שבוצע בו ירי במצב אוטומטי</w:t>
      </w:r>
      <w:r>
        <w:rPr>
          <w:rtl w:val="true"/>
        </w:rPr>
        <w:t xml:space="preserve">; </w:t>
      </w:r>
      <w:r>
        <w:rPr>
          <w:rtl w:val="true"/>
        </w:rPr>
        <w:t>ניסיונו להימלט מכוחות המשטרה</w:t>
      </w:r>
      <w:r>
        <w:rPr>
          <w:rtl w:val="true"/>
        </w:rPr>
        <w:t xml:space="preserve">; </w:t>
      </w:r>
      <w:r>
        <w:rPr>
          <w:rtl w:val="true"/>
        </w:rPr>
        <w:t>סירובו לספק מידע על אחרים שהיו שותפים לאירוע</w:t>
      </w:r>
      <w:r>
        <w:rPr>
          <w:rtl w:val="true"/>
        </w:rPr>
        <w:t xml:space="preserve">; </w:t>
      </w:r>
      <w:r>
        <w:rPr>
          <w:rtl w:val="true"/>
        </w:rPr>
        <w:t>והחבאת 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בעודו נמלט מכוחות המשטרה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המשיבה סבורה</w:t>
      </w:r>
      <w:r>
        <w:rPr>
          <w:rtl w:val="true"/>
        </w:rPr>
        <w:t xml:space="preserve">, </w:t>
      </w:r>
      <w:r>
        <w:rPr>
          <w:rtl w:val="true"/>
        </w:rPr>
        <w:t>כי יש להתחשב בהרשעתו הקודמת של נזאר</w:t>
      </w:r>
      <w:r>
        <w:rPr>
          <w:rtl w:val="true"/>
        </w:rPr>
        <w:t xml:space="preserve">, </w:t>
      </w:r>
      <w:r>
        <w:rPr>
          <w:rtl w:val="true"/>
        </w:rPr>
        <w:t>שלאורה נחלשים שיקולי השיקום</w:t>
      </w:r>
      <w:r>
        <w:rPr>
          <w:rtl w:val="true"/>
        </w:rPr>
        <w:t xml:space="preserve">, </w:t>
      </w:r>
      <w:r>
        <w:rPr>
          <w:rtl w:val="true"/>
        </w:rPr>
        <w:t>ומתעורר</w:t>
      </w:r>
      <w:r>
        <w:rPr>
          <w:rtl w:val="true"/>
        </w:rPr>
        <w:t>ים</w:t>
      </w:r>
      <w:r>
        <w:rPr>
          <w:rtl w:val="true"/>
        </w:rPr>
        <w:t xml:space="preserve"> ספקות באשר לתוקף התחייבותו הנוכחית שלא לשוב לסורו</w:t>
      </w:r>
      <w:r>
        <w:rPr>
          <w:rtl w:val="true"/>
        </w:rPr>
        <w:t xml:space="preserve">. </w:t>
      </w:r>
      <w:r>
        <w:rPr>
          <w:rtl w:val="true"/>
        </w:rPr>
        <w:t>על רקע האמור</w:t>
      </w:r>
      <w:r>
        <w:rPr>
          <w:rtl w:val="true"/>
        </w:rPr>
        <w:t xml:space="preserve">, </w:t>
      </w:r>
      <w:r>
        <w:rPr>
          <w:rtl w:val="true"/>
        </w:rPr>
        <w:t>נטען כי גזר הדין לא חורג ממדיניות הענישה הנהוגה</w:t>
      </w:r>
      <w:r>
        <w:rPr>
          <w:rtl w:val="true"/>
        </w:rPr>
        <w:t xml:space="preserve">, </w:t>
      </w:r>
      <w:r>
        <w:rPr>
          <w:rtl w:val="true"/>
        </w:rPr>
        <w:t>כי לא נפל פגם בהפעלת עונש המאסר על</w:t>
      </w:r>
      <w:r>
        <w:rPr>
          <w:rtl w:val="true"/>
        </w:rPr>
        <w:t>-</w:t>
      </w:r>
      <w:r>
        <w:rPr>
          <w:rtl w:val="true"/>
        </w:rPr>
        <w:t>תנאי במצטבר</w:t>
      </w:r>
      <w:r>
        <w:rPr>
          <w:rtl w:val="true"/>
        </w:rPr>
        <w:t xml:space="preserve">, </w:t>
      </w:r>
      <w:r>
        <w:rPr>
          <w:rtl w:val="true"/>
        </w:rPr>
        <w:t>וכי עילה אחרת להתערבות בגזר הדין – אין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עיינתי בגזר הדין</w:t>
      </w:r>
      <w:r>
        <w:rPr>
          <w:rtl w:val="true"/>
        </w:rPr>
        <w:t xml:space="preserve">, </w:t>
      </w:r>
      <w:r>
        <w:rPr>
          <w:rtl w:val="true"/>
        </w:rPr>
        <w:t>ונתתי דעתי על טענות הצדדים</w:t>
      </w:r>
      <w:r>
        <w:rPr>
          <w:rtl w:val="true"/>
        </w:rPr>
        <w:t xml:space="preserve">, </w:t>
      </w:r>
      <w:r>
        <w:rPr>
          <w:rtl w:val="true"/>
        </w:rPr>
        <w:t>מזה ומזה</w:t>
      </w:r>
      <w:r>
        <w:rPr>
          <w:rtl w:val="true"/>
        </w:rPr>
        <w:t xml:space="preserve">, </w:t>
      </w:r>
      <w:r>
        <w:rPr>
          <w:rtl w:val="true"/>
        </w:rPr>
        <w:t>בכתב 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לאחר ששקלתי את הדברים</w:t>
      </w:r>
      <w:r>
        <w:rPr>
          <w:rtl w:val="true"/>
        </w:rPr>
        <w:t xml:space="preserve">, </w:t>
      </w:r>
      <w:r>
        <w:rPr>
          <w:rtl w:val="true"/>
        </w:rPr>
        <w:t>בשים לב למידת התערבותה של ערכאת הערעור בעונש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>אשר תֵעשה במשורה</w:t>
      </w:r>
      <w:r>
        <w:rPr>
          <w:rtl w:val="true"/>
        </w:rPr>
        <w:t xml:space="preserve">, </w:t>
      </w:r>
      <w:r>
        <w:rPr>
          <w:rtl w:val="true"/>
        </w:rPr>
        <w:t>כאשר נפלה טעות מהותית בגזר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או נמצאה חריגה קיצונית ממדיניות הענישה הנהוגה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, </w:t>
      </w:r>
      <w:r>
        <w:rPr>
          <w:rtl w:val="true"/>
        </w:rPr>
        <w:t>מבין רבים</w:t>
      </w:r>
      <w:r>
        <w:rPr>
          <w:rtl w:val="true"/>
        </w:rPr>
        <w:t xml:space="preserve">: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7069/20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חדיר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11.2.2021</w:t>
      </w:r>
      <w:r>
        <w:rPr>
          <w:rtl w:val="true"/>
        </w:rPr>
        <w:t xml:space="preserve">)), </w:t>
      </w:r>
      <w:r>
        <w:rPr>
          <w:rtl w:val="true"/>
        </w:rPr>
        <w:t>באתי לכלל מסקנה כי אין מקום להתערב בגזר הדין</w:t>
      </w:r>
      <w:r>
        <w:rPr>
          <w:rtl w:val="true"/>
        </w:rPr>
        <w:t xml:space="preserve">; </w:t>
      </w:r>
      <w:r>
        <w:rPr>
          <w:rtl w:val="true"/>
        </w:rPr>
        <w:t>לא כל שכן בקביעה כי עונש המאסר על</w:t>
      </w:r>
      <w:r>
        <w:rPr>
          <w:rtl w:val="true"/>
        </w:rPr>
        <w:t>-</w:t>
      </w:r>
      <w:r>
        <w:rPr>
          <w:rtl w:val="true"/>
        </w:rPr>
        <w:t>תנאי יופעל במצטבר</w:t>
      </w:r>
      <w:r>
        <w:rPr>
          <w:rtl w:val="true"/>
        </w:rPr>
        <w:t xml:space="preserve">. </w:t>
      </w:r>
      <w:r>
        <w:rPr>
          <w:rtl w:val="true"/>
        </w:rPr>
        <w:t>אציע אפוא לחברַי להורות על דחיית הערעור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hyperlink r:id="rId1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אוסר על נשיאה או הובלה של 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רשות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האיסור נועד להגן על ערך חיי האדם</w:t>
      </w:r>
      <w:r>
        <w:rPr>
          <w:rtl w:val="true"/>
        </w:rPr>
        <w:t xml:space="preserve">, </w:t>
      </w:r>
      <w:r>
        <w:rPr>
          <w:rtl w:val="true"/>
        </w:rPr>
        <w:t>שלמות גופו ונפשו</w:t>
      </w:r>
      <w:r>
        <w:rPr>
          <w:rtl w:val="true"/>
        </w:rPr>
        <w:t xml:space="preserve">, </w:t>
      </w:r>
      <w:r>
        <w:rPr>
          <w:rtl w:val="true"/>
        </w:rPr>
        <w:t>כמו גם לקדם את השמירה על הסדר הציבורי ואורח חיים תקין</w:t>
      </w:r>
      <w:r>
        <w:rPr>
          <w:rtl w:val="true"/>
        </w:rPr>
        <w:t xml:space="preserve">, </w:t>
      </w:r>
      <w:r>
        <w:rPr>
          <w:rtl w:val="true"/>
        </w:rPr>
        <w:t xml:space="preserve">שלו ובטוח </w:t>
      </w:r>
      <w:r>
        <w:rPr>
          <w:rtl w:val="true"/>
        </w:rPr>
        <w:t>(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14.02.2021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Century"/>
          <w:sz w:val="22"/>
          <w:sz w:val="22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);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8017/20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(</w:t>
      </w:r>
      <w:r>
        <w:rPr/>
        <w:t>22.12.2020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)). </w:t>
      </w:r>
      <w:r>
        <w:rPr>
          <w:rtl w:val="true"/>
        </w:rPr>
        <w:t>עבירה זו</w:t>
      </w:r>
      <w:r>
        <w:rPr>
          <w:rtl w:val="true"/>
        </w:rPr>
        <w:t xml:space="preserve">, </w:t>
      </w:r>
      <w:r>
        <w:rPr>
          <w:rtl w:val="true"/>
        </w:rPr>
        <w:t>כמו יתר עבירות הנשק</w:t>
      </w:r>
      <w:r>
        <w:rPr>
          <w:rtl w:val="true"/>
        </w:rPr>
        <w:t xml:space="preserve">, </w:t>
      </w:r>
      <w:r>
        <w:rPr>
          <w:rtl w:val="true"/>
        </w:rPr>
        <w:t>נועדה למנוע התנהגות מסוכנת</w:t>
      </w:r>
      <w:r>
        <w:rPr>
          <w:rtl w:val="true"/>
        </w:rPr>
        <w:t xml:space="preserve">, </w:t>
      </w:r>
      <w:r>
        <w:rPr>
          <w:rtl w:val="true"/>
        </w:rPr>
        <w:t>ולמזער את הפוטנציאל לגרימת נזקים חמורים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נשיאה והובלה של 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הריהי לעיתים רק הסנונית הראשונה</w:t>
      </w:r>
      <w:r>
        <w:rPr>
          <w:rtl w:val="true"/>
        </w:rPr>
        <w:t xml:space="preserve">, </w:t>
      </w:r>
      <w:r>
        <w:rPr>
          <w:rtl w:val="true"/>
        </w:rPr>
        <w:t>בואכה מעשים חמורים יותר – חבלה חמורה</w:t>
      </w:r>
      <w:r>
        <w:rPr>
          <w:rtl w:val="true"/>
        </w:rPr>
        <w:t xml:space="preserve">, </w:t>
      </w:r>
      <w:r>
        <w:rPr>
          <w:rtl w:val="true"/>
        </w:rPr>
        <w:t>שוד מזוין</w:t>
      </w:r>
      <w:r>
        <w:rPr>
          <w:rtl w:val="true"/>
        </w:rPr>
        <w:t xml:space="preserve">, </w:t>
      </w:r>
      <w:r>
        <w:rPr>
          <w:rtl w:val="true"/>
        </w:rPr>
        <w:t>רצח</w:t>
      </w:r>
      <w:r>
        <w:rPr>
          <w:rtl w:val="true"/>
        </w:rPr>
        <w:t xml:space="preserve">, </w:t>
      </w:r>
      <w:r>
        <w:rPr>
          <w:rtl w:val="true"/>
        </w:rPr>
        <w:t xml:space="preserve">וכיוצא באלה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מזוז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); 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116/13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וקנין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 (</w:t>
      </w:r>
      <w:r>
        <w:rPr/>
        <w:t>31.7.2013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לא אחת צוין</w:t>
      </w:r>
      <w:r>
        <w:rPr>
          <w:rtl w:val="true"/>
        </w:rPr>
        <w:t xml:space="preserve">, </w:t>
      </w:r>
      <w:r>
        <w:rPr>
          <w:rtl w:val="true"/>
        </w:rPr>
        <w:t>כי למרבה הצער</w:t>
      </w:r>
      <w:r>
        <w:rPr>
          <w:rtl w:val="true"/>
        </w:rPr>
        <w:t xml:space="preserve">, </w:t>
      </w:r>
      <w:r>
        <w:rPr>
          <w:rtl w:val="true"/>
        </w:rPr>
        <w:t>חרף האיסור שבדין</w:t>
      </w:r>
      <w:r>
        <w:rPr>
          <w:rtl w:val="true"/>
        </w:rPr>
        <w:t xml:space="preserve">, </w:t>
      </w:r>
      <w:r>
        <w:rPr>
          <w:rtl w:val="true"/>
        </w:rPr>
        <w:t>הפכה תופעת השימוש בנשק חם למכת מדינה</w:t>
      </w:r>
      <w:r>
        <w:rPr>
          <w:rtl w:val="true"/>
        </w:rPr>
        <w:t xml:space="preserve">. </w:t>
      </w:r>
      <w:r>
        <w:rPr>
          <w:rtl w:val="true"/>
        </w:rPr>
        <w:t>בעקבות זאת</w:t>
      </w:r>
      <w:r>
        <w:rPr>
          <w:rtl w:val="true"/>
        </w:rPr>
        <w:t xml:space="preserve">, </w:t>
      </w:r>
      <w:r>
        <w:rPr>
          <w:rtl w:val="true"/>
        </w:rPr>
        <w:t>לשם הרתעה</w:t>
      </w:r>
      <w:r>
        <w:rPr>
          <w:rtl w:val="true"/>
        </w:rPr>
        <w:t xml:space="preserve">, </w:t>
      </w:r>
      <w:r>
        <w:rPr>
          <w:rtl w:val="true"/>
        </w:rPr>
        <w:t xml:space="preserve">ניכרת בפסיקה מגמה של החמרה הדרגתית בענישה על עבירות הנשק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שיבלי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30.12.2020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שיבלי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גריפאת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); </w:t>
      </w:r>
      <w:r>
        <w:rPr>
          <w:rtl w:val="true"/>
        </w:rPr>
        <w:t xml:space="preserve">לעיתים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השעה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צריכה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לכך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בבלי</w:t>
      </w:r>
      <w:r>
        <w:rPr>
          <w:rtl w:val="true"/>
        </w:rPr>
        <w:t xml:space="preserve">, </w:t>
      </w:r>
      <w:r>
        <w:rPr>
          <w:rtl w:val="true"/>
        </w:rPr>
        <w:t>סנהדרין מו</w:t>
      </w:r>
      <w:r>
        <w:rPr>
          <w:rtl w:val="true"/>
        </w:rPr>
        <w:t xml:space="preserve">,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ומן הכלל אל הפרט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 מצאתי כי נפלה שגגה בבחינת נסיבות ביצוע העבירה</w:t>
      </w:r>
      <w:r>
        <w:rPr>
          <w:rtl w:val="true"/>
        </w:rPr>
        <w:t xml:space="preserve">, </w:t>
      </w:r>
      <w:r>
        <w:rPr>
          <w:rtl w:val="true"/>
        </w:rPr>
        <w:t>לצורך קביעת מתחם הענישה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לאחר תיקון כתב האישום יוחס לנזאר ביצוע עבירה של נשיאה והובלה של 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), </w:t>
      </w:r>
      <w:r>
        <w:rPr>
          <w:rtl w:val="true"/>
        </w:rPr>
        <w:t xml:space="preserve">תוך שנמחק האישום בגין ביצוע עבירה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ירי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 xml:space="preserve">המדברת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"[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]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מנשק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[...]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באזור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מגורים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שם</w:t>
      </w:r>
      <w:r>
        <w:rPr>
          <w:rtl w:val="true"/>
        </w:rPr>
        <w:t xml:space="preserve">,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340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)).</w:t>
        </w:r>
      </w:hyperlink>
      <w:r>
        <w:rPr>
          <w:rtl w:val="true"/>
        </w:rPr>
        <w:t xml:space="preserve">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כעולה מעובדות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לא ניתן לייחס לנזאר ירי באזור מגורים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בכתב האישום המתוקן צוין במפורש כי בוצע ירי בסביבת מגורים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 אחד משלושת יושבי הרכב</w:t>
      </w:r>
      <w:r>
        <w:rPr>
          <w:rtl w:val="true"/>
        </w:rPr>
        <w:t xml:space="preserve">. </w:t>
      </w:r>
      <w:r>
        <w:rPr>
          <w:rtl w:val="true"/>
        </w:rPr>
        <w:t>נסיבה זו אופפת את ביצוע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ובצדק ראה בית המשפט המחוזי כי יש לקחתהּ בחשבון לצורך קביעת המתחם </w:t>
      </w:r>
      <w:r>
        <w:rPr>
          <w:rtl w:val="true"/>
        </w:rPr>
        <w:t>(</w:t>
      </w:r>
      <w:hyperlink r:id="rId21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9702/16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אלוליאיה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פסקה 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13.9.2017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אלוליאיה</w:t>
      </w:r>
      <w:r>
        <w:rPr>
          <w:rtl w:val="true"/>
        </w:rPr>
        <w:t xml:space="preserve">)). </w:t>
      </w:r>
      <w:r>
        <w:rPr>
          <w:rtl w:val="true"/>
        </w:rPr>
        <w:t>גם אם נזאר לא היה זה שלחץ על ההדק</w:t>
      </w:r>
      <w:r>
        <w:rPr>
          <w:rtl w:val="true"/>
        </w:rPr>
        <w:t xml:space="preserve">, </w:t>
      </w:r>
      <w:r>
        <w:rPr>
          <w:rtl w:val="true"/>
        </w:rPr>
        <w:t xml:space="preserve">הרי שאירועי אותו לילה לא הסתכמו אך </w:t>
      </w:r>
      <w:r>
        <w:rPr>
          <w:rtl w:val="true"/>
        </w:rPr>
        <w:t>'</w:t>
      </w:r>
      <w:r>
        <w:rPr>
          <w:rtl w:val="true"/>
        </w:rPr>
        <w:t>בנשיאה והובלה</w:t>
      </w:r>
      <w:r>
        <w:rPr>
          <w:rtl w:val="true"/>
        </w:rPr>
        <w:t xml:space="preserve">' </w:t>
      </w:r>
      <w:r>
        <w:rPr>
          <w:rtl w:val="true"/>
        </w:rPr>
        <w:t>של 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אלא בירי של ממש</w:t>
      </w:r>
      <w:r>
        <w:rPr>
          <w:rtl w:val="true"/>
        </w:rPr>
        <w:t xml:space="preserve">, </w:t>
      </w:r>
      <w:r>
        <w:rPr>
          <w:rtl w:val="true"/>
        </w:rPr>
        <w:t>בקרבת בתי הכפר והמסגד</w:t>
      </w:r>
      <w:r>
        <w:rPr>
          <w:rtl w:val="true"/>
        </w:rPr>
        <w:t xml:space="preserve">. </w:t>
      </w:r>
      <w:r>
        <w:rPr>
          <w:rtl w:val="true"/>
        </w:rPr>
        <w:t>כפי ששנינו</w:t>
      </w:r>
      <w:r>
        <w:rPr>
          <w:rtl w:val="true"/>
        </w:rPr>
        <w:t xml:space="preserve">, </w:t>
      </w:r>
      <w:r>
        <w:rPr>
          <w:rtl w:val="true"/>
        </w:rPr>
        <w:t>עבירות בנשק קשורות בטבורן לנזק שעלול להיווצר כתוצאה מן השימוש בכלי</w:t>
      </w:r>
      <w:r>
        <w:rPr>
          <w:rtl w:val="true"/>
        </w:rPr>
        <w:t>-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ברי כי להבדיל ממקרה שבו לא נעשה שימוש בכלי</w:t>
      </w:r>
      <w:r>
        <w:rPr>
          <w:rtl w:val="true"/>
        </w:rPr>
        <w:t>-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כאשר נורו יריות</w:t>
      </w:r>
      <w:r>
        <w:rPr>
          <w:rtl w:val="true"/>
        </w:rPr>
        <w:t xml:space="preserve">, </w:t>
      </w:r>
      <w:r>
        <w:rPr>
          <w:rtl w:val="true"/>
        </w:rPr>
        <w:t>פוטנציאל הנזק</w:t>
      </w:r>
      <w:r>
        <w:rPr>
          <w:rtl w:val="true"/>
        </w:rPr>
        <w:t xml:space="preserve">, </w:t>
      </w:r>
      <w:r>
        <w:rPr>
          <w:rtl w:val="true"/>
        </w:rPr>
        <w:t>אף אם לא התממש – מתעצם</w:t>
      </w:r>
      <w:r>
        <w:rPr>
          <w:rtl w:val="true"/>
        </w:rPr>
        <w:t xml:space="preserve">; </w:t>
      </w:r>
      <w:r>
        <w:rPr>
          <w:rtl w:val="true"/>
        </w:rPr>
        <w:t>ועם התעצמותו – עולה מידת החומרה</w:t>
      </w:r>
      <w:r>
        <w:rPr>
          <w:rtl w:val="true"/>
        </w:rPr>
        <w:t xml:space="preserve">. </w:t>
      </w:r>
      <w:r>
        <w:rPr>
          <w:rtl w:val="true"/>
        </w:rPr>
        <w:t>בדין אפוא קבע בית המשפט המחוזי כי יש להתחשב בנסיבות הללו</w:t>
      </w:r>
      <w:r>
        <w:rPr>
          <w:rtl w:val="true"/>
        </w:rPr>
        <w:t xml:space="preserve">, </w:t>
      </w:r>
      <w:r>
        <w:rPr>
          <w:rtl w:val="true"/>
        </w:rPr>
        <w:t>כשיקול לחומר</w:t>
      </w:r>
      <w:r>
        <w:rPr>
          <w:rtl w:val="true"/>
        </w:rPr>
        <w:t>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>גם בטענה כי העונש שנגזר חורג באופן קיצוני ממדיניות הענישה הנהוגה – לא מצאתי ממש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אפילו נפלו פגמים במלאכת קביעת מתחם העונש</w:t>
      </w:r>
      <w:r>
        <w:rPr>
          <w:rtl w:val="true"/>
        </w:rPr>
        <w:t xml:space="preserve">, </w:t>
      </w:r>
      <w:r>
        <w:rPr>
          <w:rtl w:val="true"/>
        </w:rPr>
        <w:t xml:space="preserve">כל עוד העונש שנגזר הולם את הנסיבות – לא תתערב ערכאת הערעור </w:t>
      </w:r>
      <w:r>
        <w:rPr>
          <w:rtl w:val="true"/>
        </w:rPr>
        <w:t>(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1419/19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29</w:t>
      </w:r>
      <w:r>
        <w:rPr>
          <w:rtl w:val="true"/>
        </w:rPr>
        <w:t xml:space="preserve"> (</w:t>
      </w:r>
      <w:r>
        <w:rPr/>
        <w:t>31.12.2020</w:t>
      </w:r>
      <w:r>
        <w:rPr>
          <w:rtl w:val="true"/>
        </w:rPr>
        <w:t xml:space="preserve">); 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8109/15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אביטן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9.6.2016</w:t>
      </w:r>
      <w:r>
        <w:rPr>
          <w:rtl w:val="true"/>
        </w:rPr>
        <w:t xml:space="preserve">)). </w:t>
      </w:r>
      <w:r>
        <w:rPr>
          <w:rtl w:val="true"/>
        </w:rPr>
        <w:t>עיון בפסיקה מעלה</w:t>
      </w:r>
      <w:r>
        <w:rPr>
          <w:rtl w:val="true"/>
        </w:rPr>
        <w:t xml:space="preserve">, </w:t>
      </w:r>
      <w:r>
        <w:rPr>
          <w:rtl w:val="true"/>
        </w:rPr>
        <w:t>כי במקרים אחרים של ביצוע עבירות בנשק</w:t>
      </w:r>
      <w:r>
        <w:rPr>
          <w:rtl w:val="true"/>
        </w:rPr>
        <w:t xml:space="preserve">, </w:t>
      </w:r>
      <w:r>
        <w:rPr>
          <w:rtl w:val="true"/>
        </w:rPr>
        <w:t>בנסיבות פחותות בחומרתן בהשוואה לענייננו</w:t>
      </w:r>
      <w:r>
        <w:rPr>
          <w:rtl w:val="true"/>
        </w:rPr>
        <w:t xml:space="preserve">, </w:t>
      </w:r>
      <w:r>
        <w:rPr>
          <w:rtl w:val="true"/>
        </w:rPr>
        <w:t xml:space="preserve">נגזרים עונשי מאסר בפועל </w:t>
      </w:r>
      <w:r>
        <w:rPr>
          <w:rFonts w:ascii="Century" w:hAnsi="Century" w:cs="Century"/>
          <w:sz w:val="22"/>
          <w:sz w:val="22"/>
          <w:rtl w:val="true"/>
        </w:rPr>
        <w:t>של כשנתיים</w:t>
      </w:r>
      <w:r>
        <w:rPr>
          <w:rFonts w:cs="Century" w:ascii="Century" w:hAnsi="Century"/>
          <w:sz w:val="22"/>
          <w:rtl w:val="true"/>
        </w:rPr>
        <w:t>-</w:t>
      </w:r>
      <w:r>
        <w:rPr>
          <w:rFonts w:ascii="Century" w:hAnsi="Century" w:cs="Century"/>
          <w:sz w:val="22"/>
          <w:sz w:val="22"/>
          <w:rtl w:val="true"/>
        </w:rPr>
        <w:t>ימים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ובהינתן נסיבות מחמירות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כבענייננו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עולה רף הענישה בהתאם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4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4329/10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25.10.2010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עמאר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29.11.2018</w:t>
      </w:r>
      <w:r>
        <w:rPr>
          <w:rtl w:val="true"/>
        </w:rPr>
        <w:t xml:space="preserve">); </w:t>
      </w:r>
      <w:hyperlink r:id="rId26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2892/13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עודתאללה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29.9.2013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באלי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>);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אלוליאיה</w:t>
      </w:r>
      <w:r>
        <w:rPr>
          <w:rFonts w:cs="Century" w:ascii="Century" w:hAnsi="Century"/>
          <w:sz w:val="22"/>
          <w:rtl w:val="true"/>
        </w:rPr>
        <w:t xml:space="preserve">; </w:t>
      </w:r>
      <w:hyperlink r:id="rId2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1658/20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מאחנה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21.6.2020</w:t>
      </w:r>
      <w:r>
        <w:rPr>
          <w:rFonts w:cs="Century" w:ascii="Century" w:hAnsi="Century"/>
          <w:sz w:val="22"/>
          <w:rtl w:val="true"/>
        </w:rPr>
        <w:t xml:space="preserve">)). </w:t>
      </w:r>
      <w:r>
        <w:rPr>
          <w:rFonts w:ascii="Century" w:hAnsi="Century" w:cs="Century"/>
          <w:sz w:val="22"/>
          <w:sz w:val="22"/>
          <w:rtl w:val="true"/>
        </w:rPr>
        <w:t>אפשר שעונשו של נזאר לא נגזר על הצד המקל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אולי גם ניתן למצוא בו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משום חריגה מסוימת מן הנהוג בכגון דא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עם 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ובשים לב למגמת ההחמרה במדיניות הענישה בעבירות הנשק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אינני סבור כי מדובר בחריגה משמעותית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שמצדיקה את התערבותנו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להפעלת עונש המאסר על</w:t>
      </w:r>
      <w:r>
        <w:rPr>
          <w:rtl w:val="true"/>
        </w:rPr>
        <w:t>-</w:t>
      </w:r>
      <w:r>
        <w:rPr>
          <w:rtl w:val="true"/>
        </w:rPr>
        <w:t>תנאי במצטבר</w:t>
      </w:r>
      <w:r>
        <w:rPr>
          <w:rtl w:val="true"/>
        </w:rPr>
        <w:t xml:space="preserve">. </w:t>
      </w:r>
      <w:r>
        <w:rPr>
          <w:rtl w:val="true"/>
        </w:rPr>
        <w:t>כאשר מופעל עונש מאסר על</w:t>
      </w:r>
      <w:r>
        <w:rPr>
          <w:rtl w:val="true"/>
        </w:rPr>
        <w:t>-</w:t>
      </w:r>
      <w:r>
        <w:rPr>
          <w:rtl w:val="true"/>
        </w:rPr>
        <w:t>תנאי בעקבות ביצוע עבירה נוספת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 xml:space="preserve">ירוצו תקופות המאסר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סטייה מנקודת המוצא תֵעשה רק מ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טעמים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שיירשמו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(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10173/16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טאהא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14.2.2017</w:t>
      </w:r>
      <w:r>
        <w:rPr>
          <w:rtl w:val="true"/>
        </w:rPr>
        <w:t xml:space="preserve">);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1944/20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אמארה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11</w:t>
      </w:r>
      <w:r>
        <w:rPr>
          <w:rtl w:val="true"/>
        </w:rPr>
        <w:t xml:space="preserve"> (</w:t>
      </w:r>
      <w:r>
        <w:rPr/>
        <w:t>2.9.2020</w:t>
      </w:r>
      <w:r>
        <w:rPr>
          <w:rtl w:val="true"/>
        </w:rPr>
        <w:t xml:space="preserve">)). </w:t>
      </w:r>
      <w:r>
        <w:rPr>
          <w:rtl w:val="true"/>
        </w:rPr>
        <w:t>הגם שלזכות נזאר עומדת הודאתו</w:t>
      </w:r>
      <w:r>
        <w:rPr>
          <w:rtl w:val="true"/>
        </w:rPr>
        <w:t xml:space="preserve">, </w:t>
      </w:r>
      <w:r>
        <w:rPr>
          <w:rtl w:val="true"/>
        </w:rPr>
        <w:t>יש להתחשב בכך שגם בהרשעתו הקודמת הביע חרטה</w:t>
      </w:r>
      <w:r>
        <w:rPr>
          <w:rtl w:val="true"/>
        </w:rPr>
        <w:t xml:space="preserve">, </w:t>
      </w:r>
      <w:r>
        <w:rPr>
          <w:rtl w:val="true"/>
        </w:rPr>
        <w:t>והצהיר כי בכוונתו לחדול מהתנהלותו הפסולה</w:t>
      </w:r>
      <w:r>
        <w:rPr>
          <w:rtl w:val="true"/>
        </w:rPr>
        <w:t xml:space="preserve">. </w:t>
      </w:r>
      <w:r>
        <w:rPr>
          <w:rtl w:val="true"/>
        </w:rPr>
        <w:t>אף על פי כן</w:t>
      </w:r>
      <w:r>
        <w:rPr>
          <w:rtl w:val="true"/>
        </w:rPr>
        <w:t xml:space="preserve">, </w:t>
      </w:r>
      <w:r>
        <w:rPr>
          <w:rtl w:val="true"/>
        </w:rPr>
        <w:t>עומדים אנו שוב במקום בו קיווינו שלא לעמוד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לא רק שיש להתחשב בעברו הפלילי</w:t>
      </w:r>
      <w:r>
        <w:rPr>
          <w:rtl w:val="true"/>
        </w:rPr>
        <w:t xml:space="preserve">, </w:t>
      </w:r>
      <w:r>
        <w:rPr>
          <w:rtl w:val="true"/>
        </w:rPr>
        <w:t>הרי שלאחר שהופרה התחייבותו בהרשעה הראשונה</w:t>
      </w:r>
      <w:r>
        <w:rPr>
          <w:rtl w:val="true"/>
        </w:rPr>
        <w:t xml:space="preserve">, </w:t>
      </w:r>
      <w:r>
        <w:rPr>
          <w:rtl w:val="true"/>
        </w:rPr>
        <w:t>פוחת במידת מה – אם כי ודאי לא מתבטל – המשקל שיש ליתן להצהרותיו הנוכחיות</w:t>
      </w:r>
      <w:r>
        <w:rPr>
          <w:rtl w:val="true"/>
        </w:rPr>
        <w:t xml:space="preserve">. </w:t>
      </w:r>
      <w:r>
        <w:rPr>
          <w:rtl w:val="true"/>
        </w:rPr>
        <w:t>ניתן רק לקוות – לטובתו</w:t>
      </w:r>
      <w:r>
        <w:rPr>
          <w:rtl w:val="true"/>
        </w:rPr>
        <w:t xml:space="preserve">, </w:t>
      </w:r>
      <w:r>
        <w:rPr>
          <w:rtl w:val="true"/>
        </w:rPr>
        <w:t>לטובת הציבור – שהפעם הזו יצליח נזאר לעמוד בהבטחותיו</w:t>
      </w:r>
      <w:r>
        <w:rPr>
          <w:rtl w:val="true"/>
        </w:rPr>
        <w:t xml:space="preserve">. </w:t>
      </w:r>
      <w:r>
        <w:rPr>
          <w:rtl w:val="true"/>
        </w:rPr>
        <w:t>נוכח האמור</w:t>
      </w:r>
      <w:r>
        <w:rPr>
          <w:rtl w:val="true"/>
        </w:rPr>
        <w:t xml:space="preserve">, </w:t>
      </w:r>
      <w:r>
        <w:rPr>
          <w:rtl w:val="true"/>
        </w:rPr>
        <w:t>אינני סבור כי יש טעמים חזקים דים כדי להצדיק חריגה מן הכלל</w:t>
      </w:r>
      <w:r>
        <w:rPr>
          <w:rtl w:val="true"/>
        </w:rPr>
        <w:t xml:space="preserve">; </w:t>
      </w:r>
      <w:r>
        <w:rPr>
          <w:rtl w:val="true"/>
        </w:rPr>
        <w:t>לא נפלה אפוא שגגה בקביעת בית המשפט המחוזי כי העונשים ירוצו במצטבר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לא נמצאה עילה להתערבותנו</w:t>
      </w:r>
      <w:r>
        <w:rPr>
          <w:rtl w:val="true"/>
        </w:rPr>
        <w:t xml:space="preserve">; </w:t>
      </w:r>
      <w:r>
        <w:rPr>
          <w:rtl w:val="true"/>
        </w:rPr>
        <w:t>לא ביחס לעונש שנגזר בגין ההרשעה הנוכחית</w:t>
      </w:r>
      <w:r>
        <w:rPr>
          <w:rtl w:val="true"/>
        </w:rPr>
        <w:t xml:space="preserve">, </w:t>
      </w:r>
      <w:r>
        <w:rPr>
          <w:rtl w:val="true"/>
        </w:rPr>
        <w:t>לא לגבי הקביעה כי עונש המאסר על</w:t>
      </w:r>
      <w:r>
        <w:rPr>
          <w:rtl w:val="true"/>
        </w:rPr>
        <w:t>-</w:t>
      </w:r>
      <w:r>
        <w:rPr>
          <w:rtl w:val="true"/>
        </w:rPr>
        <w:t>תנאי שהופעל ירוצה במצטבר</w:t>
      </w:r>
      <w:r>
        <w:rPr>
          <w:rtl w:val="true"/>
        </w:rPr>
        <w:t xml:space="preserve">. </w:t>
      </w:r>
      <w:r>
        <w:rPr>
          <w:rtl w:val="true"/>
        </w:rPr>
        <w:t>סבורני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לחברַי שנעשה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מזוז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וילנר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1"/>
        <w:spacing w:lineRule="auto" w:line="240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 xml:space="preserve">. </w:t>
      </w:r>
    </w:p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start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snapToGrid w:val="false"/>
              <w:ind w:end="0"/>
              <w:jc w:val="center"/>
              <w:rPr>
                <w:rFonts w:ascii="Times New Roman;Times New Roman" w:hAnsi="Times New Roman;Times New Roman" w:cs="Times New Roman;Times New Roman"/>
                <w:bCs/>
              </w:rPr>
            </w:pPr>
            <w:r>
              <w:rPr>
                <w:rFonts w:cs="Times New Roman;Times New Roman" w:ascii="Times New Roman;Times New Roman" w:hAnsi="Times New Roman;Times New Roman"/>
                <w:bCs/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סולברג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24.2.2021</w:t>
      </w:r>
      <w:r>
        <w:rPr>
          <w:rtl w:val="true"/>
        </w:rPr>
        <w:t xml:space="preserve">). </w:t>
      </w:r>
      <w:bookmarkEnd w:id="17"/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start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color w:val="FFFFFF"/>
                <w:sz w:val="2"/>
                <w:szCs w:val="2"/>
              </w:rPr>
              <w:t>54678313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 xml:space="preserve">ש ו פ ט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tabs>
                <w:tab w:val="clear" w:pos="720"/>
                <w:tab w:val="left" w:pos="3209" w:leader="none"/>
                <w:tab w:val="left" w:pos="6753" w:leader="none"/>
              </w:tabs>
              <w:ind w:end="0"/>
              <w:jc w:val="both"/>
              <w:rPr>
                <w:rFonts w:ascii="Times New Roman;Times New Roman" w:hAnsi="Times New Roman;Times New Roman" w:cs="Times New Roman;Times New Roman"/>
                <w:b/>
              </w:rPr>
            </w:pPr>
            <w:r>
              <w:rPr>
                <w:rFonts w:cs="Times New Roman;Times New Roman" w:ascii="Times New Roman;Times New Roman" w:hAnsi="Times New Roman;Times New Roman"/>
                <w:b/>
                <w:rtl w:val="true"/>
              </w:rPr>
              <w:t xml:space="preserve">        </w:t>
            </w:r>
            <w:r>
              <w:rPr>
                <w:rFonts w:ascii="Times New Roman;Times New Roman" w:hAnsi="Times New Roman;Times New Roman" w:cs="Times New Roman;Times New Roman"/>
                <w:b/>
                <w:b/>
                <w:rtl w:val="true"/>
              </w:rPr>
              <w:t>ש ו פ ט 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20055220</w:t>
      </w:r>
      <w:r>
        <w:rPr>
          <w:sz w:val="16"/>
          <w:rtl w:val="true"/>
        </w:rPr>
        <w:t>_</w:t>
      </w:r>
      <w:r>
        <w:rPr>
          <w:sz w:val="16"/>
        </w:rPr>
        <w:t>O03.docx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עד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54678313-5522/20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8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5522/20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נזאר חלייחל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  <w:textAlignment w:val="auto"/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900295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58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40a.b.1" TargetMode="External"/><Relationship Id="rId7" Type="http://schemas.openxmlformats.org/officeDocument/2006/relationships/hyperlink" Target="http://www.nevo.co.il/case/25900295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27078678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case/27309272" TargetMode="External"/><Relationship Id="rId14" Type="http://schemas.openxmlformats.org/officeDocument/2006/relationships/hyperlink" Target="http://www.nevo.co.il/case/27171364" TargetMode="External"/><Relationship Id="rId15" Type="http://schemas.openxmlformats.org/officeDocument/2006/relationships/hyperlink" Target="http://www.nevo.co.il/case/25824863" TargetMode="External"/><Relationship Id="rId16" Type="http://schemas.openxmlformats.org/officeDocument/2006/relationships/hyperlink" Target="http://www.nevo.co.il/case/5568354" TargetMode="External"/><Relationship Id="rId17" Type="http://schemas.openxmlformats.org/officeDocument/2006/relationships/hyperlink" Target="http://www.nevo.co.il/case/26934681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0a.b.1" TargetMode="External"/><Relationship Id="rId21" Type="http://schemas.openxmlformats.org/officeDocument/2006/relationships/hyperlink" Target="http://www.nevo.co.il/case/21771409" TargetMode="External"/><Relationship Id="rId22" Type="http://schemas.openxmlformats.org/officeDocument/2006/relationships/hyperlink" Target="http://www.nevo.co.il/case/25481049" TargetMode="External"/><Relationship Id="rId23" Type="http://schemas.openxmlformats.org/officeDocument/2006/relationships/hyperlink" Target="http://www.nevo.co.il/case/20683368" TargetMode="External"/><Relationship Id="rId24" Type="http://schemas.openxmlformats.org/officeDocument/2006/relationships/hyperlink" Target="http://www.nevo.co.il/case/5950172" TargetMode="External"/><Relationship Id="rId25" Type="http://schemas.openxmlformats.org/officeDocument/2006/relationships/hyperlink" Target="http://www.nevo.co.il/case/24269595" TargetMode="External"/><Relationship Id="rId26" Type="http://schemas.openxmlformats.org/officeDocument/2006/relationships/hyperlink" Target="http://www.nevo.co.il/case/6949290" TargetMode="External"/><Relationship Id="rId27" Type="http://schemas.openxmlformats.org/officeDocument/2006/relationships/hyperlink" Target="http://www.nevo.co.il/case/21474168" TargetMode="External"/><Relationship Id="rId28" Type="http://schemas.openxmlformats.org/officeDocument/2006/relationships/hyperlink" Target="http://www.nevo.co.il/case/26510968" TargetMode="External"/><Relationship Id="rId29" Type="http://schemas.openxmlformats.org/officeDocument/2006/relationships/hyperlink" Target="http://www.nevo.co.il/law/70301/58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case/21914030" TargetMode="External"/><Relationship Id="rId32" Type="http://schemas.openxmlformats.org/officeDocument/2006/relationships/hyperlink" Target="http://www.nevo.co.il/case/26538254" TargetMode="External"/><Relationship Id="rId33" Type="http://schemas.openxmlformats.org/officeDocument/2006/relationships/hyperlink" Target="http://supreme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numbering" Target="numbering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2021-02-25T10:06:00Z</dcterms:created>
  <dc:creator>h4</dc:creator>
  <dc:description/>
  <cp:keywords/>
  <dc:language>en-IL</dc:language>
  <cp:lastModifiedBy>orly</cp:lastModifiedBy>
  <cp:lastPrinted>2021-02-24T16:08:00Z</cp:lastPrinted>
  <dcterms:modified xsi:type="dcterms:W3CDTF">2021-02-25T10:06:00Z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נזאר חלייחל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25900295:2;27078678;27309272;27171364;25824863;5568354;26934681;21771409;25481049;20683368;5950172;24269595;6949290;21474168;26510968;21914030;26538254</vt:lpwstr>
  </property>
  <property fmtid="{D5CDD505-2E9C-101B-9397-08002B2CF9AE}" pid="9" name="CITY">
    <vt:lpwstr/>
  </property>
  <property fmtid="{D5CDD505-2E9C-101B-9397-08002B2CF9AE}" pid="10" name="DATE">
    <vt:lpwstr>20210224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סולברג;מ' מזוז;י' וילנר</vt:lpwstr>
  </property>
  <property fmtid="{D5CDD505-2E9C-101B-9397-08002B2CF9AE}" pid="14" name="LAWLISTTMP1">
    <vt:lpwstr>70301/144.b:3;340a.b.1;058</vt:lpwstr>
  </property>
  <property fmtid="{D5CDD505-2E9C-101B-9397-08002B2CF9AE}" pid="15" name="LAWYER">
    <vt:lpwstr>אופיר ביתן;פרופ' מוחמד ס. ותד;סיף אלדין ותד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נשק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דרכי ענישה: עונשים מצטברים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13800;8982;8995;8966</vt:lpwstr>
  </property>
  <property fmtid="{D5CDD505-2E9C-101B-9397-08002B2CF9AE}" pid="59" name="PADIDATE">
    <vt:lpwstr>20210225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5522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410120210224</vt:lpwstr>
  </property>
  <property fmtid="{D5CDD505-2E9C-101B-9397-08002B2CF9AE}" pid="69" name="TYPE_N_DATE">
    <vt:lpwstr>41020210224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