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5536/18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5855/18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5939/18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4"/>
        <w:gridCol w:w="4820"/>
      </w:tblGrid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4"/>
        <w:gridCol w:w="4820"/>
      </w:tblGrid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5536/18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עמאר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אלבייאע</w:t>
            </w:r>
          </w:p>
        </w:tc>
      </w:tr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4"/>
        <w:gridCol w:w="4820"/>
      </w:tblGrid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5855/18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עראמין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4"/>
        <w:gridCol w:w="4820"/>
      </w:tblGrid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5939/18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3"/>
        <w:gridCol w:w="4820"/>
      </w:tblGrid>
      <w:tr>
        <w:trPr/>
        <w:tc>
          <w:tcPr>
            <w:tcW w:w="354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4"/>
        <w:gridCol w:w="4820"/>
      </w:tblGrid>
      <w:tr>
        <w:trPr>
          <w:trHeight w:val="287" w:hRule="atLeast"/>
        </w:trPr>
        <w:tc>
          <w:tcPr>
            <w:tcW w:w="354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בכל הערעורים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4820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0"/>
      </w:tblGrid>
      <w:tr>
        <w:trPr/>
        <w:tc>
          <w:tcPr>
            <w:tcW w:w="4820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הדין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הדין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369-10-16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28.3.2018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26.6.2018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נועם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פלדמן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3"/>
        <w:gridCol w:w="2410"/>
        <w:gridCol w:w="2410"/>
      </w:tblGrid>
      <w:tr>
        <w:trPr/>
        <w:tc>
          <w:tcPr>
            <w:tcW w:w="3543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41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בניסן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41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08.04.2019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3"/>
        <w:gridCol w:w="4820"/>
      </w:tblGrid>
      <w:tr>
        <w:trPr/>
        <w:tc>
          <w:tcPr>
            <w:tcW w:w="3543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5536/18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3"/>
        <w:gridCol w:w="4820"/>
      </w:tblGrid>
      <w:tr>
        <w:trPr/>
        <w:tc>
          <w:tcPr>
            <w:tcW w:w="3543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5855/18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ומעה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543"/>
        <w:gridCol w:w="482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543" w:type="dxa"/>
            <w:tcBorders/>
            <w:tcMar>
              <w:start w:w="108" w:type="dxa"/>
              <w:end w:w="108" w:type="dxa"/>
            </w:tcMar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5939/18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  <w:tcMar>
              <w:start w:w="108" w:type="dxa"/>
              <w:end w:w="108" w:type="dxa"/>
            </w:tcMar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543" w:type="dxa"/>
            <w:tcBorders/>
            <w:tcMar>
              <w:start w:w="108" w:type="dxa"/>
              <w:end w:w="108" w:type="dxa"/>
            </w:tcMar>
          </w:tcPr>
          <w:p>
            <w:pPr>
              <w:pStyle w:val="Ruller3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  <w:tcMar>
              <w:start w:w="108" w:type="dxa"/>
              <w:end w:w="108" w:type="dxa"/>
            </w:tcMar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3"/>
        <w:gridCol w:w="4820"/>
      </w:tblGrid>
      <w:tr>
        <w:trPr/>
        <w:tc>
          <w:tcPr>
            <w:tcW w:w="3543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הורשעו בדין בעבירה של קשירת קשר לסיוע לאויב במלחמה לפי סעיף </w:t>
      </w:r>
      <w:r>
        <w:rPr>
          <w:rFonts w:cs="Times New Roman" w:ascii="Times New Roman" w:hAnsi="Times New Roman"/>
          <w:spacing w:val="0"/>
          <w:szCs w:val="26"/>
        </w:rPr>
        <w:t>99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העונשים שהוטלו עליהם הולמים את המעשים החמורים שביצעו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הודגש כי יש לפרש את המונח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המסייעת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רחב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כהתנהגות המשתלבת באופן מוחשי וקונקרטי בפעילות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שמבצעה מהווה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מבחינת סוג הפעילות ותוצאותיה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ידו הארוכה של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הקביעה כי מעשה טרור יחשב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מסייע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נדרשת קביעה דווקנית לפיה מטרת אותו מעשה להביא לערעור עצם קיומה של מדינת ישראל כמדינה ריבונית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סיוע לאויב במלחמה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ביטחון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כולם הורשעו בעבירות נגד ביטחון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5939/18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על פי הודאתו בכל העבירות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5536/18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אלבייאע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5855/18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עראמין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שמיעת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בחלק מהעבירות שיוחסו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גזר על אלבייאע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על יתר המערערים 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כלל המערערים נגזר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מערערים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אלבייאע ועמר מערערים גם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במוקד ערעורם ניצבת השאלה האם מעשיהם באים בגדרי העבירה של קשירת קשר לסיוע לאויב במלחמה לפי סעיפים </w:t>
      </w:r>
      <w:r>
        <w:rPr>
          <w:rFonts w:cs="Times New Roman" w:ascii="Times New Roman" w:hAnsi="Times New Roman"/>
          <w:spacing w:val="0"/>
          <w:sz w:val="24"/>
          <w:szCs w:val="26"/>
        </w:rPr>
        <w:t>92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הנשיאה חיות והשופט 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לערעור על הכרעת הדין שענינו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 לסיוע לאויב במלחמה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התגבשות הקשר הפלילי לא נדרשת הוכחת הסכמה על פרטי הביצוע הספציפיים של התוכנית 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הוכחת תוכנית קונקרטית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להוכיח רצון משותף לבצע בצוותא עבירה מסוג מסוים אם כי לאו דווקא עבירה קונקרטית במועד מוגדר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אלבייאע וחמיד נוצר מפגש רצונות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שתוצאתו הסכמה לבצע בצוותא פיגועים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והתגבשה עבירת הקשר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לעמר ועראמין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השניים הסכימו לבצע בצוותא פיגוע המוני וחטיפת חייל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בממצאים אלה אין מקום להתערב בהיותם מבוססים בחומר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העולה כדי קשירת קשר לביצוע העבירה אף אם לא השתכללו לתכנית קונקרטית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המערערים כי מעשיהם אינם עולים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לאויב במלחמה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99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 כי זוהי עבירה התנהגותית המציבה את מטרת מבצעהּ – סיוע לאויב – כציר מרכזי של יסודותיה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היסוד הנפשי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לעמוד על כוונתו של המבצע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ניתן להסתייע בהלכת הצפיות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מודעות לקיומה של הסתברות קרובה לוודאי בדבר התרחשות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שקולה כנגד החפץ הממשי להשיגה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מחלוקת נתגלעה בין השופט לוי לנשיא ברק לעניין קשת העבירות שיכללו במסגרת הרכיב העובדתי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לסייע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גישת השופט לוי לפיה לרוב יהיו אלה מעשים שחומרתם מופלגת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ואשר לא נועדו כדי לגרום לפגיעה או נזק נקודתיים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נודעת להם מטרה רחבה וכוללת יותר – להביא לערעור עצם קיומה של מדינת ישראל כמדינה ריבונית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התקבלה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גישת הנשיא ברק לפיה יש לפרש את המונח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המסייעת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רחב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כהתנהגות המשתלבת באופן מוחשי וקונקרטי בפעילות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שמבצעה מהווה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מבחינת סוג הפעילות ותוצאותיה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ידו הארוכה של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קבעה כי די במעשים שיש בהם כדי לסכן את ביטחון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השתלבות במאמצי אויבי המדינה לפגוע בה וביושביה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למלא אחר היסוד העובדתי הנדרש לקיומה של עבירת הסיוע לאויב במלחמה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מעשים שונים נקבעו ככאלו המסייעים לאויב במלחמה שהמשותף להם הוא היות מבצעי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ידם הארוכה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אויבי ישראל בפעילותם החבלנית כלפי הציבור הישראלי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פרשנות זו ראויה גם מבחינה נורמטיבית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פעילות ארגוני הטרור המבקשים לפגוע בביטחון הציבור הישראלי מתפרשת על פני טווח רחב של התנהגויות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שבכולן יש כדי לזרוע פחד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חרדה וטרור בלבבות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מניעת התנהגויות אלו בדרך של הרתעה מעשייתן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ולשם מתן גמול הולם למבצעי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מן הראוי להעניק למונח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המסייעת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 מרחיבה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 שלצורך הקביעה כי מעשה טרור יחשב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מסייע לאויב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תידרש קביעה דווקנית לפיה מטרת אותו מעשה להביא לערעור עצם קיומה של מדינת ישראל כמדינה ריבונית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פרשנות זו תאפשר לסעיף </w:t>
      </w:r>
      <w:r>
        <w:rPr>
          <w:rFonts w:cs="Times New Roman" w:ascii="Times New Roman" w:hAnsi="Times New Roman"/>
          <w:spacing w:val="0"/>
          <w:szCs w:val="26"/>
        </w:rPr>
        <w:t>99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לשמש אכסניה לקשת רחבה של פעולות שהוכח כי מטרת מבצען להשתלב באופן מוחשי וקונקרטי בפעילות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שהוא משמש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ידו הארוכה של האויב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תכניות המערערים משקפות את מודעותם לקיומה של הסתברות קרובה לוודאי בדבר הסיוע שיש במעשים אלו לאויביה של מדינת 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העונש שהוטלה על המערערים הולמת את חומרת מעשיהם ואינה חורגת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bookmarkStart w:id="14" w:name="Start_Write"/>
      <w:bookmarkEnd w:id="14"/>
      <w:r>
        <w:rPr>
          <w:rtl w:val="true"/>
        </w:rPr>
        <w:t xml:space="preserve">לפנינו שלושה ערעורים על פסק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אברבנאל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369-10-16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/>
        <w:t>28.3.2018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26.6.2018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5939/18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חמיד</w:t>
      </w:r>
      <w:r>
        <w:rPr>
          <w:rtl w:val="true"/>
        </w:rPr>
        <w:t xml:space="preserve">) </w:t>
      </w:r>
      <w:r>
        <w:rPr>
          <w:rtl w:val="true"/>
        </w:rPr>
        <w:t xml:space="preserve">הורשע על פי הודאתו </w:t>
      </w:r>
      <w:r>
        <w:rPr>
          <w:rtl w:val="true"/>
        </w:rPr>
        <w:t xml:space="preserve">במסגרת הסדר טיעון </w:t>
      </w:r>
      <w:r>
        <w:rPr>
          <w:rtl w:val="true"/>
        </w:rPr>
        <w:t>בכל העבירות שיוחסו לו בכתב האישום המתוקן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המערערים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5536/18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אלבייאע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cs="Century"/>
          <w:sz w:val="22"/>
          <w:sz w:val="22"/>
          <w:rtl w:val="true"/>
        </w:rPr>
        <w:t xml:space="preserve"> בהתאמה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והמערער 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5855/18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עראמין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הורשעו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שמיעת 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בחלק מהעבירות שיוחסו להם בכתב האישום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הדרושות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כעולה מהכרעת הדין בעניינם של אלבייאע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עמר ועראמין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28.3.2018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ומהכרעת הדין הנפרדת בעניינו של חמיד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11.6.2017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המערערים כולם הורשעו בעבירות נגד ביטחון המדינה במסגרת שלוש פרשות שונות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ראשונה</w:t>
      </w:r>
      <w:r>
        <w:rPr>
          <w:rtl w:val="true"/>
        </w:rPr>
        <w:t xml:space="preserve"> עוסקת ב</w:t>
      </w:r>
      <w:r>
        <w:rPr>
          <w:rtl w:val="true"/>
        </w:rPr>
        <w:t xml:space="preserve">ניסיונותיהם של </w:t>
      </w:r>
      <w:r>
        <w:rPr>
          <w:rFonts w:ascii="Century" w:hAnsi="Century" w:cs="Century"/>
          <w:sz w:val="22"/>
          <w:sz w:val="22"/>
          <w:rtl w:val="true"/>
        </w:rPr>
        <w:t xml:space="preserve">אלבייאע </w:t>
      </w:r>
      <w:r>
        <w:rPr>
          <w:rtl w:val="true"/>
        </w:rPr>
        <w:t xml:space="preserve">וחמיד </w:t>
      </w:r>
      <w:r>
        <w:rPr>
          <w:rtl w:val="true"/>
        </w:rPr>
        <w:t>לצאת לסוריה לשם הצטרפות לארגון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במהלך 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ניסה </w:t>
      </w:r>
      <w:r>
        <w:rPr>
          <w:rFonts w:ascii="Century" w:hAnsi="Century" w:cs="Century"/>
          <w:sz w:val="22"/>
          <w:sz w:val="22"/>
          <w:rtl w:val="true"/>
        </w:rPr>
        <w:t>אלבייאע</w:t>
      </w:r>
      <w:r>
        <w:rPr>
          <w:rtl w:val="true"/>
        </w:rPr>
        <w:t xml:space="preserve"> להצטרף לארגון דאע</w:t>
      </w:r>
      <w:r>
        <w:rPr>
          <w:rtl w:val="true"/>
        </w:rPr>
        <w:t>"</w:t>
      </w:r>
      <w:r>
        <w:rPr>
          <w:rtl w:val="true"/>
        </w:rPr>
        <w:t>ש בסוריה</w:t>
      </w:r>
      <w:r>
        <w:rPr>
          <w:rtl w:val="true"/>
        </w:rPr>
        <w:t xml:space="preserve">, </w:t>
      </w:r>
      <w:r>
        <w:rPr>
          <w:rtl w:val="true"/>
        </w:rPr>
        <w:t>זאת לאחר שצפה באינטרנט בתכנים הנוגעים לארגון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ניסה לעבור את הגבול לכיוון מצרים באזור רפיח</w:t>
      </w:r>
      <w:r>
        <w:rPr>
          <w:rtl w:val="true"/>
        </w:rPr>
        <w:t xml:space="preserve">, </w:t>
      </w:r>
      <w:r>
        <w:rPr>
          <w:rtl w:val="true"/>
        </w:rPr>
        <w:t>אך הגיע למסקנה כי הדבר לא אפשרי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 לתושב הפזורה הבדואית בבקשה לסייע לו בחציית הגבול למצרים</w:t>
      </w:r>
      <w:r>
        <w:rPr>
          <w:rtl w:val="true"/>
        </w:rPr>
        <w:t xml:space="preserve">, </w:t>
      </w:r>
      <w:r>
        <w:rPr>
          <w:rtl w:val="true"/>
        </w:rPr>
        <w:t>אך בקשתו לא נענתה</w:t>
      </w:r>
      <w:r>
        <w:rPr>
          <w:rtl w:val="true"/>
        </w:rPr>
        <w:t xml:space="preserve">. </w:t>
      </w:r>
      <w:r>
        <w:rPr>
          <w:rtl w:val="true"/>
        </w:rPr>
        <w:t>כך גם ניסיונו לקבל אשרת כניסה למצרים באמצעות סוכנות נסיעות לא צלח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שינה את תֹכניתו ובחר לצאת לירדן</w:t>
      </w:r>
      <w:r>
        <w:rPr>
          <w:rtl w:val="true"/>
        </w:rPr>
        <w:t xml:space="preserve">, </w:t>
      </w:r>
      <w:r>
        <w:rPr>
          <w:rtl w:val="true"/>
        </w:rPr>
        <w:t>וממנה לטורקיה</w:t>
      </w:r>
      <w:r>
        <w:rPr>
          <w:rtl w:val="true"/>
        </w:rPr>
        <w:t xml:space="preserve">, </w:t>
      </w:r>
      <w:r>
        <w:rPr>
          <w:rtl w:val="true"/>
        </w:rPr>
        <w:t>על מנת להגיע לסוריה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הירדני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לטורקיה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טורקיה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בסוריה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צרים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 עוסקת במעשיהם של </w:t>
      </w:r>
      <w:r>
        <w:rPr>
          <w:rFonts w:ascii="Century" w:hAnsi="Century" w:cs="Century"/>
          <w:sz w:val="22"/>
          <w:sz w:val="22"/>
          <w:rtl w:val="true"/>
        </w:rPr>
        <w:t>אלבייאע</w:t>
      </w:r>
      <w:r>
        <w:rPr>
          <w:rtl w:val="true"/>
        </w:rPr>
        <w:t xml:space="preserve"> וחמיד</w:t>
      </w:r>
      <w:r>
        <w:rPr>
          <w:rtl w:val="true"/>
        </w:rPr>
        <w:t xml:space="preserve">, </w:t>
      </w:r>
      <w:r>
        <w:rPr>
          <w:rtl w:val="true"/>
        </w:rPr>
        <w:t>בגדרם קשרו</w:t>
      </w:r>
      <w:r>
        <w:rPr>
          <w:rtl w:val="true"/>
        </w:rPr>
        <w:t xml:space="preserve"> </w:t>
      </w:r>
      <w:r>
        <w:rPr>
          <w:rtl w:val="true"/>
        </w:rPr>
        <w:t xml:space="preserve">השניים </w:t>
      </w:r>
      <w:r>
        <w:rPr>
          <w:rtl w:val="true"/>
        </w:rPr>
        <w:t>קשר לביצוע פיגוע חבלני בשם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חזרתם של אלבייאע וחמיד מטורקיה לישראל</w:t>
      </w:r>
      <w:r>
        <w:rPr>
          <w:rtl w:val="true"/>
        </w:rPr>
        <w:t xml:space="preserve">, </w:t>
      </w:r>
      <w:r>
        <w:rPr>
          <w:rtl w:val="true"/>
        </w:rPr>
        <w:t xml:space="preserve">נפגשו </w:t>
      </w:r>
      <w:r>
        <w:rPr>
          <w:rFonts w:ascii="Century" w:hAnsi="Century" w:cs="Century"/>
          <w:sz w:val="22"/>
          <w:sz w:val="22"/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 xml:space="preserve">ביוזמת </w:t>
      </w:r>
      <w:r>
        <w:rPr>
          <w:rFonts w:ascii="Century" w:hAnsi="Century" w:cs="Century"/>
          <w:sz w:val="22"/>
          <w:sz w:val="22"/>
          <w:rtl w:val="true"/>
        </w:rPr>
        <w:t>אלבייאע</w:t>
      </w:r>
      <w:r>
        <w:rPr>
          <w:rtl w:val="true"/>
        </w:rPr>
        <w:t xml:space="preserve">, </w:t>
      </w:r>
      <w:r>
        <w:rPr>
          <w:rtl w:val="true"/>
        </w:rPr>
        <w:t>וקשרו קשר לבצע פיגוע בישראל נגד יהודים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הציע </w:t>
      </w:r>
      <w:r>
        <w:rPr>
          <w:rFonts w:ascii="Century" w:hAnsi="Century" w:cs="Century"/>
          <w:sz w:val="22"/>
          <w:sz w:val="22"/>
          <w:rtl w:val="true"/>
        </w:rPr>
        <w:t xml:space="preserve">אלבייאע </w:t>
      </w:r>
      <w:r>
        <w:rPr>
          <w:rtl w:val="true"/>
        </w:rPr>
        <w:t xml:space="preserve">לחסוך כסף כדי לקנות רובה מסוג </w:t>
      </w:r>
      <w:r>
        <w:rPr>
          <w:rtl w:val="true"/>
        </w:rPr>
        <w:t>"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" </w:t>
      </w:r>
      <w:r>
        <w:rPr>
          <w:rtl w:val="true"/>
        </w:rPr>
        <w:t>לשם ביצוע פיגוע ירי בראש השנה האזרחי בחוף הים בתל אביב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טדי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אלבייאע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עדיף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 עוסקת במעשיהם של עמר ועראמין</w:t>
      </w:r>
      <w:r>
        <w:rPr>
          <w:rtl w:val="true"/>
        </w:rPr>
        <w:t xml:space="preserve">, </w:t>
      </w:r>
      <w:r>
        <w:rPr>
          <w:rtl w:val="true"/>
        </w:rPr>
        <w:t xml:space="preserve">בגדרם </w:t>
      </w:r>
      <w:r>
        <w:rPr>
          <w:rtl w:val="true"/>
        </w:rPr>
        <w:t>ק</w:t>
      </w:r>
      <w:r>
        <w:rPr>
          <w:rtl w:val="true"/>
        </w:rPr>
        <w:t>שרו</w:t>
      </w:r>
      <w:r>
        <w:rPr>
          <w:rtl w:val="true"/>
        </w:rPr>
        <w:t xml:space="preserve"> קשר לביצוע פיגוע חבלני בשם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בחודש יוני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הועסק עראמין אצל עמר בעבודות בניה</w:t>
      </w:r>
      <w:r>
        <w:rPr>
          <w:rtl w:val="true"/>
        </w:rPr>
        <w:t xml:space="preserve">, </w:t>
      </w:r>
      <w:r>
        <w:rPr>
          <w:rtl w:val="true"/>
        </w:rPr>
        <w:t xml:space="preserve">ובין השניים נוצר </w:t>
      </w:r>
      <w:r>
        <w:rPr>
          <w:rtl w:val="true"/>
        </w:rPr>
        <w:t>"</w:t>
      </w:r>
      <w:r>
        <w:rPr>
          <w:rtl w:val="true"/>
        </w:rPr>
        <w:t>עניין משותף</w:t>
      </w:r>
      <w:r>
        <w:rPr>
          <w:rtl w:val="true"/>
        </w:rPr>
        <w:t xml:space="preserve">" </w:t>
      </w:r>
      <w:r>
        <w:rPr>
          <w:rtl w:val="true"/>
        </w:rPr>
        <w:t>לנוכח תמיכתם בארגון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השניים שוחחו ביניהם על האפשרות לבצע פיגועים המוניים בישראל</w:t>
      </w:r>
      <w:r>
        <w:rPr>
          <w:rtl w:val="true"/>
        </w:rPr>
        <w:t xml:space="preserve">, </w:t>
      </w:r>
      <w:r>
        <w:rPr>
          <w:rtl w:val="true"/>
        </w:rPr>
        <w:t>העלו מתווים שונים לביצוע פיגועים אלו</w:t>
      </w:r>
      <w:r>
        <w:rPr>
          <w:rtl w:val="true"/>
        </w:rPr>
        <w:t xml:space="preserve">, </w:t>
      </w:r>
      <w:r>
        <w:rPr>
          <w:rtl w:val="true"/>
        </w:rPr>
        <w:t>ולצורך כך בחנו אפשרויות להכנת פצצה או לרכישת כלי 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פוטסיום</w:t>
      </w:r>
      <w:r>
        <w:rPr>
          <w:rtl w:val="true"/>
        </w:rPr>
        <w:t xml:space="preserve">.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אימונים</w:t>
      </w:r>
      <w:r>
        <w:rPr>
          <w:rtl w:val="true"/>
        </w:rPr>
        <w:t xml:space="preserve">, </w:t>
      </w:r>
      <w:r>
        <w:rPr>
          <w:rtl w:val="true"/>
        </w:rPr>
        <w:t>ולביצוע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להרשעתו של אלבייאע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טענתו לפיה השיחות שהתקיימו בינו לבין חמיד</w:t>
      </w:r>
      <w:r>
        <w:rPr>
          <w:rtl w:val="true"/>
        </w:rPr>
        <w:t xml:space="preserve">, </w:t>
      </w:r>
      <w:r>
        <w:rPr>
          <w:rtl w:val="true"/>
        </w:rPr>
        <w:t>אשר על עצם קיומן לא הייתה מחלוקת</w:t>
      </w:r>
      <w:r>
        <w:rPr>
          <w:rtl w:val="true"/>
        </w:rPr>
        <w:t xml:space="preserve">, </w:t>
      </w:r>
      <w:r>
        <w:rPr>
          <w:rtl w:val="true"/>
        </w:rPr>
        <w:t>הסתכמו בגדר מחשבות כלליות בלבד</w:t>
      </w:r>
      <w:r>
        <w:rPr>
          <w:rtl w:val="true"/>
        </w:rPr>
        <w:t xml:space="preserve">, </w:t>
      </w:r>
      <w:r>
        <w:rPr>
          <w:rtl w:val="true"/>
        </w:rPr>
        <w:t xml:space="preserve">וקבע כי הן עולות כדי ביצוע עבירה של קשירת קשר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בקביעתו זו הסתמך בית המשפט על האמור בהודעתו של אלבייאע במשטרה</w:t>
      </w:r>
      <w:r>
        <w:rPr>
          <w:rtl w:val="true"/>
        </w:rPr>
        <w:t xml:space="preserve">, </w:t>
      </w:r>
      <w:r>
        <w:rPr>
          <w:rtl w:val="true"/>
        </w:rPr>
        <w:t>ממנה עולה כי חמיד הסכים ללא תנאי להצעתו לבצע פיגועים בישראל</w:t>
      </w:r>
      <w:r>
        <w:rPr>
          <w:rtl w:val="true"/>
        </w:rPr>
        <w:t xml:space="preserve">, </w:t>
      </w:r>
      <w:r>
        <w:rPr>
          <w:rtl w:val="true"/>
        </w:rPr>
        <w:t xml:space="preserve">וזאת לאחר שאלבייאע אמר לו כי </w:t>
      </w:r>
      <w:r>
        <w:rPr>
          <w:rtl w:val="true"/>
        </w:rPr>
        <w:t>"</w:t>
      </w:r>
      <w:r>
        <w:rPr>
          <w:rtl w:val="true"/>
        </w:rPr>
        <w:t>אנחנו לבד יכולים לייצר את החומר נפץ אבל לא יודעים איך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53-54</w:t>
      </w:r>
      <w:r>
        <w:rPr>
          <w:rtl w:val="true"/>
        </w:rPr>
        <w:t xml:space="preserve">). </w:t>
      </w:r>
      <w:r>
        <w:rPr>
          <w:rtl w:val="true"/>
        </w:rPr>
        <w:t xml:space="preserve">על דברים אלה חזר אלבייאע גם בהודעתו השניה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 xml:space="preserve">ובהודעתו השלישית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אשר ניתנה עשרה ימים לאחר מכן</w:t>
      </w:r>
      <w:r>
        <w:rPr>
          <w:rtl w:val="true"/>
        </w:rPr>
        <w:t xml:space="preserve">, </w:t>
      </w:r>
      <w:r>
        <w:rPr>
          <w:rtl w:val="true"/>
        </w:rPr>
        <w:t>לאחר שנחקר פעם נוספת במשטרה בפני חוקר אחר</w:t>
      </w:r>
      <w:r>
        <w:rPr>
          <w:rtl w:val="true"/>
        </w:rPr>
        <w:t xml:space="preserve">, </w:t>
      </w:r>
      <w:r>
        <w:rPr>
          <w:rtl w:val="true"/>
        </w:rPr>
        <w:t>ולאחר שנפגש עם עורך דינו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במחנה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אסדאראת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Fonts w:ascii="Arial" w:hAnsi="Arial" w:cs="Arial"/>
          <w:rtl w:val="true"/>
          <w:lang w:bidi="ar-SA"/>
        </w:rPr>
        <w:t>اصدارات</w:t>
      </w:r>
      <w:r>
        <w:rPr>
          <w:rtl w:val="true"/>
        </w:rPr>
        <w:t xml:space="preserve">, </w:t>
      </w:r>
      <w:r>
        <w:rPr>
          <w:rtl w:val="true"/>
        </w:rPr>
        <w:t>פרסומי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באינטרנט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19-21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וחמיד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;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108</w:t>
      </w:r>
      <w:r>
        <w:rPr>
          <w:rtl w:val="true"/>
        </w:rPr>
        <w:t xml:space="preserve">); </w:t>
      </w:r>
      <w:r>
        <w:rPr>
          <w:rtl w:val="true"/>
        </w:rPr>
        <w:t>ויציאתו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לטורקיה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אופרטיביים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להרשעת עמר קבע בית המשפט קמא כי הלה קשר קֶשר עם עראמין לבצע פיגועים בישראל נגד יהודים בשם 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חומר הראיות מלמד כי </w:t>
      </w:r>
      <w:r>
        <w:rPr>
          <w:rtl w:val="true"/>
        </w:rPr>
        <w:t>השניים הסכימו ביניהם לבצע בצוותא פיגוע המוני ופיגוע חטיפה</w:t>
      </w:r>
      <w:r>
        <w:rPr>
          <w:rtl w:val="true"/>
        </w:rPr>
        <w:t xml:space="preserve">, </w:t>
      </w:r>
      <w:r>
        <w:rPr>
          <w:rtl w:val="true"/>
        </w:rPr>
        <w:t>העלו מתווים לביצוע פיגועים אלה ולצורך כך בחנו אפשרויות להכנת פצצה או לרכישת כלי נשק</w:t>
      </w:r>
      <w:r>
        <w:rPr>
          <w:rtl w:val="true"/>
        </w:rPr>
        <w:t xml:space="preserve">, </w:t>
      </w:r>
      <w:r>
        <w:rPr>
          <w:rtl w:val="true"/>
        </w:rPr>
        <w:t xml:space="preserve">ובכך התגבשה עבירת </w:t>
      </w:r>
      <w:r>
        <w:rPr>
          <w:rtl w:val="true"/>
        </w:rPr>
        <w:t xml:space="preserve">קשירת </w:t>
      </w:r>
      <w:r>
        <w:rPr>
          <w:rtl w:val="true"/>
        </w:rPr>
        <w:t>קשר</w:t>
      </w:r>
      <w:r>
        <w:rPr>
          <w:rtl w:val="true"/>
        </w:rPr>
        <w:t xml:space="preserve"> 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פצצה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בית המשפט קמא הוסיף וקבע</w:t>
      </w:r>
      <w:r>
        <w:rPr>
          <w:rtl w:val="true"/>
        </w:rPr>
        <w:t xml:space="preserve">, </w:t>
      </w:r>
      <w:r>
        <w:rPr>
          <w:rtl w:val="true"/>
        </w:rPr>
        <w:t xml:space="preserve">כי מעשיהם של המערערים עולים כדי </w:t>
      </w:r>
      <w:r>
        <w:rPr>
          <w:rtl w:val="true"/>
        </w:rPr>
        <w:t>"</w:t>
      </w:r>
      <w:r>
        <w:rPr>
          <w:rtl w:val="true"/>
        </w:rPr>
        <w:t>סיוע לאויב במלחמה</w:t>
      </w:r>
      <w:r>
        <w:rPr>
          <w:rtl w:val="true"/>
        </w:rPr>
        <w:t xml:space="preserve">",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ולאור ההלכה שנקבעה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כיאניה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11328/03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כיאניה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8.9.2005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כיאניה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רצחניים</w:t>
      </w:r>
      <w:r>
        <w:rPr>
          <w:rtl w:val="true"/>
        </w:rPr>
        <w:t xml:space="preserve">, </w:t>
      </w:r>
      <w:r>
        <w:rPr>
          <w:rtl w:val="true"/>
        </w:rPr>
        <w:t>המוניים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ואכזריים</w:t>
      </w:r>
      <w:r>
        <w:rPr>
          <w:rtl w:val="true"/>
        </w:rPr>
        <w:t>" –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הן על פי גישת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כיאניה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תכנון פיגועים אלו נועד לקעקע את ריבונותה של מדינת ישראל ולפגוע ביכולת העמידה של אזרחיה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מלמד על השתלבות בפיגועי הטרור אשר מבוצעים בישראל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ארגוני הטרור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שבמעשיהם המתוכננים שימשו המערערים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ידו הארוכה של האויב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ציין כי לצורך הכרעה באישומים שלפניו אין הוא נדרש להכריע בשאלה האם ארגון דאע</w:t>
      </w:r>
      <w:r>
        <w:rPr>
          <w:rtl w:val="true"/>
        </w:rPr>
        <w:t>"</w:t>
      </w:r>
      <w:r>
        <w:rPr>
          <w:rtl w:val="true"/>
        </w:rPr>
        <w:t xml:space="preserve">ש מהווה </w:t>
      </w:r>
      <w:r>
        <w:rPr>
          <w:rtl w:val="true"/>
        </w:rPr>
        <w:t>"</w:t>
      </w:r>
      <w:r>
        <w:rPr>
          <w:rtl w:val="true"/>
        </w:rPr>
        <w:t>אויב</w:t>
      </w:r>
      <w:r>
        <w:rPr>
          <w:rtl w:val="true"/>
        </w:rPr>
        <w:t xml:space="preserve">" </w:t>
      </w:r>
      <w:r>
        <w:rPr>
          <w:rtl w:val="true"/>
        </w:rPr>
        <w:t xml:space="preserve">כהגדרתו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לא ניתן לחלוק על כך כי ביצוע פיגועים המוניים בישראל משרת את אויבי המדינה במטרתם לפגוע בה</w:t>
      </w:r>
      <w:r>
        <w:rPr>
          <w:rtl w:val="true"/>
        </w:rPr>
        <w:t xml:space="preserve">". </w:t>
      </w:r>
      <w:r>
        <w:rPr>
          <w:rtl w:val="true"/>
        </w:rPr>
        <w:t>נקבע כי די בכך שהמערערים החליטו בפעולותיהם להצטרף למעגל הטרור המכוון נגד ישראל</w:t>
      </w:r>
      <w:r>
        <w:rPr>
          <w:rtl w:val="true"/>
        </w:rPr>
        <w:t xml:space="preserve">, </w:t>
      </w:r>
      <w:r>
        <w:rPr>
          <w:rtl w:val="true"/>
        </w:rPr>
        <w:t>על מנת להרשיעם בעבירה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ובהכרזת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אויב</w:t>
      </w:r>
      <w:r>
        <w:rPr>
          <w:rtl w:val="true"/>
        </w:rPr>
        <w:t xml:space="preserve">" </w:t>
      </w:r>
      <w:r>
        <w:rPr>
          <w:rtl w:val="true"/>
        </w:rPr>
        <w:t>והגדרת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" </w:t>
      </w:r>
      <w:r>
        <w:rPr>
          <w:rtl w:val="true"/>
        </w:rPr>
        <w:t>שבדברי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דחה בית המשפט קמא את טענת המערערים לפיה העבירה כוללת דרישה להפרת </w:t>
      </w:r>
      <w:r>
        <w:rPr>
          <w:rtl w:val="true"/>
        </w:rPr>
        <w:t>"</w:t>
      </w:r>
      <w:r>
        <w:rPr>
          <w:rtl w:val="true"/>
        </w:rPr>
        <w:t>חובת הנאמנות</w:t>
      </w:r>
      <w:r>
        <w:rPr>
          <w:rtl w:val="true"/>
        </w:rPr>
        <w:t xml:space="preserve">" </w:t>
      </w:r>
      <w:r>
        <w:rPr>
          <w:rtl w:val="true"/>
        </w:rPr>
        <w:t>כלפי ישראל</w:t>
      </w:r>
      <w:r>
        <w:rPr>
          <w:rtl w:val="true"/>
        </w:rPr>
        <w:t xml:space="preserve">. </w:t>
      </w:r>
      <w:r>
        <w:rPr>
          <w:rtl w:val="true"/>
        </w:rPr>
        <w:t>נקבע כי החוק לא מציב כל דרישה מפורשת שכזו</w:t>
      </w:r>
      <w:r>
        <w:rPr>
          <w:rtl w:val="true"/>
        </w:rPr>
        <w:t xml:space="preserve">, </w:t>
      </w:r>
      <w:r>
        <w:rPr>
          <w:rtl w:val="true"/>
        </w:rPr>
        <w:t>וכי ממילא בנסיבות העניין המערערים הינם תושבי 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הורשעו אלבייאע</w:t>
      </w:r>
      <w:r>
        <w:rPr>
          <w:rtl w:val="true"/>
        </w:rPr>
        <w:t xml:space="preserve">, </w:t>
      </w:r>
      <w:r>
        <w:rPr>
          <w:rtl w:val="true"/>
        </w:rPr>
        <w:t xml:space="preserve">עמר ועראמין </w:t>
      </w:r>
      <w:r>
        <w:rPr>
          <w:rtl w:val="true"/>
        </w:rPr>
        <w:t>בעבירה של קשירת קשר לסיוע לאויב במלחמה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</w:rPr>
          <w:t>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tl w:val="true"/>
        </w:rPr>
        <w:t xml:space="preserve">), </w:t>
      </w:r>
      <w:hyperlink r:id="rId4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1948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מניעת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טרור</w:t>
        </w:r>
      </w:hyperlink>
      <w:r>
        <w:rPr>
          <w:rtl w:val="true"/>
        </w:rPr>
        <w:t xml:space="preserve">) </w:t>
      </w:r>
      <w:hyperlink r:id="rId4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הסתננות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ושיפוט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, </w:t>
      </w:r>
      <w:hyperlink r:id="rId50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הנפרדת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;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המתייחס למערערים כולם</w:t>
      </w:r>
      <w:r>
        <w:rPr>
          <w:rtl w:val="true"/>
        </w:rPr>
        <w:t xml:space="preserve">, </w:t>
      </w:r>
      <w:r>
        <w:rPr>
          <w:rtl w:val="true"/>
        </w:rPr>
        <w:t>לרבות חמיד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חומרת המעשים שביצעו המערערים</w:t>
      </w:r>
      <w:r>
        <w:rPr>
          <w:rtl w:val="true"/>
        </w:rPr>
        <w:t xml:space="preserve">, </w:t>
      </w:r>
      <w:r>
        <w:rPr>
          <w:rtl w:val="true"/>
        </w:rPr>
        <w:t>וסקר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תוך שציין כי בנסיבות העניין</w:t>
      </w:r>
      <w:r>
        <w:rPr>
          <w:rtl w:val="true"/>
        </w:rPr>
        <w:t xml:space="preserve">, </w:t>
      </w:r>
      <w:r>
        <w:rPr>
          <w:rtl w:val="true"/>
        </w:rPr>
        <w:t>המערערים אמנם הגו תכניות לביצוע פיגועים המוניים</w:t>
      </w:r>
      <w:r>
        <w:rPr>
          <w:rtl w:val="true"/>
        </w:rPr>
        <w:t>, "</w:t>
      </w:r>
      <w:r>
        <w:rPr>
          <w:rtl w:val="true"/>
        </w:rPr>
        <w:t>אך תכניתם הייתה ראשונית</w:t>
      </w:r>
      <w:r>
        <w:rPr>
          <w:rtl w:val="true"/>
        </w:rPr>
        <w:t xml:space="preserve">, </w:t>
      </w:r>
      <w:r>
        <w:rPr>
          <w:rtl w:val="true"/>
        </w:rPr>
        <w:t>כללית ובלתי מפורטת</w:t>
      </w:r>
      <w:r>
        <w:rPr>
          <w:rtl w:val="true"/>
        </w:rPr>
        <w:t xml:space="preserve">", </w:t>
      </w:r>
      <w:r>
        <w:rPr>
          <w:rtl w:val="true"/>
        </w:rPr>
        <w:t>וכי למרות שאין בכך כדי לשלול את התגבשות יסודות העבירה שבה הורשעו</w:t>
      </w:r>
      <w:r>
        <w:rPr>
          <w:rtl w:val="true"/>
        </w:rPr>
        <w:t xml:space="preserve">, </w:t>
      </w:r>
      <w:r>
        <w:rPr>
          <w:rtl w:val="true"/>
        </w:rPr>
        <w:t>יש לכך השלכה על חומרת העבירה והעונש שיש לגזור בגין ביצועה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tl w:val="true"/>
        </w:rPr>
        <w:t xml:space="preserve">;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;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;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rtl w:val="true"/>
        </w:rPr>
        <w:t>שנקבעו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";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אלבייאע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ועמר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קמא משהרשיע את השניים בעבירה של קשירת קשר לסיוע לאויב במלחמה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 העובדתי נטען כי השיחות שניהלו אלבייאע עם חמיד ועמר עם עראמין</w:t>
      </w:r>
      <w:r>
        <w:rPr>
          <w:rtl w:val="true"/>
        </w:rPr>
        <w:t xml:space="preserve">, </w:t>
      </w:r>
      <w:r>
        <w:rPr>
          <w:rtl w:val="true"/>
        </w:rPr>
        <w:t>לא הבשילו לכדי תוכנית קונקרטית שעניינה קשירת קשר לסיוע לאויב במלחמה</w:t>
      </w:r>
      <w:r>
        <w:rPr>
          <w:rtl w:val="true"/>
        </w:rPr>
        <w:t xml:space="preserve">, </w:t>
      </w:r>
      <w:r>
        <w:rPr>
          <w:rtl w:val="true"/>
        </w:rPr>
        <w:t>וכי לכל היותר יש לראות בהם כמי שקשרו קשר להצטייד בנשק</w:t>
      </w:r>
      <w:r>
        <w:rPr>
          <w:rtl w:val="true"/>
        </w:rPr>
        <w:t xml:space="preserve">, </w:t>
      </w:r>
      <w:r>
        <w:rPr>
          <w:rtl w:val="true"/>
        </w:rPr>
        <w:t>אך לא סיכמו להשתמש בו במסגרת פיגוע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עוד נטען כי עמר </w:t>
      </w:r>
      <w:r>
        <w:rPr>
          <w:rFonts w:ascii="Garamond" w:hAnsi="Garamond" w:cs="Garamond"/>
          <w:sz w:val="24"/>
          <w:sz w:val="24"/>
          <w:rtl w:val="true"/>
        </w:rPr>
        <w:t>צפה בסרטונים כדי ללמוד כיצד להכין חומר נפץ מתוך עניין בלבד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ולא לצורך השימוש בו</w:t>
      </w:r>
      <w:r>
        <w:rPr>
          <w:rFonts w:ascii="Garamond" w:hAnsi="Garamond" w:cs="Garamond"/>
          <w:sz w:val="24"/>
          <w:sz w:val="24"/>
          <w:rtl w:val="true"/>
        </w:rPr>
        <w:t xml:space="preserve"> וכי אין כל ראיה לפיה עמר ועראמין סיכמו ביניהם להשתמש במדים לצורך חטיפת חייל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אלא כאמור בהודעתו של עמר במשטרה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ת</w:t>
      </w:r>
      <w:r>
        <w:rPr>
          <w:rFonts w:cs="Garamond" w:ascii="Garamond" w:hAnsi="Garamond"/>
          <w:sz w:val="24"/>
          <w:rtl w:val="true"/>
        </w:rPr>
        <w:t>/</w:t>
      </w:r>
      <w:r>
        <w:rPr>
          <w:rFonts w:cs="Garamond" w:ascii="Garamond" w:hAnsi="Garamond"/>
          <w:sz w:val="24"/>
        </w:rPr>
        <w:t>56</w:t>
      </w:r>
      <w:r>
        <w:rPr>
          <w:rtl w:val="true"/>
        </w:rPr>
        <w:t xml:space="preserve">),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חשב</w:t>
      </w:r>
      <w:r>
        <w:rPr>
          <w:rtl w:val="true"/>
        </w:rPr>
        <w:t xml:space="preserve">"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במישור המשפטי נטען כי המעשים אותם תכננו המערערים לא עומדים ברף שנקבע בפסק דינו של השופט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בעניין </w:t>
      </w:r>
      <w:r>
        <w:rPr>
          <w:rFonts w:cs="Miriam"/>
          <w:b/>
          <w:b/>
          <w:spacing w:val="0"/>
          <w:szCs w:val="24"/>
          <w:rtl w:val="true"/>
        </w:rPr>
        <w:t>כיאניה</w:t>
      </w:r>
      <w:r>
        <w:rPr>
          <w:rtl w:val="true"/>
        </w:rPr>
        <w:t xml:space="preserve"> לצורך הרשעה בעבירה של סיוע לאויב במלחמה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לייחס להם את צפיית האפשרות כי הפיגועים המתוכננים ייגרמו </w:t>
      </w:r>
      <w:r>
        <w:rPr>
          <w:rtl w:val="true"/>
        </w:rPr>
        <w:t>"</w:t>
      </w:r>
      <w:r>
        <w:rPr>
          <w:rtl w:val="true"/>
        </w:rPr>
        <w:t>נזק כולל ורחב</w:t>
      </w:r>
      <w:r>
        <w:rPr>
          <w:rtl w:val="true"/>
        </w:rPr>
        <w:t xml:space="preserve">" </w:t>
      </w:r>
      <w:r>
        <w:rPr>
          <w:rtl w:val="true"/>
        </w:rPr>
        <w:t>בדמות ערעור</w:t>
      </w:r>
      <w:r>
        <w:rPr>
          <w:rFonts w:ascii="Century" w:hAnsi="Century" w:cs="Century"/>
          <w:sz w:val="22"/>
          <w:sz w:val="22"/>
          <w:rtl w:val="true"/>
        </w:rPr>
        <w:t xml:space="preserve"> קיומה של מדינת ישראל כמדינה ריבונית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</w:t>
      </w:r>
      <w:r>
        <w:rPr>
          <w:rtl w:val="true"/>
        </w:rPr>
        <w:t>בדרגת הסתברות קרובה לוודאי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לשיטת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היסוד הנפשי הנדרש להרשעה לפי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כולל גם מודעות להפרת חובת הנאמנות שחבים המערערים למדינת ישראל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לא הוכח מעמדם האזרחי</w:t>
      </w:r>
      <w:r>
        <w:rPr>
          <w:rtl w:val="true"/>
        </w:rPr>
        <w:t xml:space="preserve">, </w:t>
      </w:r>
      <w:r>
        <w:rPr>
          <w:rtl w:val="true"/>
        </w:rPr>
        <w:t>וממילא אין לקבל את הנחתו של בית המשפט קמא לפיה הפרו חובת נאמנות למדינת ישראל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טוענים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כי לא ניתנה להם הזדמנות נאותה להתגונן מפני האפשרות שבית המשפט יסתמך על ההלכה שנקבעה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כיאניה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לפיה לצורך הרשעה בעבירה לפי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אין צורך בהוכחת קיומו של </w:t>
      </w:r>
      <w:r>
        <w:rPr>
          <w:rtl w:val="true"/>
        </w:rPr>
        <w:t>"</w:t>
      </w:r>
      <w:r>
        <w:rPr>
          <w:rtl w:val="true"/>
        </w:rPr>
        <w:t>אויב</w:t>
      </w:r>
      <w:r>
        <w:rPr>
          <w:rtl w:val="true"/>
        </w:rPr>
        <w:t xml:space="preserve">" </w:t>
      </w:r>
      <w:r>
        <w:rPr>
          <w:rtl w:val="true"/>
        </w:rPr>
        <w:t xml:space="preserve">ספציפי </w:t>
      </w:r>
      <w:r>
        <w:rPr>
          <w:rtl w:val="true"/>
        </w:rPr>
        <w:t>–</w:t>
      </w:r>
      <w:r>
        <w:rPr>
          <w:rtl w:val="true"/>
        </w:rPr>
        <w:t xml:space="preserve"> ובכך נמנעה מהם האפשרות להעלות טענות חלופיות</w:t>
      </w:r>
      <w:r>
        <w:rPr>
          <w:rtl w:val="true"/>
        </w:rPr>
        <w:t xml:space="preserve">, </w:t>
      </w:r>
      <w:r>
        <w:rPr>
          <w:rtl w:val="true"/>
        </w:rPr>
        <w:t>בין היתר טענת הגנה מן הצדק בשל אכיפה בררנית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טענה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כי בדין הרשיע בית המשפט קמא את המערערים בעבירה של קשירת קשר לסייע לאויב במלחמה לפי </w:t>
      </w:r>
      <w:hyperlink r:id="rId5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6"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"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כיאניה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שבלב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שנֶהֱגו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אלבייאע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ועמר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כלפי הכרעת הדין מופנה כאמור כלפי הקביעה כי אלבייאע ועמר </w:t>
      </w:r>
      <w:r>
        <w:rPr>
          <w:rtl w:val="true"/>
        </w:rPr>
        <w:t>"</w:t>
      </w:r>
      <w:r>
        <w:rPr>
          <w:rtl w:val="true"/>
        </w:rPr>
        <w:t>קשרו קשר לסיוע לאויב במלחמה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טענתם הראשונה של השניים היא כי לא ניתן ללמוד מהשיחות שניהלו על תכנית העולה כדי קשירת קשר </w:t>
      </w:r>
      <w:r>
        <w:rPr>
          <w:rtl w:val="true"/>
        </w:rPr>
        <w:t>"</w:t>
      </w:r>
      <w:r>
        <w:rPr>
          <w:rtl w:val="true"/>
        </w:rPr>
        <w:t>לסייע לאויב במלחמה</w:t>
      </w:r>
      <w:r>
        <w:rPr>
          <w:rtl w:val="true"/>
        </w:rPr>
        <w:t xml:space="preserve">". </w:t>
      </w:r>
      <w:r>
        <w:rPr>
          <w:rtl w:val="true"/>
        </w:rPr>
        <w:t>אני סבור כי דין טענה זו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לצורך התגבשות הקשר הפלילי</w:t>
      </w:r>
      <w:r>
        <w:rPr>
          <w:rtl w:val="true"/>
        </w:rPr>
        <w:t xml:space="preserve">, </w:t>
      </w:r>
      <w:r>
        <w:rPr>
          <w:rtl w:val="true"/>
        </w:rPr>
        <w:t>לא נדרשת הוכחת הסכמה על פרטי הביצוע הספציפיים של התוכנית העבריינית</w:t>
      </w:r>
      <w:r>
        <w:rPr>
          <w:rtl w:val="true"/>
        </w:rPr>
        <w:t xml:space="preserve">, </w:t>
      </w:r>
      <w:r>
        <w:rPr>
          <w:rtl w:val="true"/>
        </w:rPr>
        <w:t>או הוכחת תוכנית קונקרטית</w:t>
      </w:r>
      <w:r>
        <w:rPr>
          <w:rtl w:val="true"/>
        </w:rPr>
        <w:t xml:space="preserve">. </w:t>
      </w:r>
      <w:r>
        <w:rPr>
          <w:rtl w:val="true"/>
        </w:rPr>
        <w:t xml:space="preserve">די לעניין זה להוכיח </w:t>
      </w:r>
      <w:r>
        <w:rPr>
          <w:rtl w:val="true"/>
        </w:rPr>
        <w:t>"</w:t>
      </w:r>
      <w:r>
        <w:rPr>
          <w:rtl w:val="true"/>
        </w:rPr>
        <w:t xml:space="preserve">רצון משותף לבצע בצוותא עבירה מסוג מסוים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עבירת שוד</w:t>
      </w:r>
      <w:r>
        <w:rPr>
          <w:rtl w:val="true"/>
        </w:rPr>
        <w:t xml:space="preserve">) </w:t>
      </w:r>
      <w:r>
        <w:rPr>
          <w:rtl w:val="true"/>
        </w:rPr>
        <w:t>אם כי לאו דווקא עבירה קונקרטית במועד מוגדר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וכן 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ווזווז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1.11.2018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30.7.2013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רצונות</w:t>
      </w:r>
      <w:r>
        <w:rPr>
          <w:rtl w:val="true"/>
        </w:rPr>
        <w:t xml:space="preserve">, </w:t>
      </w:r>
      <w:r>
        <w:rPr>
          <w:rtl w:val="true"/>
        </w:rPr>
        <w:t>שתוצאתו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,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".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ועראמין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".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מסקנתו זו של בית המשפט קמא מבוססת היטב בחומר הראיות</w:t>
      </w:r>
      <w:r>
        <w:rPr>
          <w:rtl w:val="true"/>
        </w:rPr>
        <w:t xml:space="preserve">, </w:t>
      </w:r>
      <w:r>
        <w:rPr>
          <w:rtl w:val="true"/>
        </w:rPr>
        <w:t>המלמד כי אלבייאע וחמיד החליטו לבצע פיגוע באמצעות משאית נפץ במחנה צבאי בקריה בתל אביב או בקרית הממשלה בירושלים</w:t>
      </w:r>
      <w:r>
        <w:rPr>
          <w:rtl w:val="true"/>
        </w:rPr>
        <w:t xml:space="preserve">, </w:t>
      </w:r>
      <w:r>
        <w:rPr>
          <w:rtl w:val="true"/>
        </w:rPr>
        <w:t>וכי עמר ועראמין תכננו לבצע פיגוע טרור באמצעות מטען חבלה או חטיפת חייל לצורך חילופי שבויים</w:t>
      </w:r>
      <w:r>
        <w:rPr>
          <w:rtl w:val="true"/>
        </w:rPr>
        <w:t xml:space="preserve">, </w:t>
      </w:r>
      <w:r>
        <w:rPr>
          <w:rtl w:val="true"/>
        </w:rPr>
        <w:t>באופן העולה בשני המקרים כדי קשירת קשר לביצוע 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אם לא</w:t>
      </w:r>
      <w:r>
        <w:rPr>
          <w:rtl w:val="true"/>
        </w:rPr>
        <w:t xml:space="preserve"> השתכלל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התכניות </w:t>
      </w:r>
      <w:r>
        <w:rPr>
          <w:rtl w:val="true"/>
        </w:rPr>
        <w:t>לכדי תכני</w:t>
      </w:r>
      <w:r>
        <w:rPr>
          <w:rtl w:val="true"/>
        </w:rPr>
        <w:t>ו</w:t>
      </w:r>
      <w:r>
        <w:rPr>
          <w:rtl w:val="true"/>
        </w:rPr>
        <w:t>ת קונקרטית הכוללת מועדי ביצוע מדויקים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תכניתם של אלבייאע וחמיד</w:t>
      </w:r>
      <w:r>
        <w:rPr>
          <w:rtl w:val="true"/>
        </w:rPr>
        <w:t xml:space="preserve">, </w:t>
      </w:r>
      <w:r>
        <w:rPr>
          <w:rtl w:val="true"/>
        </w:rPr>
        <w:t xml:space="preserve">די להפנות להודעתו של אלבייאע מיום </w:t>
      </w:r>
      <w:r>
        <w:rPr/>
        <w:t>22.9.2016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בה נשאל מדוע החליט יחד עם חמיד לבצע פיגוע באמצעות משאית נפץ ו</w:t>
      </w:r>
      <w:r>
        <w:rPr>
          <w:rtl w:val="true"/>
        </w:rPr>
        <w:t>"</w:t>
      </w:r>
      <w:r>
        <w:rPr>
          <w:rtl w:val="true"/>
        </w:rPr>
        <w:t>כיצד הגיע לרעיון זה</w:t>
      </w:r>
      <w:r>
        <w:rPr>
          <w:rtl w:val="true"/>
        </w:rPr>
        <w:t xml:space="preserve">", </w:t>
      </w:r>
      <w:r>
        <w:rPr>
          <w:rtl w:val="true"/>
        </w:rPr>
        <w:t>והשיב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דיברנו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אסדאראת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Arial" w:hAnsi="Arial" w:cs="Arial"/>
          <w:rtl w:val="true"/>
          <w:lang w:bidi="ar-SA"/>
        </w:rPr>
        <w:t>اصدارات</w:t>
      </w:r>
      <w:r>
        <w:rPr>
          <w:rtl w:val="true"/>
        </w:rPr>
        <w:t xml:space="preserve">, </w:t>
      </w:r>
      <w:r>
        <w:rPr>
          <w:rtl w:val="true"/>
        </w:rPr>
        <w:t>פרסומי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האסלאמית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20-18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תכניתם של עמר ועראמין</w:t>
      </w:r>
      <w:r>
        <w:rPr>
          <w:rtl w:val="true"/>
        </w:rPr>
        <w:t xml:space="preserve">, </w:t>
      </w:r>
      <w:r>
        <w:rPr>
          <w:rtl w:val="true"/>
        </w:rPr>
        <w:t xml:space="preserve">די להפנות להודעתו השלישית במשטרה של עמר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 xml:space="preserve">), </w:t>
      </w:r>
      <w:r>
        <w:rPr>
          <w:rtl w:val="true"/>
        </w:rPr>
        <w:t>במסגרתה נשאל והשיב כדלהלן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אלביאע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40-39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21.9.2016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אלשיח</w:t>
      </w:r>
      <w:r>
        <w:rPr>
          <w:rtl w:val="true"/>
        </w:rPr>
        <w:t>'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בלפטופ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ווידיאו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דיברנו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11-9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אלשיח</w:t>
      </w:r>
      <w:r>
        <w:rPr>
          <w:rtl w:val="true"/>
        </w:rPr>
        <w:t xml:space="preserve">' </w:t>
      </w:r>
      <w:r>
        <w:rPr>
          <w:rtl w:val="true"/>
        </w:rPr>
        <w:t>צפינו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והיהודים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80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31-30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טענתם השניה של המערערים היא כי מעשיהם אינם עולים כדי </w:t>
      </w:r>
      <w:r>
        <w:rPr>
          <w:rtl w:val="true"/>
        </w:rPr>
        <w:t>"</w:t>
      </w:r>
      <w:r>
        <w:rPr>
          <w:rtl w:val="true"/>
        </w:rPr>
        <w:t>סיוע לאויב במלחמה</w:t>
      </w:r>
      <w:r>
        <w:rPr>
          <w:rtl w:val="true"/>
        </w:rPr>
        <w:t xml:space="preserve">". </w:t>
      </w:r>
      <w:r>
        <w:rPr>
          <w:rtl w:val="true"/>
        </w:rPr>
        <w:t>אף טענה זו דינה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סיוע לאויב במלחמה</w:t>
      </w:r>
      <w:r>
        <w:rPr>
          <w:rtl w:val="true"/>
        </w:rPr>
        <w:t xml:space="preserve">" </w:t>
      </w:r>
      <w:r>
        <w:rPr>
          <w:rtl w:val="true"/>
        </w:rPr>
        <w:t>קובע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99</w:t>
      </w:r>
      <w:r>
        <w:rPr>
          <w:rtl w:val="true"/>
        </w:rPr>
        <w:t>. 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'</w:t>
      </w:r>
      <w:r>
        <w:rPr>
          <w:rtl w:val="true"/>
        </w:rPr>
        <w:t>סיוע</w:t>
      </w:r>
      <w:r>
        <w:rPr>
          <w:rtl w:val="true"/>
        </w:rPr>
        <w:t xml:space="preserve">' -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האויב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עבירה זו היא עבירה התנהגותית</w:t>
      </w:r>
      <w:r>
        <w:rPr>
          <w:rtl w:val="true"/>
        </w:rPr>
        <w:t xml:space="preserve">, </w:t>
      </w:r>
      <w:r>
        <w:rPr>
          <w:rtl w:val="true"/>
        </w:rPr>
        <w:t xml:space="preserve">המציבה את מטרת מבצעהּ </w:t>
      </w:r>
      <w:r>
        <w:rPr>
          <w:rtl w:val="true"/>
        </w:rPr>
        <w:t>–</w:t>
      </w:r>
      <w:r>
        <w:rPr>
          <w:rtl w:val="true"/>
        </w:rPr>
        <w:t xml:space="preserve"> סיוע לאויב </w:t>
      </w:r>
      <w:r>
        <w:rPr>
          <w:rtl w:val="true"/>
        </w:rPr>
        <w:t>–</w:t>
      </w:r>
      <w:r>
        <w:rPr>
          <w:rtl w:val="true"/>
        </w:rPr>
        <w:t xml:space="preserve"> כציר מרכזי של יסודותיה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וענונו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265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290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וענונו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לעניין היסוד הנפשי הנדרש</w:t>
      </w:r>
      <w:r>
        <w:rPr>
          <w:rtl w:val="true"/>
        </w:rPr>
        <w:t xml:space="preserve">, </w:t>
      </w:r>
      <w:r>
        <w:rPr>
          <w:rtl w:val="true"/>
        </w:rPr>
        <w:t>על מנת לעמוד על כוונתו של המבצע בביצוע העבירה</w:t>
      </w:r>
      <w:r>
        <w:rPr>
          <w:rtl w:val="true"/>
        </w:rPr>
        <w:t xml:space="preserve">, </w:t>
      </w:r>
      <w:r>
        <w:rPr>
          <w:rtl w:val="true"/>
        </w:rPr>
        <w:t>נקבע כי ניתן להסתייע בהלכת הצפיות</w:t>
      </w:r>
      <w:r>
        <w:rPr>
          <w:rtl w:val="true"/>
        </w:rPr>
        <w:t xml:space="preserve">, </w:t>
      </w:r>
      <w:r>
        <w:rPr>
          <w:rtl w:val="true"/>
        </w:rPr>
        <w:t>לפיה מודעות לקיומה של הסתברות קרובה לוודאי בדבר התרחשות התוצאה</w:t>
      </w:r>
      <w:r>
        <w:rPr>
          <w:rtl w:val="true"/>
        </w:rPr>
        <w:t xml:space="preserve">, </w:t>
      </w:r>
      <w:r>
        <w:rPr>
          <w:rtl w:val="true"/>
        </w:rPr>
        <w:t xml:space="preserve">שקולה כנגד החפץ הממשי להשיגה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כיאניה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כפי שנקבע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כיאניה</w:t>
      </w:r>
      <w:r>
        <w:rPr>
          <w:rtl w:val="true"/>
        </w:rPr>
        <w:t xml:space="preserve">, </w:t>
      </w:r>
      <w:r>
        <w:rPr>
          <w:rtl w:val="true"/>
        </w:rPr>
        <w:t>מטרת ה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לאויב במלחמה יכול שתתגשם בדרכים שונות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לא כל פעולה עוינת</w:t>
      </w:r>
      <w:r>
        <w:rPr>
          <w:rtl w:val="true"/>
        </w:rPr>
        <w:t xml:space="preserve">" </w:t>
      </w:r>
      <w:r>
        <w:rPr>
          <w:rtl w:val="true"/>
        </w:rPr>
        <w:t>תקיים מטרה זו</w:t>
      </w:r>
      <w:r>
        <w:rPr>
          <w:rtl w:val="true"/>
        </w:rPr>
        <w:t xml:space="preserve">. </w:t>
      </w:r>
      <w:r>
        <w:rPr>
          <w:rtl w:val="true"/>
        </w:rPr>
        <w:t xml:space="preserve">מחלוקת נתגלעה בין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לבין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לעניין קשת העבירות אשר תכללנה במסגרת הרכיב העובדתי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לסייע לאויב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בעוד שלגישת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שחומרתם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מופלגת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נקודתיים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ריבונית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סבר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כי יש לפרש את המונח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התנהגות המסייעת לאויב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באופן רחב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המשתלבת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וקונקרטי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ותוצאותיה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האויב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בקשה לדיון נוסף נדחתה בהחלטתו של המשנה לנשיא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תכליתה של העבירה היא למנוע מעשים שנועדו לסייע לאויבי ישראל במלחמתם במדינה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קשת ההתנהגויות המגבשת סיוע לאויב כוללת פגיעה ישירה בביטחון המדינה והציבור</w:t>
      </w:r>
      <w:r>
        <w:rPr>
          <w:rFonts w:cs="Century" w:ascii="Century" w:hAnsi="Century"/>
          <w:rtl w:val="true"/>
        </w:rPr>
        <w:t>" (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9517/05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כיאניה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11.12.2005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מחלוקת זו הוזכרה בפסיקה עוד פעמים מספר</w:t>
      </w:r>
      <w:r>
        <w:rPr>
          <w:rtl w:val="true"/>
        </w:rPr>
        <w:t xml:space="preserve">, </w:t>
      </w:r>
      <w:r>
        <w:rPr>
          <w:rtl w:val="true"/>
        </w:rPr>
        <w:t>בין היתר לאחרונה ב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8457/15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ווזווז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ווזווז</w:t>
      </w:r>
      <w:r>
        <w:rPr>
          <w:rtl w:val="true"/>
        </w:rPr>
        <w:t xml:space="preserve">), </w:t>
      </w:r>
      <w:r>
        <w:rPr>
          <w:rtl w:val="true"/>
        </w:rPr>
        <w:t xml:space="preserve">שם הציע השופט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 שלושה מבחני עזר לבחינת המעשים המקיימים את היסוד העובדתי של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אך מבלי להכריע במחלוקת שנתגלעה בעניין </w:t>
      </w:r>
      <w:r>
        <w:rPr>
          <w:rFonts w:cs="Miriam"/>
          <w:b/>
          <w:b/>
          <w:spacing w:val="0"/>
          <w:szCs w:val="24"/>
          <w:rtl w:val="true"/>
        </w:rPr>
        <w:t>כיאניה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בקשה לדיון נוסף בפסק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ווזווז</w:t>
      </w:r>
      <w:r>
        <w:rPr>
          <w:rFonts w:ascii="Century" w:hAnsi="Century" w:cs="Century"/>
          <w:rtl w:val="true"/>
        </w:rPr>
        <w:t xml:space="preserve"> נדחתה זה לאחרונה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חברתי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8126/18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24.1.2019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לשיטת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יישום עמדתו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על עניינם</w:t>
      </w:r>
      <w:r>
        <w:rPr>
          <w:rtl w:val="true"/>
        </w:rPr>
        <w:t xml:space="preserve">, </w:t>
      </w:r>
      <w:r>
        <w:rPr>
          <w:rtl w:val="true"/>
        </w:rPr>
        <w:t xml:space="preserve">מוביל למסקנה </w:t>
      </w:r>
      <w:r>
        <w:rPr>
          <w:rFonts w:ascii="Century" w:hAnsi="Century" w:cs="Century"/>
          <w:sz w:val="22"/>
          <w:sz w:val="22"/>
          <w:rtl w:val="true"/>
        </w:rPr>
        <w:t>לפיה אין להרשיעם בעבירה הנדונה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tl w:val="true"/>
        </w:rPr>
        <w:t>תכנון הפעולות החבלניות על ידם אינו עולה כדי פגיעה בריבונותה של מדינת ישראל או ערעור יסודותיה השלטוניים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במישור הפוזיטיבי</w:t>
      </w:r>
      <w:r>
        <w:rPr>
          <w:rtl w:val="true"/>
        </w:rPr>
        <w:t xml:space="preserve">, </w:t>
      </w:r>
      <w:r>
        <w:rPr>
          <w:rtl w:val="true"/>
        </w:rPr>
        <w:t xml:space="preserve">נראה כי פרשנותו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למונח </w:t>
      </w:r>
      <w:r>
        <w:rPr>
          <w:rtl w:val="true"/>
        </w:rPr>
        <w:t>"</w:t>
      </w:r>
      <w:r>
        <w:rPr>
          <w:rtl w:val="true"/>
        </w:rPr>
        <w:t>התנהגות המסייעת לאויב</w:t>
      </w:r>
      <w:r>
        <w:rPr>
          <w:rtl w:val="true"/>
        </w:rPr>
        <w:t xml:space="preserve">" </w:t>
      </w:r>
      <w:r>
        <w:rPr>
          <w:rtl w:val="true"/>
        </w:rPr>
        <w:t>היא הפרשנות שהתקבלה בפסיקתו של בית משפט זה</w:t>
      </w:r>
      <w:r>
        <w:rPr>
          <w:rtl w:val="true"/>
        </w:rPr>
        <w:t xml:space="preserve">. </w:t>
      </w:r>
      <w:r>
        <w:rPr>
          <w:rtl w:val="true"/>
        </w:rPr>
        <w:t>אף במישור הנורמטיבי</w:t>
      </w:r>
      <w:r>
        <w:rPr>
          <w:rtl w:val="true"/>
        </w:rPr>
        <w:t xml:space="preserve">, </w:t>
      </w:r>
      <w:r>
        <w:rPr>
          <w:rtl w:val="true"/>
        </w:rPr>
        <w:t>אני סבור כי במציאות הביטחונית המורכבת במדינת ישראל של ימינו</w:t>
      </w:r>
      <w:r>
        <w:rPr>
          <w:rtl w:val="true"/>
        </w:rPr>
        <w:t xml:space="preserve">, </w:t>
      </w:r>
      <w:r>
        <w:rPr>
          <w:rtl w:val="true"/>
        </w:rPr>
        <w:t>פרשנות זו נכונה</w:t>
      </w:r>
      <w:r>
        <w:rPr>
          <w:rtl w:val="true"/>
        </w:rPr>
        <w:t xml:space="preserve">, </w:t>
      </w:r>
      <w:r>
        <w:rPr>
          <w:rtl w:val="true"/>
        </w:rPr>
        <w:t>ראויה ומוצדקת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קזואיסטית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במאמציהם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וביושביה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: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8457/15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6008/15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במתפללים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195/16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2184/17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4053/08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חזבאללה</w:t>
      </w:r>
      <w:r>
        <w:rPr>
          <w:rtl w:val="true"/>
        </w:rPr>
        <w:t xml:space="preserve">" </w:t>
      </w:r>
      <w:r>
        <w:rPr>
          <w:rtl w:val="true"/>
        </w:rPr>
        <w:t>לצורכי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>)</w:t>
      </w:r>
      <w:r>
        <w:rPr>
          <w:rtl w:val="true"/>
        </w:rPr>
        <w:t xml:space="preserve"> 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8931/04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כשלעצמי אני סבור כאמור כי פרשנות זו היא הפרשנות הראויה מבחינה נורמטיבית</w:t>
      </w:r>
      <w:r>
        <w:rPr>
          <w:rtl w:val="true"/>
        </w:rPr>
        <w:t xml:space="preserve">. </w:t>
      </w:r>
      <w:r>
        <w:rPr>
          <w:rtl w:val="true"/>
        </w:rPr>
        <w:t xml:space="preserve">פעילותם של ארגוני הטרור השונים </w:t>
      </w:r>
      <w:r>
        <w:rPr>
          <w:rtl w:val="true"/>
        </w:rPr>
        <w:t xml:space="preserve">המבקשים לפגוע </w:t>
      </w:r>
      <w:r>
        <w:rPr>
          <w:rtl w:val="true"/>
        </w:rPr>
        <w:t xml:space="preserve">בביטחון הציבור הישראלי </w:t>
      </w:r>
      <w:r>
        <w:rPr>
          <w:rtl w:val="true"/>
        </w:rPr>
        <w:t>מתפרשת</w:t>
      </w:r>
      <w:r>
        <w:rPr>
          <w:rtl w:val="true"/>
        </w:rPr>
        <w:t xml:space="preserve"> על פני טווח רחב של התנהגויות</w:t>
      </w:r>
      <w:r>
        <w:rPr>
          <w:rtl w:val="true"/>
        </w:rPr>
        <w:t xml:space="preserve">, </w:t>
      </w:r>
      <w:r>
        <w:rPr>
          <w:rtl w:val="true"/>
        </w:rPr>
        <w:t>אשר בכולן יש כדי לזרוע פחד</w:t>
      </w:r>
      <w:r>
        <w:rPr>
          <w:rtl w:val="true"/>
        </w:rPr>
        <w:t xml:space="preserve">, </w:t>
      </w:r>
      <w:r>
        <w:rPr>
          <w:rtl w:val="true"/>
        </w:rPr>
        <w:t>חרדה וטרור</w:t>
      </w:r>
      <w:r>
        <w:rPr>
          <w:rtl w:val="true"/>
        </w:rPr>
        <w:t xml:space="preserve"> </w:t>
      </w:r>
      <w:r>
        <w:rPr>
          <w:rtl w:val="true"/>
        </w:rPr>
        <w:t>בלבבות הציבור</w:t>
      </w:r>
      <w:r>
        <w:rPr>
          <w:rtl w:val="true"/>
        </w:rPr>
        <w:t xml:space="preserve">. </w:t>
      </w:r>
      <w:r>
        <w:rPr>
          <w:rtl w:val="true"/>
        </w:rPr>
        <w:t>לצורך מניעת התנהגויות אלו בדרך של הרתעה מעשייתן</w:t>
      </w:r>
      <w:r>
        <w:rPr>
          <w:rtl w:val="true"/>
        </w:rPr>
        <w:t xml:space="preserve">, </w:t>
      </w:r>
      <w:r>
        <w:rPr>
          <w:rtl w:val="true"/>
        </w:rPr>
        <w:t>וכן לשם מתן גמול הולם למבצעי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</w:t>
      </w:r>
      <w:r>
        <w:rPr>
          <w:rtl w:val="true"/>
        </w:rPr>
        <w:t xml:space="preserve">להעניק למונח </w:t>
      </w:r>
      <w:r>
        <w:rPr>
          <w:rtl w:val="true"/>
        </w:rPr>
        <w:t>"</w:t>
      </w:r>
      <w:r>
        <w:rPr>
          <w:rtl w:val="true"/>
        </w:rPr>
        <w:t>התנהגות המסייעת לאויב</w:t>
      </w:r>
      <w:r>
        <w:rPr>
          <w:rtl w:val="true"/>
        </w:rPr>
        <w:t xml:space="preserve">" </w:t>
      </w:r>
      <w:r>
        <w:rPr>
          <w:rtl w:val="true"/>
        </w:rPr>
        <w:t>פרשנות מרחיבה</w:t>
      </w:r>
      <w:r>
        <w:rPr>
          <w:rtl w:val="true"/>
        </w:rPr>
        <w:t xml:space="preserve">, </w:t>
      </w:r>
      <w:r>
        <w:rPr>
          <w:rtl w:val="true"/>
        </w:rPr>
        <w:t>במובן זה שלצורך הקביעה כי מעשה טרור יחשב כ</w:t>
      </w:r>
      <w:r>
        <w:rPr>
          <w:rtl w:val="true"/>
        </w:rPr>
        <w:t>"</w:t>
      </w:r>
      <w:r>
        <w:rPr>
          <w:rtl w:val="true"/>
        </w:rPr>
        <w:t>מסייע לאויב</w:t>
      </w:r>
      <w:r>
        <w:rPr>
          <w:rtl w:val="true"/>
        </w:rPr>
        <w:t xml:space="preserve">" </w:t>
      </w:r>
      <w:r>
        <w:rPr>
          <w:rtl w:val="true"/>
        </w:rPr>
        <w:t xml:space="preserve">לא תידרש קביעה דווקנית לפיה מטרתו של אותו מעשה </w:t>
      </w:r>
      <w:r>
        <w:rPr>
          <w:rtl w:val="true"/>
        </w:rPr>
        <w:t>"</w:t>
      </w:r>
      <w:r>
        <w:rPr>
          <w:rtl w:val="true"/>
        </w:rPr>
        <w:t>להביא לערעור עצם קיומה של מדינת ישראל כמדינה ריבונית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פרשנות זו תאפשר </w:t>
      </w:r>
      <w:hyperlink r:id="rId7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לשמש אכסניה לקשת רחבה של פעולות אשר הוכח כי מטרת מבצען להשתלב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 xml:space="preserve">באופן מוחשי </w:t>
      </w:r>
      <w:r>
        <w:rPr>
          <w:rtl w:val="true"/>
        </w:rPr>
        <w:t>וקונקרטי בפעילותו של האויב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באופן </w:t>
      </w:r>
      <w:r>
        <w:rPr>
          <w:rtl w:val="true"/>
        </w:rPr>
        <w:t>שהוא משמש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ידו הארוכה של האויב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הנדון</w:t>
      </w:r>
      <w:r>
        <w:rPr>
          <w:rtl w:val="true"/>
        </w:rPr>
        <w:t xml:space="preserve">, </w:t>
      </w:r>
      <w:r>
        <w:rPr>
          <w:rtl w:val="true"/>
        </w:rPr>
        <w:t>אלבייאע וחמיד קשרו קשר לבצע פיגועי טרור רחבי היקף באמצעות משאית נפץ או פיגוע ירי</w:t>
      </w:r>
      <w:r>
        <w:rPr>
          <w:rtl w:val="true"/>
        </w:rPr>
        <w:t xml:space="preserve">, </w:t>
      </w:r>
      <w:r>
        <w:rPr>
          <w:rtl w:val="true"/>
        </w:rPr>
        <w:t>ואילו עמר ועראמין קשרו קשר לבצע פיגועי טרור באמצעות מטען חבלה או תכננו לחטוף חייל לצורך עסקת חילופי שבויים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כל ספק לטעמי כי תכניות אלו משקפות את מודעותם של המערערים לקיומה של הסתברות קרובה לוודאי בדבר הסיוע שיש במעשים אלו לאויביה של מדינת 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מוסיפים וטוענים</w:t>
      </w:r>
      <w:r>
        <w:rPr>
          <w:rtl w:val="true"/>
        </w:rPr>
        <w:t xml:space="preserve">, </w:t>
      </w:r>
      <w:r>
        <w:rPr>
          <w:rtl w:val="true"/>
        </w:rPr>
        <w:t xml:space="preserve">כי אילו היו יודעים שבית המשפט קמא יקבע שלצורך הוכחת </w:t>
      </w:r>
      <w:r>
        <w:rPr>
          <w:rtl w:val="true"/>
        </w:rPr>
        <w:t>"</w:t>
      </w:r>
      <w:r>
        <w:rPr>
          <w:rtl w:val="true"/>
        </w:rPr>
        <w:t>סיוע לאויב</w:t>
      </w:r>
      <w:r>
        <w:rPr>
          <w:rtl w:val="true"/>
        </w:rPr>
        <w:t xml:space="preserve">" </w:t>
      </w:r>
      <w:r>
        <w:rPr>
          <w:rtl w:val="true"/>
        </w:rPr>
        <w:t>אין צורך להצביע על אויב קונקרטי</w:t>
      </w:r>
      <w:r>
        <w:rPr>
          <w:rtl w:val="true"/>
        </w:rPr>
        <w:t xml:space="preserve">, </w:t>
      </w:r>
      <w:r>
        <w:rPr>
          <w:rtl w:val="true"/>
        </w:rPr>
        <w:t xml:space="preserve">היו דורשים מרשויות התביעה להמציא לידיהם מסמכים מכוח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לשם ביסוס טענת הגנה מן הצדק בדבר אכיפה בררנית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 זו אין לה על מה שתסמוך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שטענה המשיבה</w:t>
      </w:r>
      <w:r>
        <w:rPr>
          <w:rtl w:val="true"/>
        </w:rPr>
        <w:t xml:space="preserve">, </w:t>
      </w:r>
      <w:r>
        <w:rPr>
          <w:rtl w:val="true"/>
        </w:rPr>
        <w:t>הטיעון בדבר היעדר הצורך בהוכחת קיומו של אויב קונקרטי נטען במהלך ההליך בפני בית המשפט קמא</w:t>
      </w:r>
      <w:r>
        <w:rPr>
          <w:rtl w:val="true"/>
        </w:rPr>
        <w:t xml:space="preserve">, </w:t>
      </w:r>
      <w:r>
        <w:rPr>
          <w:rtl w:val="true"/>
        </w:rPr>
        <w:t>ולמערערים הייתה אפשרות לנסות ולהעלות טענות חלופיות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ההלכה מכוחה פסק בית המשפט קמא כי הרשעה בעבירה אינה מחייבת הצבעה על אויב קונקרטי היא הלכה ידועה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וענונו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294</w:t>
      </w:r>
      <w:r>
        <w:rPr>
          <w:rtl w:val="true"/>
        </w:rPr>
        <w:t xml:space="preserve">). </w:t>
      </w:r>
      <w:r>
        <w:rPr>
          <w:rtl w:val="true"/>
        </w:rPr>
        <w:t>ההימנעות מהעלאת טענות משפטיות חלופיות עומדת אפוא לחובת המערערים בלבד</w:t>
      </w:r>
      <w:r>
        <w:rPr>
          <w:rtl w:val="true"/>
        </w:rPr>
        <w:t xml:space="preserve">, </w:t>
      </w:r>
      <w:r>
        <w:rPr>
          <w:rtl w:val="true"/>
        </w:rPr>
        <w:t>ואין להם להלין בעניין זה אלא על עצמם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יש לדחות גם את 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לפיה היסוד הנפשי הנדרש להרשעה בעבירה לפי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כולל מודעות להפרת חובת הנאמנות למדינת 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ועמר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/>
        <w:t>4.1106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בגידה</w:t>
      </w:r>
      <w:r>
        <w:rPr>
          <w:rtl w:val="true"/>
        </w:rPr>
        <w:t xml:space="preserve">'.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בגידה</w:t>
      </w:r>
      <w:r>
        <w:rPr>
          <w:rtl w:val="true"/>
        </w:rPr>
        <w:t xml:space="preserve">' </w:t>
      </w:r>
      <w:r>
        <w:rPr>
          <w:rtl w:val="true"/>
        </w:rPr>
        <w:t>מתאפיין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מעילה</w:t>
      </w:r>
      <w:r>
        <w:rPr>
          <w:rtl w:val="true"/>
        </w:rPr>
        <w:t xml:space="preserve">, </w:t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>' (</w:t>
      </w:r>
      <w:r>
        <w:rPr>
          <w:rtl w:val="true"/>
        </w:rPr>
        <w:t>מילון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שושן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אוייב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השטחים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בשונה מסתם תייר או אזרח זר אחר השוהה בארץ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ככלל לא ייעשה שימוש בעבירה שבנדון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ייתכן שמתקיימים יסודותיה המשפטיים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הגישה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לאויביה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אויב</w:t>
      </w:r>
      <w:r>
        <w:rPr>
          <w:rFonts w:cs="Century" w:ascii="Century" w:hAnsi="Century"/>
          <w:rtl w:val="true"/>
        </w:rPr>
        <w:t>".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4-5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המערערים כולם הם תושבי ישראל</w:t>
      </w:r>
      <w:r>
        <w:rPr>
          <w:rtl w:val="true"/>
        </w:rPr>
        <w:t xml:space="preserve">, </w:t>
      </w:r>
      <w:r>
        <w:rPr>
          <w:rtl w:val="true"/>
        </w:rPr>
        <w:t>וזכאים לנוע בארץ בחופשיות</w:t>
      </w:r>
      <w:r>
        <w:rPr>
          <w:rtl w:val="true"/>
        </w:rPr>
        <w:t xml:space="preserve">. </w:t>
      </w:r>
      <w:r>
        <w:rPr>
          <w:rtl w:val="true"/>
        </w:rPr>
        <w:t>ככאלו</w:t>
      </w:r>
      <w:r>
        <w:rPr>
          <w:rtl w:val="true"/>
        </w:rPr>
        <w:t xml:space="preserve">, </w:t>
      </w:r>
      <w:r>
        <w:rPr>
          <w:rtl w:val="true"/>
        </w:rPr>
        <w:t>אף לפי הנחיית היועץ המשפטי לממשלה אין כל מניעה מהעמדתם לדין או הרשעתם בגין סיוע לאויב במלחמה</w:t>
      </w:r>
      <w:r>
        <w:rPr>
          <w:rtl w:val="true"/>
        </w:rPr>
        <w:t xml:space="preserve">. </w:t>
      </w:r>
      <w:r>
        <w:rPr>
          <w:rtl w:val="true"/>
        </w:rPr>
        <w:t>די בדברים אלו כדי לדחות את טענתם בעניין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דברים אלה</w:t>
      </w:r>
      <w:r>
        <w:rPr>
          <w:rtl w:val="true"/>
        </w:rPr>
        <w:t xml:space="preserve">, </w:t>
      </w:r>
      <w:r>
        <w:rPr>
          <w:rtl w:val="true"/>
        </w:rPr>
        <w:t xml:space="preserve">יוער כי העובדה שרשויות התביעה נמנעות מלהעמיד לדין את אויבי ישראל </w:t>
      </w:r>
      <w:r>
        <w:rPr>
          <w:rtl w:val="true"/>
        </w:rPr>
        <w:t>–</w:t>
      </w:r>
      <w:r>
        <w:rPr>
          <w:rtl w:val="true"/>
        </w:rPr>
        <w:t xml:space="preserve"> אשר אינם תושבי המדינה </w:t>
      </w:r>
      <w:r>
        <w:rPr>
          <w:rtl w:val="true"/>
        </w:rPr>
        <w:t>–</w:t>
      </w:r>
      <w:r>
        <w:rPr>
          <w:rtl w:val="true"/>
        </w:rPr>
        <w:t xml:space="preserve"> בגין ביצוע עבירה זו</w:t>
      </w:r>
      <w:r>
        <w:rPr>
          <w:rtl w:val="true"/>
        </w:rPr>
        <w:t xml:space="preserve">, </w:t>
      </w:r>
      <w:r>
        <w:rPr>
          <w:rtl w:val="true"/>
        </w:rPr>
        <w:t>אינה מעידה בהכרח על כך ש</w:t>
      </w:r>
      <w:r>
        <w:rPr>
          <w:rtl w:val="true"/>
        </w:rPr>
        <w:t>"</w:t>
      </w:r>
      <w:r>
        <w:rPr>
          <w:rtl w:val="true"/>
        </w:rPr>
        <w:t>הפרת נאמנות</w:t>
      </w:r>
      <w:r>
        <w:rPr>
          <w:rtl w:val="true"/>
        </w:rPr>
        <w:t xml:space="preserve">" </w:t>
      </w:r>
      <w:r>
        <w:rPr>
          <w:rtl w:val="true"/>
        </w:rPr>
        <w:t>למדינה מהווה חלק מהיסוד הנפשי להתקיימות העבירה</w:t>
      </w:r>
      <w:r>
        <w:rPr>
          <w:rtl w:val="true"/>
        </w:rPr>
        <w:t xml:space="preserve">, </w:t>
      </w:r>
      <w:r>
        <w:rPr>
          <w:rtl w:val="true"/>
        </w:rPr>
        <w:t>וזאת בניגוד לטענת המערערים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משהדבר אינו נדרש לצורך הכרעה בערעור דנן</w:t>
      </w:r>
      <w:r>
        <w:rPr>
          <w:rtl w:val="true"/>
        </w:rPr>
        <w:t xml:space="preserve">, </w:t>
      </w:r>
      <w:r>
        <w:rPr>
          <w:rtl w:val="true"/>
        </w:rPr>
        <w:t>אותיר את הדיון בשאלה זו לעת מצוא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הערעורים על גזר הדין</w:t>
      </w:r>
      <w:r>
        <w:rPr>
          <w:rtl w:val="true"/>
        </w:rPr>
        <w:t xml:space="preserve">, </w:t>
      </w:r>
      <w:r>
        <w:rPr>
          <w:rtl w:val="true"/>
        </w:rPr>
        <w:t>מלינים המערערים כולם על חומרת העונש שהוטל עליהם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אלבייאע</w:t>
      </w:r>
      <w:r>
        <w:rPr>
          <w:rtl w:val="true"/>
        </w:rPr>
        <w:t xml:space="preserve">, </w:t>
      </w:r>
      <w:r>
        <w:rPr>
          <w:rtl w:val="true"/>
        </w:rPr>
        <w:t>משזוכה מחלק מהעבירות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ניהול ההוכחות לא היה לשווא</w:t>
      </w:r>
      <w:r>
        <w:rPr>
          <w:rtl w:val="true"/>
        </w:rPr>
        <w:t xml:space="preserve">, </w:t>
      </w:r>
      <w:r>
        <w:rPr>
          <w:rtl w:val="true"/>
        </w:rPr>
        <w:t>ועל כן שגה בית המשפט קמא כאשר אבחן</w:t>
      </w:r>
      <w:r>
        <w:rPr>
          <w:rtl w:val="true"/>
        </w:rPr>
        <w:t xml:space="preserve"> בינו לבין </w:t>
      </w:r>
      <w:r>
        <w:rPr>
          <w:rtl w:val="true"/>
        </w:rPr>
        <w:t>חמיד בקביעת מידת העונש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אלבייאע טוען בעניין זה</w:t>
      </w:r>
      <w:r>
        <w:rPr>
          <w:rtl w:val="true"/>
        </w:rPr>
        <w:t xml:space="preserve">, </w:t>
      </w:r>
      <w:r>
        <w:rPr>
          <w:rtl w:val="true"/>
        </w:rPr>
        <w:t>כי על פי קביעות בית המשפט קמא הוא וחמיד היו שותפים ל</w:t>
      </w:r>
      <w:r>
        <w:rPr>
          <w:rtl w:val="true"/>
        </w:rPr>
        <w:t>ביצוע העבירה על כל רכיביה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חמיד</w:t>
      </w:r>
      <w:r>
        <w:rPr>
          <w:rtl w:val="true"/>
        </w:rPr>
        <w:t xml:space="preserve">, </w:t>
      </w:r>
      <w:r>
        <w:rPr>
          <w:rtl w:val="true"/>
        </w:rPr>
        <w:t>אשר הורשע כאמור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טוען כי בית המשפט </w:t>
      </w:r>
      <w:r>
        <w:rPr>
          <w:rtl w:val="true"/>
        </w:rPr>
        <w:t>קמא</w:t>
      </w:r>
      <w:r>
        <w:rPr>
          <w:rtl w:val="true"/>
        </w:rPr>
        <w:t xml:space="preserve"> לא העניק משקל </w:t>
      </w:r>
      <w:r>
        <w:rPr>
          <w:rtl w:val="true"/>
        </w:rPr>
        <w:t xml:space="preserve">הולם </w:t>
      </w:r>
      <w:r>
        <w:rPr>
          <w:rtl w:val="true"/>
        </w:rPr>
        <w:t>לעובדה כי הודה בכל המיוחס לו</w:t>
      </w:r>
      <w:r>
        <w:rPr>
          <w:rtl w:val="true"/>
        </w:rPr>
        <w:t xml:space="preserve">, </w:t>
      </w:r>
      <w:r>
        <w:rPr>
          <w:rtl w:val="true"/>
        </w:rPr>
        <w:t>ובכך חסך זמן שיפוטי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tl w:val="true"/>
        </w:rPr>
        <w:t>לחלקו הקטן יחסית בביצוע העבירה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לנסיבותיו האישיות</w:t>
      </w:r>
      <w:r>
        <w:rPr>
          <w:rtl w:val="true"/>
        </w:rPr>
        <w:t xml:space="preserve">; </w:t>
      </w:r>
      <w:r>
        <w:rPr>
          <w:rtl w:val="true"/>
        </w:rPr>
        <w:t>ולהיעדר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>עבר פלילי</w:t>
      </w:r>
      <w:r>
        <w:rPr>
          <w:rtl w:val="true"/>
        </w:rPr>
        <w:t xml:space="preserve">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ומשקבע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ו</w:t>
      </w:r>
      <w:r>
        <w:rPr>
          <w:rtl w:val="true"/>
        </w:rPr>
        <w:t>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בדיון לפנינו הדגיש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כי המערערים תכננו לבצע פיגועים רצחניים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ועשו כל שביכולתם לצורך מימוש תכניותיהם הזדוניות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רק בזכות כוחות הביטחון לא יצאו אל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העונש שהוטל עליהם הולם את מעשיהם החמורים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5" w:name="Seif111"/>
      <w:bookmarkStart w:id="16" w:name="Seif111"/>
      <w:bookmarkEnd w:id="16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הלכה ידועה היא כי ערכאת הערעור לא תתערב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של סטייה קיצונית ממדיניות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בהם נפלה טעות מהותית בגזר הדין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14.1.2019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המקרים שלפנינו אינם מנויים על אחד החריגים דלעיל</w:t>
      </w:r>
      <w:r>
        <w:rPr>
          <w:rtl w:val="true"/>
        </w:rPr>
        <w:t xml:space="preserve">. </w:t>
      </w:r>
      <w:r>
        <w:rPr>
          <w:rtl w:val="true"/>
        </w:rPr>
        <w:t>כעולה מגזר הדין</w:t>
      </w:r>
      <w:r>
        <w:rPr>
          <w:rtl w:val="true"/>
        </w:rPr>
        <w:t xml:space="preserve">, </w:t>
      </w:r>
      <w:r>
        <w:rPr>
          <w:rtl w:val="true"/>
        </w:rPr>
        <w:t>שקל בית המשפט קמא כדבעי את מכלול שיקולי הענישה הרלוונטיים והתחשב בכלל נסיבותיהם האישיות של המערערים</w:t>
      </w:r>
      <w:r>
        <w:rPr>
          <w:rtl w:val="true"/>
        </w:rPr>
        <w:t xml:space="preserve">. </w:t>
      </w:r>
      <w:r>
        <w:rPr>
          <w:rtl w:val="true"/>
        </w:rPr>
        <w:t>משכך לא מצאתי מקום להתערב בעונשים שהוטלו על 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לגופו של עניין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</w:t>
      </w:r>
      <w:r>
        <w:rPr>
          <w:rtl w:val="true"/>
        </w:rPr>
        <w:t>מידת העונש שהוטל על המערערים הולמת את חומרת 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הרשעה בעבירות הנוגעות לסיוע לאויב במלחמה</w:t>
      </w:r>
      <w:r>
        <w:rPr>
          <w:rtl w:val="true"/>
        </w:rPr>
        <w:t xml:space="preserve">, </w:t>
      </w:r>
      <w:r>
        <w:rPr>
          <w:rtl w:val="true"/>
        </w:rPr>
        <w:t>בין בדרך של ביצוע מושלם של העבירה</w:t>
      </w:r>
      <w:r>
        <w:rPr>
          <w:rtl w:val="true"/>
        </w:rPr>
        <w:t xml:space="preserve">, </w:t>
      </w:r>
      <w:r>
        <w:rPr>
          <w:rtl w:val="true"/>
        </w:rPr>
        <w:t>ובין בקשירת קשר או בניסיון</w:t>
      </w:r>
      <w:r>
        <w:rPr>
          <w:rtl w:val="true"/>
        </w:rPr>
        <w:t xml:space="preserve">, </w:t>
      </w:r>
      <w:r>
        <w:rPr>
          <w:rtl w:val="true"/>
        </w:rPr>
        <w:t xml:space="preserve">מחייבת הטלת עונשים כבדים וממשיים על מבצעי העבירה </w:t>
      </w:r>
      <w:r>
        <w:rPr>
          <w:rtl w:val="true"/>
        </w:rPr>
        <w:t>(</w:t>
      </w:r>
      <w:r>
        <w:rPr>
          <w:rtl w:val="true"/>
        </w:rPr>
        <w:t>ראו לדוגמא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ווזווז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99</w:t>
      </w:r>
      <w:r>
        <w:rPr>
          <w:rtl w:val="true"/>
        </w:rPr>
        <w:t>).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העניין דנן</w:t>
      </w:r>
      <w:r>
        <w:rPr>
          <w:rtl w:val="true"/>
        </w:rPr>
        <w:t xml:space="preserve">, </w:t>
      </w:r>
      <w:r>
        <w:rPr>
          <w:rtl w:val="true"/>
        </w:rPr>
        <w:t>תכננו המערערים לבצע פיגועי תופת רחבי היקף באזורים מרכזיים</w:t>
      </w:r>
      <w:r>
        <w:rPr>
          <w:rtl w:val="true"/>
        </w:rPr>
        <w:t>-</w:t>
      </w:r>
      <w:r>
        <w:rPr>
          <w:rtl w:val="true"/>
        </w:rPr>
        <w:t>אסטרטגיים</w:t>
      </w:r>
      <w:r>
        <w:rPr>
          <w:rtl w:val="true"/>
        </w:rPr>
        <w:t xml:space="preserve">, </w:t>
      </w:r>
      <w:r>
        <w:rPr>
          <w:rtl w:val="true"/>
        </w:rPr>
        <w:t>באופנים שונים</w:t>
      </w:r>
      <w:r>
        <w:rPr>
          <w:rtl w:val="true"/>
        </w:rPr>
        <w:t xml:space="preserve">, </w:t>
      </w:r>
      <w:r>
        <w:rPr>
          <w:rtl w:val="true"/>
        </w:rPr>
        <w:t>ובכלל זה תוך שימוש בחומרי נפץ</w:t>
      </w:r>
      <w:r>
        <w:rPr>
          <w:rtl w:val="true"/>
        </w:rPr>
        <w:t xml:space="preserve">, </w:t>
      </w:r>
      <w:r>
        <w:rPr>
          <w:rtl w:val="true"/>
        </w:rPr>
        <w:t>משאית תופת</w:t>
      </w:r>
      <w:r>
        <w:rPr>
          <w:rtl w:val="true"/>
        </w:rPr>
        <w:t xml:space="preserve">, </w:t>
      </w:r>
      <w:r>
        <w:rPr>
          <w:rtl w:val="true"/>
        </w:rPr>
        <w:t>כלי ירי ואף חטיפת חייל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בנסיבות חמורות אלו</w:t>
      </w:r>
      <w:r>
        <w:rPr>
          <w:rtl w:val="true"/>
        </w:rPr>
        <w:t xml:space="preserve">, </w:t>
      </w:r>
      <w:r>
        <w:rPr>
          <w:rtl w:val="true"/>
        </w:rPr>
        <w:t>איני סבור כי העונשים שהוטלו על המערערים חורגים ממדיניות הענישה המקובלת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כולם נטלו חלק פעיל בעבירה העיקרית של קשירת קשר לסיוע לאויב במלחמה</w:t>
      </w:r>
      <w:r>
        <w:rPr>
          <w:rtl w:val="true"/>
        </w:rPr>
        <w:t xml:space="preserve">, </w:t>
      </w:r>
      <w:r>
        <w:rPr>
          <w:rtl w:val="true"/>
        </w:rPr>
        <w:t>בתכנון 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תוך שיתוף פעולה מלא בין כל אחד מצמדי המערערים בניסיונות ללבן את הדרכים </w:t>
      </w:r>
      <w:r>
        <w:rPr>
          <w:rtl w:val="true"/>
        </w:rPr>
        <w:t>"</w:t>
      </w:r>
      <w:r>
        <w:rPr>
          <w:rtl w:val="true"/>
        </w:rPr>
        <w:t>לפגוע בכופרים וביהודים</w:t>
      </w:r>
      <w:r>
        <w:rPr>
          <w:rtl w:val="true"/>
        </w:rPr>
        <w:t xml:space="preserve">", </w:t>
      </w:r>
      <w:r>
        <w:rPr>
          <w:rtl w:val="true"/>
        </w:rPr>
        <w:t>כלשונם</w:t>
      </w:r>
      <w:r>
        <w:rPr>
          <w:rtl w:val="true"/>
        </w:rPr>
        <w:t xml:space="preserve">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אין כל מקום לאבחן בין חלקם בביצוע 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בניגוד לטענותיו של אלבייאע</w:t>
      </w:r>
      <w:r>
        <w:rPr>
          <w:rtl w:val="true"/>
        </w:rPr>
        <w:t xml:space="preserve">, </w:t>
      </w:r>
      <w:r>
        <w:rPr>
          <w:rtl w:val="true"/>
        </w:rPr>
        <w:t>מצאתי כי מדרג הענישה בינו לבין יתר המערערים הוא ראוי ומוצדק</w:t>
      </w:r>
      <w:r>
        <w:rPr>
          <w:rtl w:val="true"/>
        </w:rPr>
        <w:t xml:space="preserve">, </w:t>
      </w:r>
      <w:r>
        <w:rPr>
          <w:rtl w:val="true"/>
        </w:rPr>
        <w:t>שכן הוא נובע מן העבירות הנוספות בהן הורשע</w:t>
      </w:r>
      <w:r>
        <w:rPr>
          <w:rtl w:val="true"/>
        </w:rPr>
        <w:t xml:space="preserve">, </w:t>
      </w:r>
      <w:r>
        <w:rPr>
          <w:rtl w:val="true"/>
        </w:rPr>
        <w:t>במסגרתן עשה מאמצים מיוחדים להצטרף ללחימתו של ארגון דאע</w:t>
      </w:r>
      <w:r>
        <w:rPr>
          <w:rtl w:val="true"/>
        </w:rPr>
        <w:t>"</w:t>
      </w:r>
      <w:r>
        <w:rPr>
          <w:rtl w:val="true"/>
        </w:rPr>
        <w:t>ש בסוריה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מצאתי ממש בטענת עראמין לפיה היה על בית המשפט קמא להורות על שליחתו לתסקיר מטעם שירות המבחן לצורך בחינת סיכויי שיקומו</w:t>
      </w:r>
      <w:r>
        <w:rPr>
          <w:rtl w:val="true"/>
        </w:rPr>
        <w:t xml:space="preserve">. </w:t>
      </w:r>
      <w:r>
        <w:rPr>
          <w:rtl w:val="true"/>
        </w:rPr>
        <w:t xml:space="preserve">תסקיר שירות מבחן לא נדרש במקרה זה על פי הדין לנוכח העבירה בגינה הורשע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90">
        <w:r>
          <w:rPr>
            <w:rStyle w:val="Hyperlink"/>
            <w:color w:val="0000FF"/>
            <w:u w:val="single"/>
            <w:rtl w:val="true"/>
          </w:rPr>
          <w:t>אכרזת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תסקיר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קצין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מבחן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), </w:t>
      </w:r>
      <w:r>
        <w:rPr>
          <w:rtl w:val="true"/>
        </w:rPr>
        <w:t>ואף לא על פי נסיבותיו האישיות כפי שנבחנו בבית המשפט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אני סבור כי בדין הרשיע בית המשפט המחוזי את המערערים בקשירת קשר לסיוע לאויב במלחמה</w:t>
      </w:r>
      <w:r>
        <w:rPr>
          <w:rtl w:val="true"/>
        </w:rPr>
        <w:t xml:space="preserve">, </w:t>
      </w:r>
      <w:r>
        <w:rPr>
          <w:rtl w:val="true"/>
        </w:rPr>
        <w:t>וכי העונשים שהוטלו עליהם הולמים את המעשים החמורים שביצעו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לחברתי ולחברי לדחות את הערעורים על שני חלקיהם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13.6.2019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18055360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54678313-5536/18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3"/>
      <w:footerReference w:type="default" r:id="rId9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5536/18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עמאר אלבייאע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39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61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8" TargetMode="External"/><Relationship Id="rId6" Type="http://schemas.openxmlformats.org/officeDocument/2006/relationships/hyperlink" Target="http://www.nevo.co.il/law/70301/91" TargetMode="External"/><Relationship Id="rId7" Type="http://schemas.openxmlformats.org/officeDocument/2006/relationships/hyperlink" Target="http://www.nevo.co.il/law/70301/92" TargetMode="External"/><Relationship Id="rId8" Type="http://schemas.openxmlformats.org/officeDocument/2006/relationships/hyperlink" Target="http://www.nevo.co.il/law/70301/99" TargetMode="External"/><Relationship Id="rId9" Type="http://schemas.openxmlformats.org/officeDocument/2006/relationships/hyperlink" Target="http://www.nevo.co.il/law/70301/99.a" TargetMode="External"/><Relationship Id="rId10" Type="http://schemas.openxmlformats.org/officeDocument/2006/relationships/hyperlink" Target="http://www.nevo.co.il/law/70301/101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2515/3" TargetMode="External"/><Relationship Id="rId13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law/73729/85.1.a" TargetMode="External"/><Relationship Id="rId15" Type="http://schemas.openxmlformats.org/officeDocument/2006/relationships/hyperlink" Target="http://www.nevo.co.il/law/72510" TargetMode="External"/><Relationship Id="rId16" Type="http://schemas.openxmlformats.org/officeDocument/2006/relationships/hyperlink" Target="http://www.nevo.co.il/law/72510/2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08" TargetMode="External"/><Relationship Id="rId19" Type="http://schemas.openxmlformats.org/officeDocument/2006/relationships/hyperlink" Target="http://www.nevo.co.il/law/71557" TargetMode="External"/><Relationship Id="rId20" Type="http://schemas.openxmlformats.org/officeDocument/2006/relationships/hyperlink" Target="http://www.nevo.co.il/case/21480610" TargetMode="External"/><Relationship Id="rId21" Type="http://schemas.openxmlformats.org/officeDocument/2006/relationships/hyperlink" Target="http://www.nevo.co.il/law/70301/92" TargetMode="External"/><Relationship Id="rId22" Type="http://schemas.openxmlformats.org/officeDocument/2006/relationships/hyperlink" Target="http://www.nevo.co.il/law/70301/9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9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9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997536" TargetMode="External"/><Relationship Id="rId31" Type="http://schemas.openxmlformats.org/officeDocument/2006/relationships/hyperlink" Target="http://www.nevo.co.il/law/70301/9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9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2515" TargetMode="External"/><Relationship Id="rId36" Type="http://schemas.openxmlformats.org/officeDocument/2006/relationships/hyperlink" Target="http://www.nevo.co.il/law/70301/9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92" TargetMode="External"/><Relationship Id="rId39" Type="http://schemas.openxmlformats.org/officeDocument/2006/relationships/hyperlink" Target="http://www.nevo.co.il/law/70301/99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3729/85.1.a" TargetMode="External"/><Relationship Id="rId42" Type="http://schemas.openxmlformats.org/officeDocument/2006/relationships/hyperlink" Target="http://www.nevo.co.il/law/73729" TargetMode="External"/><Relationship Id="rId43" Type="http://schemas.openxmlformats.org/officeDocument/2006/relationships/hyperlink" Target="http://www.nevo.co.il/law/70301/25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2515/3" TargetMode="External"/><Relationship Id="rId46" Type="http://schemas.openxmlformats.org/officeDocument/2006/relationships/hyperlink" Target="http://www.nevo.co.il/law/72515" TargetMode="External"/><Relationship Id="rId47" Type="http://schemas.openxmlformats.org/officeDocument/2006/relationships/hyperlink" Target="http://www.nevo.co.il/law/70301/25" TargetMode="External"/><Relationship Id="rId48" Type="http://schemas.openxmlformats.org/officeDocument/2006/relationships/hyperlink" Target="http://www.nevo.co.il/law/72510/2a" TargetMode="External"/><Relationship Id="rId49" Type="http://schemas.openxmlformats.org/officeDocument/2006/relationships/hyperlink" Target="http://www.nevo.co.il/law/72510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99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99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92" TargetMode="External"/><Relationship Id="rId56" Type="http://schemas.openxmlformats.org/officeDocument/2006/relationships/hyperlink" Target="http://www.nevo.co.il/law/70301/9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10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99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7941759" TargetMode="External"/><Relationship Id="rId63" Type="http://schemas.openxmlformats.org/officeDocument/2006/relationships/hyperlink" Target="http://www.nevo.co.il/case/20787919" TargetMode="External"/><Relationship Id="rId64" Type="http://schemas.openxmlformats.org/officeDocument/2006/relationships/hyperlink" Target="http://www.nevo.co.il/case/5594675" TargetMode="External"/><Relationship Id="rId65" Type="http://schemas.openxmlformats.org/officeDocument/2006/relationships/hyperlink" Target="http://www.nevo.co.il/law/70301/9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17937239" TargetMode="External"/><Relationship Id="rId68" Type="http://schemas.openxmlformats.org/officeDocument/2006/relationships/hyperlink" Target="http://www.nevo.co.il/case/5997540" TargetMode="External"/><Relationship Id="rId69" Type="http://schemas.openxmlformats.org/officeDocument/2006/relationships/hyperlink" Target="http://www.nevo.co.il/case/20787919" TargetMode="External"/><Relationship Id="rId70" Type="http://schemas.openxmlformats.org/officeDocument/2006/relationships/hyperlink" Target="http://www.nevo.co.il/case/25150266" TargetMode="External"/><Relationship Id="rId71" Type="http://schemas.openxmlformats.org/officeDocument/2006/relationships/hyperlink" Target="http://www.nevo.co.il/case/20787919" TargetMode="External"/><Relationship Id="rId72" Type="http://schemas.openxmlformats.org/officeDocument/2006/relationships/hyperlink" Target="http://www.nevo.co.il/case/21472947" TargetMode="External"/><Relationship Id="rId73" Type="http://schemas.openxmlformats.org/officeDocument/2006/relationships/hyperlink" Target="http://www.nevo.co.il/case/20898746" TargetMode="External"/><Relationship Id="rId74" Type="http://schemas.openxmlformats.org/officeDocument/2006/relationships/hyperlink" Target="http://www.nevo.co.il/case/22316698" TargetMode="External"/><Relationship Id="rId75" Type="http://schemas.openxmlformats.org/officeDocument/2006/relationships/hyperlink" Target="http://www.nevo.co.il/case/5784759" TargetMode="External"/><Relationship Id="rId76" Type="http://schemas.openxmlformats.org/officeDocument/2006/relationships/hyperlink" Target="http://www.nevo.co.il/case/5736890" TargetMode="External"/><Relationship Id="rId77" Type="http://schemas.openxmlformats.org/officeDocument/2006/relationships/hyperlink" Target="http://www.nevo.co.il/case/5696504" TargetMode="External"/><Relationship Id="rId78" Type="http://schemas.openxmlformats.org/officeDocument/2006/relationships/hyperlink" Target="http://www.nevo.co.il/law/70301/99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4903/108" TargetMode="External"/><Relationship Id="rId81" Type="http://schemas.openxmlformats.org/officeDocument/2006/relationships/hyperlink" Target="http://www.nevo.co.il/law/74903" TargetMode="External"/><Relationship Id="rId82" Type="http://schemas.openxmlformats.org/officeDocument/2006/relationships/hyperlink" Target="http://www.nevo.co.il/law/70301/99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99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3745953" TargetMode="External"/><Relationship Id="rId88" Type="http://schemas.openxmlformats.org/officeDocument/2006/relationships/hyperlink" Target="http://www.nevo.co.il/law/70301/38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1557" TargetMode="External"/><Relationship Id="rId91" Type="http://schemas.openxmlformats.org/officeDocument/2006/relationships/hyperlink" Target="http://supreme.court.gov.il/" TargetMode="External"/><Relationship Id="rId92" Type="http://schemas.openxmlformats.org/officeDocument/2006/relationships/hyperlink" Target="http://www.nevo.co.il/advertisements/nevo-100.doc" TargetMode="Externa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2019-06-16T09:33:00Z</dcterms:created>
  <dc:creator>h4</dc:creator>
  <dc:description/>
  <cp:keywords/>
  <dc:language>en-IL</dc:language>
  <cp:lastModifiedBy>orly</cp:lastModifiedBy>
  <cp:lastPrinted>2019-06-13T10:47:00Z</cp:lastPrinted>
  <dcterms:modified xsi:type="dcterms:W3CDTF">2019-06-16T09:33:00Z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עמאר אלבייאע;יוסף אל שיח עמר;סעד עראמין;מוחמד עבד חמיד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21480610:2;5997536;17941759;20787919:3;5594675;17937239;5997540;25150266;21472947;20898746;22316698;5784759;5736890;5696504;23745953</vt:lpwstr>
  </property>
  <property fmtid="{D5CDD505-2E9C-101B-9397-08002B2CF9AE}" pid="9" name="CITY">
    <vt:lpwstr/>
  </property>
  <property fmtid="{D5CDD505-2E9C-101B-9397-08002B2CF9AE}" pid="10" name="DATE">
    <vt:lpwstr>20190613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אלרון;ע' גרוסקופף;א' חיות</vt:lpwstr>
  </property>
  <property fmtid="{D5CDD505-2E9C-101B-9397-08002B2CF9AE}" pid="14" name="LAWLISTTMP1">
    <vt:lpwstr>70301/092:5;099:12;091;099.a;025:3;101;038</vt:lpwstr>
  </property>
  <property fmtid="{D5CDD505-2E9C-101B-9397-08002B2CF9AE}" pid="15" name="LAWLISTTMP2">
    <vt:lpwstr>72515/003</vt:lpwstr>
  </property>
  <property fmtid="{D5CDD505-2E9C-101B-9397-08002B2CF9AE}" pid="16" name="LAWLISTTMP3">
    <vt:lpwstr>73729/085.1.a</vt:lpwstr>
  </property>
  <property fmtid="{D5CDD505-2E9C-101B-9397-08002B2CF9AE}" pid="17" name="LAWLISTTMP4">
    <vt:lpwstr>72510/002a</vt:lpwstr>
  </property>
  <property fmtid="{D5CDD505-2E9C-101B-9397-08002B2CF9AE}" pid="18" name="LAWLISTTMP5">
    <vt:lpwstr>74903/108</vt:lpwstr>
  </property>
  <property fmtid="{D5CDD505-2E9C-101B-9397-08002B2CF9AE}" pid="19" name="LAWLISTTMP6">
    <vt:lpwstr>71557</vt:lpwstr>
  </property>
  <property fmtid="{D5CDD505-2E9C-101B-9397-08002B2CF9AE}" pid="20" name="LAWYER">
    <vt:lpwstr>לאה צמל;ניק קאופמן;ג'ומעה חלאילה;מוחמד מחמוד;אופיר טישלר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</vt:lpwstr>
  </property>
  <property fmtid="{D5CDD505-2E9C-101B-9397-08002B2CF9AE}" pid="42" name="NOSE21">
    <vt:lpwstr>עבירות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1443;1446</vt:lpwstr>
  </property>
  <property fmtid="{D5CDD505-2E9C-101B-9397-08002B2CF9AE}" pid="53" name="NOSE31">
    <vt:lpwstr>סיוע לאויב במלחמה</vt:lpwstr>
  </property>
  <property fmtid="{D5CDD505-2E9C-101B-9397-08002B2CF9AE}" pid="54" name="NOSE310">
    <vt:lpwstr/>
  </property>
  <property fmtid="{D5CDD505-2E9C-101B-9397-08002B2CF9AE}" pid="55" name="NOSE32">
    <vt:lpwstr>מדיניות ענישה: עבירות ביטחון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8873;8985</vt:lpwstr>
  </property>
  <property fmtid="{D5CDD505-2E9C-101B-9397-08002B2CF9AE}" pid="64" name="PADIDATE">
    <vt:lpwstr>20190616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עפ;עפ;עפ</vt:lpwstr>
  </property>
  <property fmtid="{D5CDD505-2E9C-101B-9397-08002B2CF9AE}" pid="69" name="PROCNUM">
    <vt:lpwstr>5536;5855;5939</vt:lpwstr>
  </property>
  <property fmtid="{D5CDD505-2E9C-101B-9397-08002B2CF9AE}" pid="70" name="PROCYEAR">
    <vt:lpwstr>18;18;18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410120190613</vt:lpwstr>
  </property>
  <property fmtid="{D5CDD505-2E9C-101B-9397-08002B2CF9AE}" pid="74" name="TYPE_N_DATE">
    <vt:lpwstr>41020190613</vt:lpwstr>
  </property>
  <property fmtid="{D5CDD505-2E9C-101B-9397-08002B2CF9AE}" pid="75" name="VOLUME">
    <vt:lpwstr/>
  </property>
  <property fmtid="{D5CDD505-2E9C-101B-9397-08002B2CF9AE}" pid="76" name="WORDNUMPAGES">
    <vt:lpwstr>20</vt:lpwstr>
  </property>
</Properties>
</file>