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5579/19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מלחם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25.6.2019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ס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39155-11-16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03.02.2020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בויראת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הגר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  <w:bookmarkStart w:id="5" w:name="_GoBack"/>
            <w:bookmarkEnd w:id="5"/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6" w:name="LawTable"/>
      <w:bookmarkEnd w:id="6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</w:rPr>
          <w:t>260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</w:rPr>
          <w:t>261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תשע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2016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</w:rPr>
          <w:t>25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9" w:name="ABSTRACT_START"/>
      <w:bookmarkEnd w:id="9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מפחיתה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כדאית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>,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ביודעין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הפיגוע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מזרועות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הגביר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המקסימום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הרחק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למחבל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רצחני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בעטיין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להעדיף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נקלע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בהתעלמו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לחלוטין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ואחריו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הסייענים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מפחיתה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כדאית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בניכוי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ופסק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שנת</w:t>
      </w:r>
      <w:r>
        <w:rPr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נפתחה</w:t>
      </w:r>
      <w:r>
        <w:rPr>
          <w:rtl w:val="true"/>
        </w:rPr>
        <w:t xml:space="preserve"> </w:t>
      </w:r>
      <w:r>
        <w:rPr>
          <w:rtl w:val="true"/>
        </w:rPr>
        <w:t>בפיגוע</w:t>
      </w:r>
      <w:r>
        <w:rPr>
          <w:rtl w:val="true"/>
        </w:rPr>
        <w:t xml:space="preserve"> </w:t>
      </w:r>
      <w:r>
        <w:rPr>
          <w:rtl w:val="true"/>
        </w:rPr>
        <w:t>חבלני</w:t>
      </w:r>
      <w:r>
        <w:rPr>
          <w:rtl w:val="true"/>
        </w:rPr>
        <w:t xml:space="preserve"> </w:t>
      </w:r>
      <w:r>
        <w:rPr>
          <w:rtl w:val="true"/>
        </w:rPr>
        <w:t>רצחני</w:t>
      </w:r>
      <w:r>
        <w:rPr>
          <w:rtl w:val="true"/>
        </w:rPr>
        <w:t xml:space="preserve">. </w:t>
      </w:r>
      <w:r>
        <w:rPr>
          <w:rtl w:val="true"/>
        </w:rPr>
        <w:t>ביומה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בסביבות</w:t>
      </w:r>
      <w:r>
        <w:rPr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 </w:t>
      </w:r>
      <w:r>
        <w:rPr/>
        <w:t>14:40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tl w:val="true"/>
        </w:rPr>
        <w:t xml:space="preserve"> </w:t>
      </w:r>
      <w:r>
        <w:rPr>
          <w:rtl w:val="true"/>
        </w:rPr>
        <w:t>נשאד</w:t>
      </w:r>
      <w:r>
        <w:rPr>
          <w:rtl w:val="true"/>
        </w:rPr>
        <w:t xml:space="preserve"> </w:t>
      </w:r>
      <w:r>
        <w:rPr>
          <w:rtl w:val="true"/>
        </w:rPr>
        <w:t>מלחם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המחבל</w:t>
      </w:r>
      <w:r>
        <w:rPr>
          <w:rtl w:val="true"/>
        </w:rPr>
        <w:t xml:space="preserve">) </w:t>
      </w:r>
      <w:r>
        <w:rPr>
          <w:rtl w:val="true"/>
        </w:rPr>
        <w:t>לרחוב</w:t>
      </w:r>
      <w:r>
        <w:rPr>
          <w:rtl w:val="true"/>
        </w:rPr>
        <w:t xml:space="preserve"> </w:t>
      </w:r>
      <w:r>
        <w:rPr>
          <w:rtl w:val="true"/>
        </w:rPr>
        <w:t>דיזנגוף</w:t>
      </w:r>
      <w:r>
        <w:rPr>
          <w:rtl w:val="true"/>
        </w:rPr>
        <w:t xml:space="preserve"> </w:t>
      </w:r>
      <w:r>
        <w:rPr>
          <w:rtl w:val="true"/>
        </w:rPr>
        <w:t>בתל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tl w:val="true"/>
        </w:rPr>
        <w:t xml:space="preserve"> </w:t>
      </w:r>
      <w:r>
        <w:rPr>
          <w:rtl w:val="true"/>
        </w:rPr>
        <w:t>לפאב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סימטא</w:t>
      </w:r>
      <w:r>
        <w:rPr>
          <w:rtl w:val="true"/>
        </w:rPr>
        <w:t xml:space="preserve">", </w:t>
      </w:r>
      <w:r>
        <w:rPr>
          <w:rtl w:val="true"/>
        </w:rPr>
        <w:t>כשברשותו</w:t>
      </w:r>
      <w:r>
        <w:rPr>
          <w:rtl w:val="true"/>
        </w:rPr>
        <w:t xml:space="preserve"> </w:t>
      </w:r>
      <w:r>
        <w:rPr>
          <w:rtl w:val="true"/>
        </w:rPr>
        <w:t>קוראן</w:t>
      </w:r>
      <w:r>
        <w:rPr>
          <w:rtl w:val="true"/>
        </w:rPr>
        <w:t xml:space="preserve"> </w:t>
      </w:r>
      <w:r>
        <w:rPr>
          <w:rtl w:val="true"/>
        </w:rPr>
        <w:t>וכלי</w:t>
      </w:r>
      <w:r>
        <w:rPr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פלקון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הנשק</w:t>
      </w:r>
      <w:r>
        <w:rPr>
          <w:rtl w:val="true"/>
        </w:rPr>
        <w:t xml:space="preserve">).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 </w:t>
      </w:r>
      <w:r>
        <w:rPr>
          <w:rtl w:val="true"/>
        </w:rPr>
        <w:t>מנשק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למעלה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יושבי</w:t>
      </w:r>
      <w:r>
        <w:rPr>
          <w:rtl w:val="true"/>
        </w:rPr>
        <w:t xml:space="preserve"> </w:t>
      </w:r>
      <w:r>
        <w:rPr>
          <w:rtl w:val="true"/>
        </w:rPr>
        <w:t>הפאב</w:t>
      </w:r>
      <w:r>
        <w:rPr>
          <w:rtl w:val="true"/>
        </w:rPr>
        <w:t xml:space="preserve">, </w:t>
      </w:r>
      <w:r>
        <w:rPr>
          <w:rtl w:val="true"/>
        </w:rPr>
        <w:t>גרם</w:t>
      </w:r>
      <w:r>
        <w:rPr>
          <w:rtl w:val="true"/>
        </w:rPr>
        <w:t xml:space="preserve"> </w:t>
      </w:r>
      <w:r>
        <w:rPr>
          <w:rtl w:val="true"/>
        </w:rPr>
        <w:t>למותם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 </w:t>
      </w:r>
      <w:r>
        <w:rPr>
          <w:rtl w:val="true"/>
        </w:rPr>
        <w:t>בקל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ושמעון</w:t>
      </w:r>
      <w:r>
        <w:rPr>
          <w:rtl w:val="true"/>
        </w:rPr>
        <w:t xml:space="preserve"> </w:t>
      </w:r>
      <w:r>
        <w:rPr>
          <w:rtl w:val="true"/>
        </w:rPr>
        <w:t>רוימי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לפציעתם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ונמלט</w:t>
      </w:r>
      <w:r>
        <w:rPr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בריחתו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למונית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tl w:val="true"/>
        </w:rPr>
        <w:t xml:space="preserve"> </w:t>
      </w:r>
      <w:r>
        <w:rPr>
          <w:rtl w:val="true"/>
        </w:rPr>
        <w:t>מנהגה</w:t>
      </w:r>
      <w:r>
        <w:rPr>
          <w:rtl w:val="true"/>
        </w:rPr>
        <w:t xml:space="preserve">, </w:t>
      </w:r>
      <w:r>
        <w:rPr>
          <w:rtl w:val="true"/>
        </w:rPr>
        <w:t>מטאוע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קרינאוי</w:t>
      </w:r>
      <w:r>
        <w:rPr>
          <w:rtl w:val="true"/>
        </w:rPr>
        <w:t xml:space="preserve">,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להסיעו</w:t>
      </w:r>
      <w:r>
        <w:rPr>
          <w:rtl w:val="true"/>
        </w:rPr>
        <w:t xml:space="preserve"> </w:t>
      </w:r>
      <w:r>
        <w:rPr>
          <w:rtl w:val="true"/>
        </w:rPr>
        <w:t>לצפון</w:t>
      </w:r>
      <w:r>
        <w:rPr>
          <w:rtl w:val="true"/>
        </w:rPr>
        <w:t xml:space="preserve"> </w:t>
      </w:r>
      <w:r>
        <w:rPr>
          <w:rtl w:val="true"/>
        </w:rPr>
        <w:t>העיר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tl w:val="true"/>
        </w:rPr>
        <w:t xml:space="preserve"> </w:t>
      </w:r>
      <w:r>
        <w:rPr>
          <w:rtl w:val="true"/>
        </w:rPr>
        <w:t>למלון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מנדרין</w:t>
      </w:r>
      <w:r>
        <w:rPr>
          <w:rtl w:val="true"/>
        </w:rPr>
        <w:t xml:space="preserve">", </w:t>
      </w:r>
      <w:r>
        <w:rPr>
          <w:rtl w:val="true"/>
        </w:rPr>
        <w:t>חשד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 </w:t>
      </w:r>
      <w:r>
        <w:rPr>
          <w:rtl w:val="true"/>
        </w:rPr>
        <w:t>המונית</w:t>
      </w:r>
      <w:r>
        <w:rPr>
          <w:rtl w:val="true"/>
        </w:rPr>
        <w:t xml:space="preserve"> </w:t>
      </w:r>
      <w:r>
        <w:rPr>
          <w:rtl w:val="true"/>
        </w:rPr>
        <w:t>עשוי</w:t>
      </w:r>
      <w:r>
        <w:rPr>
          <w:rtl w:val="true"/>
        </w:rPr>
        <w:t xml:space="preserve"> </w:t>
      </w:r>
      <w:r>
        <w:rPr>
          <w:rtl w:val="true"/>
        </w:rPr>
        <w:t>להסגירו</w:t>
      </w:r>
      <w:r>
        <w:rPr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 </w:t>
      </w:r>
      <w:r>
        <w:rPr>
          <w:rtl w:val="true"/>
        </w:rPr>
        <w:t>והרגו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דרכו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גג</w:t>
      </w:r>
      <w:r>
        <w:rPr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 </w:t>
      </w:r>
      <w:r>
        <w:rPr>
          <w:rtl w:val="true"/>
        </w:rPr>
        <w:t>ברמת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תלה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יריעות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נרשם</w:t>
      </w:r>
      <w:r>
        <w:rPr>
          <w:rtl w:val="true"/>
        </w:rPr>
        <w:t xml:space="preserve"> </w:t>
      </w:r>
      <w:r>
        <w:rPr>
          <w:rtl w:val="true"/>
        </w:rPr>
        <w:t>השם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דעאש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בשפה</w:t>
      </w:r>
      <w:r>
        <w:rPr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>, "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אלוהים</w:t>
      </w:r>
      <w:r>
        <w:rPr>
          <w:rtl w:val="true"/>
        </w:rPr>
        <w:t xml:space="preserve"> </w:t>
      </w:r>
      <w:r>
        <w:rPr>
          <w:rtl w:val="true"/>
        </w:rPr>
        <w:t>מלבד</w:t>
      </w:r>
      <w:r>
        <w:rPr>
          <w:rtl w:val="true"/>
        </w:rPr>
        <w:t xml:space="preserve"> </w:t>
      </w:r>
      <w:r>
        <w:rPr>
          <w:rtl w:val="true"/>
        </w:rPr>
        <w:t>אללה</w:t>
      </w:r>
      <w:r>
        <w:rPr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 </w:t>
      </w:r>
      <w:r>
        <w:rPr>
          <w:rtl w:val="true"/>
        </w:rPr>
        <w:t>שליח</w:t>
      </w:r>
      <w:r>
        <w:rPr>
          <w:rtl w:val="true"/>
        </w:rPr>
        <w:t xml:space="preserve"> </w:t>
      </w:r>
      <w:r>
        <w:rPr>
          <w:rtl w:val="true"/>
        </w:rPr>
        <w:t>האל</w:t>
      </w:r>
      <w:r>
        <w:rPr>
          <w:rtl w:val="true"/>
        </w:rPr>
        <w:t xml:space="preserve">". </w:t>
      </w:r>
      <w:r>
        <w:rPr>
          <w:rtl w:val="true"/>
        </w:rPr>
        <w:t>משם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 </w:t>
      </w:r>
      <w:r>
        <w:rPr>
          <w:rtl w:val="true"/>
        </w:rPr>
        <w:t>מסתור</w:t>
      </w:r>
      <w:r>
        <w:rPr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 </w:t>
      </w:r>
      <w:r>
        <w:rPr>
          <w:rtl w:val="true"/>
        </w:rPr>
        <w:t>ערערה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 </w:t>
      </w:r>
      <w:r>
        <w:rPr>
          <w:rtl w:val="true"/>
        </w:rPr>
        <w:t>איתרו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נטוש</w:t>
      </w:r>
      <w:r>
        <w:rPr>
          <w:rtl w:val="true"/>
        </w:rPr>
        <w:t xml:space="preserve"> </w:t>
      </w:r>
      <w:r>
        <w:rPr>
          <w:rtl w:val="true"/>
        </w:rPr>
        <w:t>וביקשו</w:t>
      </w:r>
      <w:r>
        <w:rPr>
          <w:rtl w:val="true"/>
        </w:rPr>
        <w:t xml:space="preserve"> </w:t>
      </w:r>
      <w:r>
        <w:rPr>
          <w:rtl w:val="true"/>
        </w:rPr>
        <w:t>לעצרו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 xml:space="preserve">. </w:t>
      </w:r>
      <w:r>
        <w:rPr>
          <w:rtl w:val="true"/>
        </w:rPr>
        <w:t>הכוחות</w:t>
      </w:r>
      <w:r>
        <w:rPr>
          <w:rtl w:val="true"/>
        </w:rPr>
        <w:t xml:space="preserve"> </w:t>
      </w:r>
      <w:r>
        <w:rPr>
          <w:rtl w:val="true"/>
        </w:rPr>
        <w:t>השיבו</w:t>
      </w:r>
      <w:r>
        <w:rPr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 </w:t>
      </w:r>
      <w:r>
        <w:rPr>
          <w:rtl w:val="true"/>
        </w:rPr>
        <w:t>והרגוהו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tl w:val="true"/>
        </w:rPr>
        <w:t xml:space="preserve"> </w:t>
      </w:r>
      <w:r>
        <w:rPr>
          <w:rtl w:val="true"/>
        </w:rPr>
        <w:t>לתמונה</w:t>
      </w:r>
      <w:r>
        <w:rPr>
          <w:rtl w:val="true"/>
        </w:rPr>
        <w:t xml:space="preserve"> </w:t>
      </w:r>
      <w:r>
        <w:rPr>
          <w:rtl w:val="true"/>
        </w:rPr>
        <w:t>עגומה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3.1.2016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המסתור</w:t>
      </w:r>
      <w:r>
        <w:rPr>
          <w:rtl w:val="true"/>
        </w:rPr>
        <w:t xml:space="preserve">.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tl w:val="true"/>
        </w:rPr>
        <w:t xml:space="preserve"> </w:t>
      </w:r>
      <w:r>
        <w:rPr>
          <w:rtl w:val="true"/>
        </w:rPr>
        <w:t>בנשקו</w:t>
      </w:r>
      <w:r>
        <w:rPr>
          <w:rtl w:val="true"/>
        </w:rPr>
        <w:t xml:space="preserve"> </w:t>
      </w:r>
      <w:r>
        <w:rPr>
          <w:rtl w:val="true"/>
        </w:rPr>
        <w:t>וסיפר</w:t>
      </w:r>
      <w:r>
        <w:rPr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 </w:t>
      </w:r>
      <w:r>
        <w:rPr>
          <w:rtl w:val="true"/>
        </w:rPr>
        <w:t>הרצחני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, </w:t>
      </w:r>
      <w:r>
        <w:rPr>
          <w:rtl w:val="true"/>
        </w:rPr>
        <w:t>רכש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 </w:t>
      </w:r>
      <w:r>
        <w:rPr>
          <w:rtl w:val="true"/>
        </w:rPr>
        <w:t>מכשיר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 </w:t>
      </w:r>
      <w:r>
        <w:rPr>
          <w:rtl w:val="true"/>
        </w:rPr>
        <w:t>ומסר</w:t>
      </w:r>
      <w:r>
        <w:rPr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המכשיר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>-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>פשע</w:t>
      </w:r>
      <w:r>
        <w:rPr>
          <w:rtl w:val="true"/>
        </w:rPr>
        <w:t xml:space="preserve"> –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</w:rPr>
          <w:t>261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שעונשה</w:t>
      </w:r>
      <w:r>
        <w:rPr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39155-11-16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אליקים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שהרשיע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ששקל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כללו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שבעה</w:t>
      </w:r>
      <w:r>
        <w:rPr>
          <w:rtl w:val="true"/>
        </w:rPr>
        <w:t xml:space="preserve"> </w:t>
      </w:r>
      <w:r>
        <w:rPr>
          <w:rtl w:val="true"/>
        </w:rPr>
        <w:t>תסקירי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וחוות</w:t>
      </w:r>
      <w:r>
        <w:rPr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הממונה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19.5.2019</w:t>
      </w:r>
      <w:r>
        <w:rPr>
          <w:rtl w:val="true"/>
        </w:rPr>
        <w:t xml:space="preserve">, </w:t>
      </w:r>
      <w:r>
        <w:rPr>
          <w:rtl w:val="true"/>
        </w:rPr>
        <w:t>ששה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לבל</w:t>
      </w:r>
      <w:r>
        <w:rPr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למשך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בהיקף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מערערת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שלשיטתה</w:t>
      </w:r>
      <w:r>
        <w:rPr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נותן</w:t>
      </w:r>
      <w:r>
        <w:rPr>
          <w:rtl w:val="true"/>
        </w:rPr>
        <w:t xml:space="preserve"> </w:t>
      </w:r>
      <w:r>
        <w:rPr>
          <w:rtl w:val="true"/>
        </w:rPr>
        <w:t>ביטוי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שהסיוע</w:t>
      </w:r>
      <w:r>
        <w:rPr>
          <w:rtl w:val="true"/>
        </w:rPr>
        <w:t xml:space="preserve"> </w:t>
      </w:r>
      <w:r>
        <w:rPr>
          <w:rtl w:val="true"/>
        </w:rPr>
        <w:t>שהמשיב</w:t>
      </w:r>
      <w:r>
        <w:rPr>
          <w:rtl w:val="true"/>
        </w:rPr>
        <w:t xml:space="preserve"> </w:t>
      </w:r>
      <w:r>
        <w:rPr>
          <w:rtl w:val="true"/>
        </w:rPr>
        <w:t>הושיט</w:t>
      </w:r>
      <w:r>
        <w:rPr>
          <w:rtl w:val="true"/>
        </w:rPr>
        <w:t xml:space="preserve"> </w:t>
      </w:r>
      <w:r>
        <w:rPr>
          <w:rtl w:val="true"/>
        </w:rPr>
        <w:t>למחבל</w:t>
      </w:r>
      <w:r>
        <w:rPr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 </w:t>
      </w:r>
      <w:r>
        <w:rPr>
          <w:rtl w:val="true"/>
        </w:rPr>
        <w:t>הרצחני</w:t>
      </w:r>
      <w:r>
        <w:rPr>
          <w:rtl w:val="true"/>
        </w:rPr>
        <w:t xml:space="preserve"> </w:t>
      </w:r>
      <w:r>
        <w:rPr>
          <w:rtl w:val="true"/>
        </w:rPr>
        <w:t>סיכן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ביטחונם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 xml:space="preserve"> </w:t>
      </w:r>
      <w:r>
        <w:rPr>
          <w:rtl w:val="true"/>
        </w:rPr>
        <w:t>אזרחיה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מוסיפה</w:t>
      </w:r>
      <w:r>
        <w:rPr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אפשר</w:t>
      </w:r>
      <w:r>
        <w:rPr>
          <w:rtl w:val="true"/>
        </w:rPr>
        <w:t xml:space="preserve"> </w:t>
      </w:r>
      <w:r>
        <w:rPr>
          <w:rtl w:val="true"/>
        </w:rPr>
        <w:t>למחבל</w:t>
      </w:r>
      <w:r>
        <w:rPr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תומכיו</w:t>
      </w:r>
      <w:r>
        <w:rPr>
          <w:rtl w:val="true"/>
        </w:rPr>
        <w:t xml:space="preserve"> </w:t>
      </w:r>
      <w:r>
        <w:rPr>
          <w:rtl w:val="true"/>
        </w:rPr>
        <w:t>ולהגדיל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סיכויי</w:t>
      </w:r>
      <w:r>
        <w:rPr>
          <w:rtl w:val="true"/>
        </w:rPr>
        <w:t xml:space="preserve"> </w:t>
      </w:r>
      <w:r>
        <w:rPr>
          <w:rtl w:val="true"/>
        </w:rPr>
        <w:t>ההימלטות</w:t>
      </w:r>
      <w:r>
        <w:rPr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 </w:t>
      </w:r>
      <w:r>
        <w:rPr>
          <w:rtl w:val="true"/>
        </w:rPr>
        <w:t>מזרועות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 – </w:t>
      </w:r>
      <w:r>
        <w:rPr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 –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הפך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למסוכן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tl w:val="true"/>
        </w:rPr>
        <w:t xml:space="preserve"> </w:t>
      </w:r>
      <w:r>
        <w:rPr>
          <w:rtl w:val="true"/>
        </w:rPr>
        <w:t>שעלול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נשנה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ונחמיר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ישקף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היתירה</w:t>
      </w:r>
      <w:r>
        <w:rPr>
          <w:rtl w:val="true"/>
        </w:rPr>
        <w:t xml:space="preserve"> </w:t>
      </w:r>
      <w:r>
        <w:rPr>
          <w:rtl w:val="true"/>
        </w:rPr>
        <w:t>הגלומה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 </w:t>
      </w:r>
      <w:r>
        <w:rPr>
          <w:rtl w:val="true"/>
        </w:rPr>
        <w:t>ולהעביר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צפויים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שהתקיים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 </w:t>
      </w:r>
      <w:r>
        <w:rPr>
          <w:rtl w:val="true"/>
        </w:rPr>
        <w:t>ופירטה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 </w:t>
      </w:r>
      <w:r>
        <w:rPr>
          <w:rtl w:val="true"/>
        </w:rPr>
        <w:t>לאחת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הולם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tl w:val="true"/>
        </w:rPr>
        <w:t xml:space="preserve"> </w:t>
      </w:r>
      <w:r>
        <w:rPr>
          <w:rtl w:val="true"/>
        </w:rPr>
        <w:t>מאתנו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חסך</w:t>
      </w:r>
      <w:r>
        <w:rPr>
          <w:rtl w:val="true"/>
        </w:rPr>
        <w:t xml:space="preserve"> </w:t>
      </w:r>
      <w:r>
        <w:rPr>
          <w:rtl w:val="true"/>
        </w:rPr>
        <w:t>מזמנו</w:t>
      </w:r>
      <w:r>
        <w:rPr>
          <w:rtl w:val="true"/>
        </w:rPr>
        <w:t xml:space="preserve"> </w:t>
      </w:r>
      <w:r>
        <w:rPr>
          <w:rtl w:val="true"/>
        </w:rPr>
        <w:t>ומזמנה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הצביע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22</w:t>
      </w:r>
      <w:r>
        <w:rPr>
          <w:rtl w:val="true"/>
        </w:rPr>
        <w:t xml:space="preserve">);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בילה</w:t>
      </w:r>
      <w:r>
        <w:rPr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כניסתו</w:t>
      </w:r>
      <w:r>
        <w:rPr>
          <w:rtl w:val="true"/>
        </w:rPr>
        <w:t xml:space="preserve"> </w:t>
      </w:r>
      <w:r>
        <w:rPr>
          <w:rtl w:val="true"/>
        </w:rPr>
        <w:t>והירתמותו</w:t>
      </w:r>
      <w:r>
        <w:rPr>
          <w:rtl w:val="true"/>
        </w:rPr>
        <w:t xml:space="preserve"> </w:t>
      </w:r>
      <w:r>
        <w:rPr>
          <w:rtl w:val="true"/>
        </w:rPr>
        <w:t>לתהליך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ההמלצה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 </w:t>
      </w:r>
      <w:r>
        <w:rPr>
          <w:rtl w:val="true"/>
        </w:rPr>
        <w:t>ושירות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הספיק</w:t>
      </w:r>
      <w:r>
        <w:rPr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 </w:t>
      </w:r>
      <w:r>
        <w:rPr>
          <w:rtl w:val="true"/>
        </w:rPr>
        <w:t>ממחצית</w:t>
      </w:r>
      <w:r>
        <w:rPr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הופנינו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67504-11-17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12.4.2018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השית</w:t>
      </w:r>
      <w:r>
        <w:rPr>
          <w:rtl w:val="true"/>
        </w:rPr>
        <w:t xml:space="preserve"> </w:t>
      </w:r>
      <w:r>
        <w:rPr>
          <w:rtl w:val="true"/>
        </w:rPr>
        <w:t>שישה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ועונשים</w:t>
      </w:r>
      <w:r>
        <w:rPr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צעירים</w:t>
      </w:r>
      <w:r>
        <w:rPr>
          <w:rtl w:val="true"/>
        </w:rPr>
        <w:t xml:space="preserve">, </w:t>
      </w:r>
      <w:r>
        <w:rPr>
          <w:rtl w:val="true"/>
        </w:rPr>
        <w:t>נטולי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שהושיטו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>-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למפגע</w:t>
      </w:r>
      <w:r>
        <w:rPr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 </w:t>
      </w:r>
      <w:r>
        <w:rPr>
          <w:rtl w:val="true"/>
        </w:rPr>
        <w:t>עוברי</w:t>
      </w:r>
      <w:r>
        <w:rPr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היותם</w:t>
      </w:r>
      <w:r>
        <w:rPr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 </w:t>
      </w:r>
      <w:r>
        <w:rPr>
          <w:rtl w:val="true"/>
        </w:rPr>
        <w:t>וגרם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).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 </w:t>
      </w:r>
      <w:r>
        <w:rPr>
          <w:rtl w:val="true"/>
        </w:rPr>
        <w:t>בהקשר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שיקולי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בהסתמכו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tl w:val="true"/>
        </w:rPr>
        <w:t xml:space="preserve"> </w:t>
      </w:r>
      <w:r>
        <w:rPr>
          <w:rtl w:val="true"/>
        </w:rPr>
        <w:t>שנעשה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; </w:t>
      </w:r>
      <w:r>
        <w:rPr>
          <w:rtl w:val="true"/>
        </w:rPr>
        <w:t>וכך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פשיטא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בהשוואה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>-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נופלות</w:t>
      </w:r>
      <w:r>
        <w:rPr>
          <w:rtl w:val="true"/>
        </w:rPr>
        <w:t xml:space="preserve"> </w:t>
      </w:r>
      <w:r>
        <w:rPr>
          <w:rtl w:val="true"/>
        </w:rPr>
        <w:t>בגדרי</w:t>
      </w:r>
      <w:r>
        <w:rPr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260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261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חצתה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הרף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סיפק</w:t>
      </w:r>
      <w:r>
        <w:rPr>
          <w:rtl w:val="true"/>
        </w:rPr>
        <w:t xml:space="preserve"> </w:t>
      </w:r>
      <w:r>
        <w:rPr>
          <w:rtl w:val="true"/>
        </w:rPr>
        <w:t>טלפון</w:t>
      </w:r>
      <w:r>
        <w:rPr>
          <w:rtl w:val="true"/>
        </w:rPr>
        <w:t xml:space="preserve"> </w:t>
      </w:r>
      <w:r>
        <w:rPr>
          <w:rtl w:val="true"/>
        </w:rPr>
        <w:t>סלולרי</w:t>
      </w:r>
      <w:r>
        <w:rPr>
          <w:rtl w:val="true"/>
        </w:rPr>
        <w:t xml:space="preserve"> </w:t>
      </w:r>
      <w:r>
        <w:rPr>
          <w:rtl w:val="true"/>
        </w:rPr>
        <w:t>למחבל</w:t>
      </w:r>
      <w:r>
        <w:rPr>
          <w:rtl w:val="true"/>
        </w:rPr>
        <w:t xml:space="preserve"> </w:t>
      </w:r>
      <w:r>
        <w:rPr>
          <w:rtl w:val="true"/>
        </w:rPr>
        <w:t>חמוש</w:t>
      </w:r>
      <w:r>
        <w:rPr>
          <w:rtl w:val="true"/>
        </w:rPr>
        <w:t xml:space="preserve"> </w:t>
      </w:r>
      <w:r>
        <w:rPr>
          <w:rtl w:val="true"/>
        </w:rPr>
        <w:t>שרצח</w:t>
      </w:r>
      <w:r>
        <w:rPr>
          <w:rtl w:val="true"/>
        </w:rPr>
        <w:t xml:space="preserve"> </w:t>
      </w:r>
      <w:r>
        <w:rPr>
          <w:rtl w:val="true"/>
        </w:rPr>
        <w:t>שלושה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 </w:t>
      </w:r>
      <w:r>
        <w:rPr>
          <w:rtl w:val="true"/>
        </w:rPr>
        <w:t>ופצע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tl w:val="true"/>
        </w:rPr>
        <w:t xml:space="preserve"> </w:t>
      </w:r>
      <w:r>
        <w:rPr>
          <w:rtl w:val="true"/>
        </w:rPr>
        <w:t>נחוש</w:t>
      </w:r>
      <w:r>
        <w:rPr>
          <w:rtl w:val="true"/>
        </w:rPr>
        <w:t xml:space="preserve"> </w:t>
      </w:r>
      <w:r>
        <w:rPr>
          <w:rtl w:val="true"/>
        </w:rPr>
        <w:t>בדעתו</w:t>
      </w:r>
      <w:r>
        <w:rPr>
          <w:rtl w:val="true"/>
        </w:rPr>
        <w:t xml:space="preserve"> </w:t>
      </w:r>
      <w:r>
        <w:rPr>
          <w:rtl w:val="true"/>
        </w:rPr>
        <w:t>לרצוח</w:t>
      </w:r>
      <w:r>
        <w:rPr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פעל</w:t>
      </w:r>
      <w:r>
        <w:rPr>
          <w:rtl w:val="true"/>
        </w:rPr>
        <w:t xml:space="preserve"> </w:t>
      </w:r>
      <w:r>
        <w:rPr>
          <w:rtl w:val="true"/>
        </w:rPr>
        <w:t>ביודעין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לסייע</w:t>
      </w:r>
      <w:r>
        <w:rPr>
          <w:rtl w:val="true"/>
        </w:rPr>
        <w:t xml:space="preserve"> </w:t>
      </w:r>
      <w:r>
        <w:rPr>
          <w:rtl w:val="true"/>
        </w:rPr>
        <w:t>למחבל</w:t>
      </w:r>
      <w:r>
        <w:rPr>
          <w:rtl w:val="true"/>
        </w:rPr>
        <w:t xml:space="preserve"> </w:t>
      </w:r>
      <w:r>
        <w:rPr>
          <w:rtl w:val="true"/>
        </w:rPr>
        <w:t>אחרי</w:t>
      </w:r>
      <w:r>
        <w:rPr>
          <w:rtl w:val="true"/>
        </w:rPr>
        <w:t xml:space="preserve"> </w:t>
      </w:r>
      <w:r>
        <w:rPr>
          <w:rtl w:val="true"/>
        </w:rPr>
        <w:t>הפיגוע</w:t>
      </w:r>
      <w:r>
        <w:rPr>
          <w:rtl w:val="true"/>
        </w:rPr>
        <w:t xml:space="preserve">.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 </w:t>
      </w:r>
      <w:r>
        <w:rPr>
          <w:rtl w:val="true"/>
        </w:rPr>
        <w:t>להקל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מזרועות</w:t>
      </w:r>
      <w:r>
        <w:rPr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הגביר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 </w:t>
      </w:r>
      <w:r>
        <w:rPr>
          <w:rtl w:val="true"/>
        </w:rPr>
        <w:t>כמי</w:t>
      </w:r>
      <w:r>
        <w:rPr>
          <w:rtl w:val="true"/>
        </w:rPr>
        <w:t xml:space="preserve"> </w:t>
      </w:r>
      <w:r>
        <w:rPr>
          <w:rtl w:val="true"/>
        </w:rPr>
        <w:t>שעלול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לבצע</w:t>
      </w:r>
      <w:r>
        <w:rPr>
          <w:rtl w:val="true"/>
        </w:rPr>
        <w:t xml:space="preserve"> </w:t>
      </w:r>
      <w:r>
        <w:rPr>
          <w:rtl w:val="true"/>
        </w:rPr>
        <w:t>פיגוע</w:t>
      </w:r>
      <w:r>
        <w:rPr>
          <w:rtl w:val="true"/>
        </w:rPr>
        <w:t xml:space="preserve"> </w:t>
      </w:r>
      <w:r>
        <w:rPr>
          <w:rtl w:val="true"/>
        </w:rPr>
        <w:t>רצחני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הרף</w:t>
      </w:r>
      <w:r>
        <w:rPr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אמור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 </w:t>
      </w:r>
      <w:r>
        <w:rPr>
          <w:rtl w:val="true"/>
        </w:rPr>
        <w:t>המקסימום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כשהרף</w:t>
      </w:r>
      <w:r>
        <w:rPr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 </w:t>
      </w:r>
      <w:r>
        <w:rPr>
          <w:rtl w:val="true"/>
        </w:rPr>
        <w:t>ממוקם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הרחק</w:t>
      </w:r>
      <w:r>
        <w:rPr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2352/19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דנילוב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(‏</w:t>
      </w:r>
      <w:r>
        <w:rPr/>
        <w:t>15.10.2019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(</w:t>
      </w:r>
      <w:r>
        <w:rPr/>
        <w:t>16.8.2019</w:t>
      </w:r>
      <w:r>
        <w:rPr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לוגסי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5.6.2016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7702/10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66</w:t>
      </w:r>
      <w:r>
        <w:rPr>
          <w:rtl w:val="true"/>
        </w:rPr>
        <w:t xml:space="preserve"> (</w:t>
      </w:r>
      <w:r>
        <w:rPr/>
        <w:t>29.5.2014</w:t>
      </w:r>
      <w:r>
        <w:rPr>
          <w:rtl w:val="true"/>
        </w:rPr>
        <w:t xml:space="preserve">);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7075/03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(</w:t>
      </w:r>
      <w:r>
        <w:rPr/>
        <w:t>2.8.2006</w:t>
      </w:r>
      <w:r>
        <w:rPr>
          <w:rtl w:val="true"/>
        </w:rPr>
        <w:t xml:space="preserve">);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4272/04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פלוני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175</w:t>
      </w:r>
      <w:r>
        <w:rPr>
          <w:rtl w:val="true"/>
        </w:rPr>
        <w:t xml:space="preserve">, </w:t>
      </w:r>
      <w:r>
        <w:rPr/>
        <w:t>189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4889/02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רעד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(</w:t>
      </w:r>
      <w:r>
        <w:rPr/>
        <w:t>16.2.2003</w:t>
      </w:r>
      <w:r>
        <w:rPr>
          <w:rtl w:val="true"/>
        </w:rPr>
        <w:t xml:space="preserve">); </w:t>
      </w:r>
      <w:hyperlink r:id="rId3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1456/01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חדד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609</w:t>
      </w:r>
      <w:r>
        <w:rPr>
          <w:rtl w:val="true"/>
        </w:rPr>
        <w:t xml:space="preserve">, </w:t>
      </w:r>
      <w:r>
        <w:rPr/>
        <w:t>614-613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); 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2620/93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מדינת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ישראל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נ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'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פלוני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מט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3-2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212/79</w:t>
        </w:r>
        <w:r>
          <w:rPr>
            <w:rStyle w:val="Hyperlink"/>
            <w:rtl w:val="true"/>
          </w:rPr>
          <w:t xml:space="preserve">‏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''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לד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421</w:t>
      </w:r>
      <w:r>
        <w:rPr>
          <w:rtl w:val="true"/>
        </w:rPr>
        <w:t xml:space="preserve">, </w:t>
      </w:r>
      <w:r>
        <w:rPr/>
        <w:t>423</w:t>
      </w:r>
      <w:r>
        <w:rPr>
          <w:rtl w:val="true"/>
        </w:rPr>
        <w:t xml:space="preserve"> (</w:t>
      </w:r>
      <w:r>
        <w:rPr/>
        <w:t>1979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שביקשה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הקל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לנכון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 </w:t>
      </w:r>
      <w:r>
        <w:rPr>
          <w:rtl w:val="true"/>
        </w:rPr>
        <w:t>שלפי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מצדיקות</w:t>
      </w:r>
      <w:r>
        <w:rPr>
          <w:rtl w:val="true"/>
        </w:rPr>
        <w:t xml:space="preserve"> </w:t>
      </w:r>
      <w:r>
        <w:rPr>
          <w:rtl w:val="true"/>
        </w:rPr>
        <w:t>חריגה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משיקולי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חלים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–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". </w:t>
      </w:r>
      <w:r>
        <w:rPr>
          <w:rtl w:val="true"/>
        </w:rPr>
        <w:t>בקבעו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ובהטילו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,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ומאסר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כהמלצתו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נסמך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קביעה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tl w:val="true"/>
        </w:rPr>
        <w:t xml:space="preserve"> </w:t>
      </w:r>
      <w:r>
        <w:rPr>
          <w:rtl w:val="true"/>
        </w:rPr>
        <w:t>הכבוד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.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ביסס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 </w:t>
      </w:r>
      <w:r>
        <w:rPr>
          <w:rtl w:val="true"/>
        </w:rPr>
        <w:t>שראה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מורכב</w:t>
      </w:r>
      <w:r>
        <w:rPr>
          <w:rtl w:val="true"/>
        </w:rPr>
        <w:t xml:space="preserve"> </w:t>
      </w:r>
      <w:r>
        <w:rPr>
          <w:rtl w:val="true"/>
        </w:rPr>
        <w:t>משני</w:t>
      </w:r>
      <w:r>
        <w:rPr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tl w:val="true"/>
        </w:rPr>
        <w:t>-</w:t>
      </w:r>
      <w:r>
        <w:rPr>
          <w:rtl w:val="true"/>
        </w:rPr>
        <w:t>משנה</w:t>
      </w:r>
      <w:r>
        <w:rPr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השתקם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". </w:t>
      </w:r>
      <w:r>
        <w:rPr>
          <w:rtl w:val="true"/>
        </w:rPr>
        <w:t>דא</w:t>
      </w:r>
      <w:r>
        <w:rPr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סמכות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סוייגה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tl w:val="true"/>
        </w:rPr>
        <w:t>-</w:t>
      </w:r>
      <w:r>
        <w:rPr>
          <w:rtl w:val="true"/>
        </w:rPr>
        <w:t>משנה</w:t>
      </w:r>
      <w:r>
        <w:rPr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השתקם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שישתקם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, </w:t>
      </w:r>
      <w:r>
        <w:rPr>
          <w:rtl w:val="true"/>
        </w:rPr>
        <w:t>ופירט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."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FrankRuehl" w:hAnsi="FrankRuehl" w:cs="FrankRuehl"/>
        </w:rPr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דומני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לחלוק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שבמעשה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ובמידת</w:t>
      </w:r>
      <w:r>
        <w:rPr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דוגמת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נושא</w:t>
      </w:r>
      <w:r>
        <w:rPr>
          <w:rtl w:val="true"/>
        </w:rPr>
        <w:t xml:space="preserve"> </w:t>
      </w:r>
      <w:r>
        <w:rPr>
          <w:rtl w:val="true"/>
        </w:rPr>
        <w:t>באחריות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המאבק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בטרור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התשע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</w:rPr>
          <w:t>2016</w:t>
        </w:r>
      </w:hyperlink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בטרור</w:t>
      </w:r>
      <w:r>
        <w:rPr>
          <w:rtl w:val="true"/>
        </w:rPr>
        <w:t xml:space="preserve">), </w:t>
      </w:r>
      <w:r>
        <w:rPr>
          <w:rtl w:val="true"/>
        </w:rPr>
        <w:t>שעונשה</w:t>
      </w:r>
      <w:r>
        <w:rPr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כניסתו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המאבק</w:t>
      </w:r>
      <w:r>
        <w:rPr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 </w:t>
      </w:r>
      <w:r>
        <w:rPr>
          <w:rtl w:val="true"/>
        </w:rPr>
        <w:t>לתוקף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התפיסה</w:t>
      </w:r>
      <w:r>
        <w:rPr>
          <w:rtl w:val="true"/>
        </w:rPr>
        <w:t xml:space="preserve"> </w:t>
      </w:r>
      <w:r>
        <w:rPr>
          <w:rtl w:val="true"/>
        </w:rPr>
        <w:t>הערכית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 xml:space="preserve"> </w:t>
      </w:r>
      <w:r>
        <w:rPr>
          <w:rtl w:val="true"/>
        </w:rPr>
        <w:t>נטעה</w:t>
      </w:r>
      <w:r>
        <w:rPr>
          <w:rtl w:val="true"/>
        </w:rPr>
        <w:t xml:space="preserve"> </w:t>
      </w:r>
      <w:r>
        <w:rPr>
          <w:rtl w:val="true"/>
        </w:rPr>
        <w:t>שורשים</w:t>
      </w:r>
      <w:r>
        <w:rPr>
          <w:rtl w:val="true"/>
        </w:rPr>
        <w:t xml:space="preserve"> </w:t>
      </w:r>
      <w:r>
        <w:rPr>
          <w:rtl w:val="true"/>
        </w:rPr>
        <w:t>במשפטנו</w:t>
      </w:r>
      <w:r>
        <w:rPr>
          <w:rtl w:val="true"/>
        </w:rPr>
        <w:t xml:space="preserve"> </w:t>
      </w:r>
      <w:r>
        <w:rPr>
          <w:rtl w:val="true"/>
        </w:rPr>
        <w:t>מקדמת</w:t>
      </w:r>
      <w:r>
        <w:rPr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 xml:space="preserve">; </w:t>
      </w:r>
      <w:r>
        <w:rPr>
          <w:rtl w:val="true"/>
        </w:rPr>
        <w:t>ולפי</w:t>
      </w:r>
      <w:r>
        <w:rPr>
          <w:rtl w:val="true"/>
        </w:rPr>
        <w:t xml:space="preserve"> </w:t>
      </w:r>
      <w:r>
        <w:rPr>
          <w:rtl w:val="true"/>
        </w:rPr>
        <w:t>תפיסה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למחבל</w:t>
      </w:r>
      <w:r>
        <w:rPr>
          <w:rtl w:val="true"/>
        </w:rPr>
        <w:t xml:space="preserve"> </w:t>
      </w:r>
      <w:r>
        <w:rPr>
          <w:rtl w:val="true"/>
        </w:rPr>
        <w:t>רצחני</w:t>
      </w:r>
      <w:r>
        <w:rPr>
          <w:rtl w:val="true"/>
        </w:rPr>
        <w:t xml:space="preserve"> </w:t>
      </w:r>
      <w:r>
        <w:rPr>
          <w:rtl w:val="true"/>
        </w:rPr>
        <w:t>נופל</w:t>
      </w:r>
      <w:r>
        <w:rPr>
          <w:rtl w:val="true"/>
        </w:rPr>
        <w:t xml:space="preserve"> </w:t>
      </w:r>
      <w:r>
        <w:rPr>
          <w:rtl w:val="true"/>
        </w:rPr>
        <w:t>בגדר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בעלת</w:t>
      </w:r>
      <w:r>
        <w:rPr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כשמדובר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>-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מסווג</w:t>
      </w:r>
      <w:r>
        <w:rPr>
          <w:rtl w:val="true"/>
        </w:rPr>
        <w:t xml:space="preserve"> </w:t>
      </w:r>
      <w:r>
        <w:rPr>
          <w:rtl w:val="true"/>
        </w:rPr>
        <w:t>כעוון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להפעיל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הוראת</w:t>
      </w:r>
      <w:r>
        <w:rPr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לטובת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באין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ויוצאות</w:t>
      </w:r>
      <w:r>
        <w:rPr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שמורה</w:t>
      </w:r>
      <w:r>
        <w:rPr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ויוצאות</w:t>
      </w:r>
      <w:r>
        <w:rPr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נדרשות</w:t>
      </w:r>
      <w:r>
        <w:rPr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להוסיף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שעלה</w:t>
      </w:r>
      <w:r>
        <w:rPr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 </w:t>
      </w:r>
      <w:r>
        <w:rPr>
          <w:rtl w:val="true"/>
        </w:rPr>
        <w:t>תוספת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חייבת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– </w:t>
      </w:r>
      <w:r>
        <w:rPr>
          <w:rtl w:val="true"/>
        </w:rPr>
        <w:t>בכגון</w:t>
      </w:r>
      <w:r>
        <w:rPr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נוכל</w:t>
      </w:r>
      <w:r>
        <w:rPr>
          <w:rtl w:val="true"/>
        </w:rPr>
        <w:t xml:space="preserve"> </w:t>
      </w:r>
      <w:r>
        <w:rPr>
          <w:rtl w:val="true"/>
        </w:rPr>
        <w:t>להסתפק</w:t>
      </w:r>
      <w:r>
        <w:rPr>
          <w:rtl w:val="true"/>
        </w:rPr>
        <w:t xml:space="preserve"> </w:t>
      </w:r>
      <w:r>
        <w:rPr>
          <w:rtl w:val="true"/>
        </w:rPr>
        <w:t>בפחות</w:t>
      </w:r>
      <w:r>
        <w:rPr>
          <w:rtl w:val="true"/>
        </w:rPr>
        <w:t xml:space="preserve"> </w:t>
      </w:r>
      <w:r>
        <w:rPr>
          <w:rtl w:val="true"/>
        </w:rPr>
        <w:t>ממהפך</w:t>
      </w:r>
      <w:r>
        <w:rPr>
          <w:rtl w:val="true"/>
        </w:rPr>
        <w:t xml:space="preserve"> </w:t>
      </w:r>
      <w:r>
        <w:rPr>
          <w:rtl w:val="true"/>
        </w:rPr>
        <w:t>מוכח</w:t>
      </w:r>
      <w:r>
        <w:rPr>
          <w:rtl w:val="true"/>
        </w:rPr>
        <w:t xml:space="preserve"> </w:t>
      </w:r>
      <w:r>
        <w:rPr>
          <w:rtl w:val="true"/>
        </w:rPr>
        <w:t>באישיותו</w:t>
      </w:r>
      <w:r>
        <w:rPr>
          <w:rtl w:val="true"/>
        </w:rPr>
        <w:t xml:space="preserve">, </w:t>
      </w:r>
      <w:r>
        <w:rPr>
          <w:rtl w:val="true"/>
        </w:rPr>
        <w:t>בתפיסותיו</w:t>
      </w:r>
      <w:r>
        <w:rPr>
          <w:rtl w:val="true"/>
        </w:rPr>
        <w:t xml:space="preserve"> </w:t>
      </w:r>
      <w:r>
        <w:rPr>
          <w:rtl w:val="true"/>
        </w:rPr>
        <w:t>ובהלכותיו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2125/18</w:t>
        </w:r>
        <w:r>
          <w:rPr>
            <w:rStyle w:val="Hyperlink"/>
            <w:rtl w:val="true"/>
          </w:rPr>
          <w:t xml:space="preserve">‏ 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דוד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>
          <w:rFonts w:cs="FrankRuehl" w:ascii="FrankRuehl" w:hAnsi="FrankRuehl"/>
          <w:sz w:val="28"/>
          <w:rtl w:val="true"/>
        </w:rPr>
        <w:t>‏</w:t>
      </w:r>
      <w:r>
        <w:rPr>
          <w:rFonts w:cs="FrankRuehl" w:ascii="FrankRuehl" w:hAnsi="FrankRuehl"/>
          <w:sz w:val="28"/>
        </w:rPr>
        <w:t>18.12.2018</w:t>
      </w:r>
      <w:r>
        <w:rPr>
          <w:rtl w:val="true"/>
        </w:rPr>
        <w:t xml:space="preserve">); 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205/18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אבראהים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25.4.2018</w:t>
      </w:r>
      <w:r>
        <w:rPr>
          <w:rtl w:val="true"/>
        </w:rPr>
        <w:t xml:space="preserve">); 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8622/14</w:t>
        </w:r>
      </w:hyperlink>
      <w:r>
        <w:rPr>
          <w:rtl w:val="true"/>
        </w:rPr>
        <w:t xml:space="preserve">‏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רבי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(‏</w:t>
      </w:r>
      <w:r>
        <w:rPr/>
        <w:t>16.7.2015</w:t>
      </w:r>
      <w:r>
        <w:rPr>
          <w:rtl w:val="true"/>
        </w:rPr>
        <w:t xml:space="preserve">); </w:t>
      </w:r>
      <w:r>
        <w:rPr>
          <w:rtl w:val="true"/>
        </w:rPr>
        <w:t>וכן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rtl w:val="true"/>
        </w:rPr>
        <w:t>(‏</w:t>
      </w:r>
      <w:r>
        <w:rPr>
          <w:rFonts w:cs="FrankRuehl" w:ascii="FrankRuehl" w:hAnsi="FrankRuehl"/>
        </w:rPr>
        <w:t>18.4.2018</w:t>
      </w:r>
      <w:r>
        <w:rPr>
          <w:rFonts w:cs="FrankRuehl" w:ascii="FrankRuehl" w:hAnsi="FrankRuehl"/>
          <w:rtl w:val="true"/>
        </w:rPr>
        <w:t xml:space="preserve">) </w:t>
      </w:r>
      <w:r>
        <w:rPr>
          <w:rFonts w:ascii="FrankRuehl" w:hAnsi="FrankRuehl" w:cs="FrankRuehl"/>
          <w:rtl w:val="true"/>
        </w:rPr>
        <w:t xml:space="preserve">בדבר הצורך בהקפדה יתרה על קיומן של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ויוצאות</w:t>
      </w:r>
      <w:r>
        <w:rPr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" </w:t>
      </w:r>
      <w:r>
        <w:rPr>
          <w:rtl w:val="true"/>
        </w:rPr>
        <w:t>בהפעלתו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FrankRuehl" w:ascii="FrankRuehl" w:hAnsi="FrankRuehl"/>
          <w:rtl w:val="true"/>
        </w:rPr>
        <w:t>).</w:t>
      </w:r>
    </w:p>
    <w:p>
      <w:pPr>
        <w:pStyle w:val="Ruller4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 </w:t>
      </w:r>
      <w:r>
        <w:rPr>
          <w:rtl w:val="true"/>
        </w:rPr>
        <w:t>אותן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ויוצאות</w:t>
      </w:r>
      <w:r>
        <w:rPr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" </w:t>
      </w:r>
      <w:r>
        <w:rPr>
          <w:rtl w:val="true"/>
        </w:rPr>
        <w:t>שהובילוהו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שלדידי</w:t>
      </w:r>
      <w:r>
        <w:rPr>
          <w:rtl w:val="true"/>
        </w:rPr>
        <w:t xml:space="preserve"> </w:t>
      </w:r>
      <w:r>
        <w:rPr>
          <w:rtl w:val="true"/>
        </w:rPr>
        <w:t>נטה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 </w:t>
      </w:r>
      <w:r>
        <w:rPr>
          <w:rtl w:val="true"/>
        </w:rPr>
        <w:t>מעיקרו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 </w:t>
      </w:r>
      <w:r>
        <w:rPr>
          <w:rtl w:val="true"/>
        </w:rPr>
        <w:t>המיוחדות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 </w:t>
      </w:r>
      <w:r>
        <w:rPr>
          <w:rtl w:val="true"/>
        </w:rPr>
        <w:t>ומוצלח</w:t>
      </w:r>
      <w:r>
        <w:rPr>
          <w:rtl w:val="true"/>
        </w:rPr>
        <w:t xml:space="preserve"> </w:t>
      </w:r>
      <w:r>
        <w:rPr>
          <w:rtl w:val="true"/>
        </w:rPr>
        <w:t>ועונש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כתלי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 </w:t>
      </w:r>
      <w:r>
        <w:rPr>
          <w:rtl w:val="true"/>
        </w:rPr>
        <w:t>יביא</w:t>
      </w:r>
      <w:r>
        <w:rPr>
          <w:rtl w:val="true"/>
        </w:rPr>
        <w:t xml:space="preserve"> </w:t>
      </w:r>
      <w:r>
        <w:rPr>
          <w:rtl w:val="true"/>
        </w:rPr>
        <w:t>לפגיעה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".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שכבר</w:t>
      </w:r>
      <w:r>
        <w:rPr>
          <w:rtl w:val="true"/>
        </w:rPr>
        <w:t xml:space="preserve"> </w:t>
      </w:r>
      <w:r>
        <w:rPr>
          <w:rtl w:val="true"/>
        </w:rPr>
        <w:t>הסברתי</w:t>
      </w:r>
      <w:r>
        <w:rPr>
          <w:rtl w:val="true"/>
        </w:rPr>
        <w:t xml:space="preserve">, </w:t>
      </w:r>
      <w:r>
        <w:rPr>
          <w:rtl w:val="true"/>
        </w:rPr>
        <w:t>קביעה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r>
        <w:rPr>
          <w:rtl w:val="true"/>
        </w:rPr>
        <w:t>מספיקה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לעניינו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לצרכיו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5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סבורני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.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זיכתה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בהקלה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שום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 </w:t>
      </w:r>
      <w:r>
        <w:rPr>
          <w:rtl w:val="true"/>
        </w:rPr>
        <w:t>ויוצאות</w:t>
      </w:r>
      <w:r>
        <w:rPr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בעטיין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להעדיף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שיקומו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עיקרון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שיטתו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תחם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לזאת</w:t>
      </w:r>
      <w:r>
        <w:rPr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 </w:t>
      </w:r>
      <w:r>
        <w:rPr>
          <w:rtl w:val="true"/>
        </w:rPr>
        <w:t>בתסקירו</w:t>
      </w:r>
      <w:r>
        <w:rPr>
          <w:rtl w:val="true"/>
        </w:rPr>
        <w:t xml:space="preserve"> </w:t>
      </w:r>
      <w:r>
        <w:rPr>
          <w:rtl w:val="true"/>
        </w:rPr>
        <w:t>המעודכן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30.1.2020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 </w:t>
      </w:r>
      <w:r>
        <w:rPr>
          <w:rtl w:val="true"/>
        </w:rPr>
        <w:t>הסתמך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בגזר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כותב</w:t>
      </w:r>
      <w:r>
        <w:rPr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במצב</w:t>
      </w:r>
      <w:r>
        <w:rPr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 </w:t>
      </w:r>
      <w:r>
        <w:rPr>
          <w:rtl w:val="true"/>
        </w:rPr>
        <w:t>ושיתוף</w:t>
      </w:r>
      <w:r>
        <w:rPr>
          <w:rtl w:val="true"/>
        </w:rPr>
        <w:t xml:space="preserve"> </w:t>
      </w:r>
      <w:r>
        <w:rPr>
          <w:rtl w:val="true"/>
        </w:rPr>
        <w:t>הפעולה</w:t>
      </w:r>
      <w:r>
        <w:rPr>
          <w:rtl w:val="true"/>
        </w:rPr>
        <w:t xml:space="preserve"> </w:t>
      </w:r>
      <w:r>
        <w:rPr>
          <w:rtl w:val="true"/>
        </w:rPr>
        <w:t>שקיים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 </w:t>
      </w:r>
      <w:r>
        <w:rPr>
          <w:rtl w:val="true"/>
        </w:rPr>
        <w:t>והשתתפותו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לצד</w:t>
      </w:r>
      <w:r>
        <w:rPr>
          <w:rtl w:val="true"/>
        </w:rPr>
        <w:t xml:space="preserve"> </w:t>
      </w:r>
      <w:r>
        <w:rPr>
          <w:rtl w:val="true"/>
        </w:rPr>
        <w:t>חומרת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והעובדה</w:t>
      </w:r>
      <w:r>
        <w:rPr>
          <w:rtl w:val="true"/>
        </w:rPr>
        <w:t xml:space="preserve"> </w:t>
      </w:r>
      <w:r>
        <w:rPr>
          <w:rtl w:val="true"/>
        </w:rPr>
        <w:t>שגם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tl w:val="true"/>
        </w:rPr>
        <w:t xml:space="preserve"> </w:t>
      </w:r>
      <w:r>
        <w:rPr>
          <w:rtl w:val="true"/>
        </w:rPr>
        <w:t>שעבר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tl w:val="true"/>
        </w:rPr>
        <w:t xml:space="preserve"> </w:t>
      </w:r>
      <w:r>
        <w:rPr>
          <w:rtl w:val="true"/>
        </w:rPr>
        <w:t>עמדה</w:t>
      </w:r>
      <w:r>
        <w:rPr>
          <w:rtl w:val="true"/>
        </w:rPr>
        <w:t xml:space="preserve"> </w:t>
      </w:r>
      <w:r>
        <w:rPr>
          <w:rtl w:val="true"/>
        </w:rPr>
        <w:t>קרבנית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 </w:t>
      </w:r>
      <w:r>
        <w:rPr>
          <w:rtl w:val="true"/>
        </w:rPr>
        <w:t>ותוצאותיהם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בידנו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 </w:t>
      </w:r>
      <w:r>
        <w:rPr>
          <w:rtl w:val="true"/>
        </w:rPr>
        <w:t>לביצוע</w:t>
      </w:r>
      <w:r>
        <w:rPr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".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המהפך</w:t>
      </w:r>
      <w:r>
        <w:rPr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זכאי</w:t>
      </w:r>
      <w:r>
        <w:rPr>
          <w:rtl w:val="true"/>
        </w:rPr>
        <w:t xml:space="preserve"> </w:t>
      </w:r>
      <w:r>
        <w:rPr>
          <w:rtl w:val="true"/>
        </w:rPr>
        <w:t>להקלה</w:t>
      </w:r>
      <w:r>
        <w:rPr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נקלע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טעות</w:t>
      </w:r>
      <w:r>
        <w:rPr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 </w:t>
      </w:r>
      <w:r>
        <w:rPr>
          <w:rtl w:val="true"/>
        </w:rPr>
        <w:t>בהתעלמו</w:t>
      </w:r>
      <w:r>
        <w:rPr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 </w:t>
      </w:r>
      <w:r>
        <w:rPr>
          <w:rtl w:val="true"/>
        </w:rPr>
        <w:t>משיקולי</w:t>
      </w:r>
      <w:r>
        <w:rPr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בעניינם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שיקולים</w:t>
      </w:r>
      <w:r>
        <w:rPr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קובע</w:t>
      </w:r>
      <w:r>
        <w:rPr>
          <w:rtl w:val="true"/>
        </w:rPr>
        <w:t xml:space="preserve">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 </w:t>
      </w:r>
      <w:r>
        <w:rPr>
          <w:rtl w:val="true"/>
        </w:rPr>
        <w:t>שהחמרה</w:t>
      </w:r>
      <w:r>
        <w:rPr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תביא</w:t>
      </w:r>
      <w:r>
        <w:rPr>
          <w:rtl w:val="true"/>
        </w:rPr>
        <w:t xml:space="preserve"> </w:t>
      </w:r>
      <w:r>
        <w:rPr>
          <w:rtl w:val="true"/>
        </w:rPr>
        <w:t>להרתעת</w:t>
      </w:r>
      <w:r>
        <w:rPr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] </w:t>
      </w:r>
      <w:r>
        <w:rPr>
          <w:rtl w:val="true"/>
        </w:rPr>
        <w:t>להתחשב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בכך</w:t>
      </w:r>
      <w:r>
        <w:rPr>
          <w:rtl w:val="true"/>
        </w:rPr>
        <w:t xml:space="preserve">]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יחרוג</w:t>
      </w:r>
      <w:r>
        <w:rPr>
          <w:rtl w:val="true"/>
        </w:rPr>
        <w:t xml:space="preserve"> </w:t>
      </w:r>
      <w:r>
        <w:rPr>
          <w:rtl w:val="true"/>
        </w:rPr>
        <w:t>ממתחם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". </w:t>
      </w:r>
      <w:r>
        <w:rPr>
          <w:rtl w:val="true"/>
        </w:rPr>
        <w:t>בהטלת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הושטת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לעבריין</w:t>
      </w:r>
      <w:r>
        <w:rPr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ביצועו</w:t>
      </w:r>
      <w:r>
        <w:rPr>
          <w:rtl w:val="true"/>
        </w:rPr>
        <w:t xml:space="preserve"> </w:t>
      </w:r>
      <w:r>
        <w:rPr>
          <w:rtl w:val="true"/>
        </w:rPr>
        <w:t>ואחריו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לשיקולי</w:t>
      </w:r>
      <w:r>
        <w:rPr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 </w:t>
      </w:r>
      <w:r>
        <w:rPr>
          <w:rtl w:val="true"/>
        </w:rPr>
        <w:t>תפקיד</w:t>
      </w:r>
      <w:r>
        <w:rPr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המסייע</w:t>
      </w:r>
      <w:r>
        <w:rPr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 </w:t>
      </w:r>
      <w:r>
        <w:rPr>
          <w:rtl w:val="true"/>
        </w:rPr>
        <w:t>שיהא</w:t>
      </w:r>
      <w:r>
        <w:rPr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להניא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 </w:t>
      </w:r>
      <w:r>
        <w:rPr>
          <w:rtl w:val="true"/>
        </w:rPr>
        <w:t>מהושטת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 </w:t>
      </w:r>
      <w:r>
        <w:rPr>
          <w:rtl w:val="true"/>
        </w:rPr>
        <w:t>לעבריין</w:t>
      </w:r>
      <w:r>
        <w:rPr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לדלל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מאגר</w:t>
      </w:r>
      <w:r>
        <w:rPr>
          <w:rtl w:val="true"/>
        </w:rPr>
        <w:t xml:space="preserve"> </w:t>
      </w:r>
      <w:r>
        <w:rPr>
          <w:rtl w:val="true"/>
        </w:rPr>
        <w:t>הסייענים</w:t>
      </w:r>
      <w:r>
        <w:rPr>
          <w:rtl w:val="true"/>
        </w:rPr>
        <w:t xml:space="preserve">. </w:t>
      </w:r>
      <w:r>
        <w:rPr>
          <w:rtl w:val="true"/>
        </w:rPr>
        <w:t>דילולו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מאגר</w:t>
      </w:r>
      <w:r>
        <w:rPr>
          <w:rtl w:val="true"/>
        </w:rPr>
        <w:t xml:space="preserve"> </w:t>
      </w:r>
      <w:r>
        <w:rPr>
          <w:rtl w:val="true"/>
        </w:rPr>
        <w:t>הסייענים</w:t>
      </w:r>
      <w:r>
        <w:rPr>
          <w:rtl w:val="true"/>
        </w:rPr>
        <w:t xml:space="preserve"> </w:t>
      </w:r>
      <w:r>
        <w:rPr>
          <w:rtl w:val="true"/>
        </w:rPr>
        <w:t>יגרום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שמבצעי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הזקוקים</w:t>
      </w:r>
      <w:r>
        <w:rPr>
          <w:rtl w:val="true"/>
        </w:rPr>
        <w:t xml:space="preserve"> </w:t>
      </w:r>
      <w:r>
        <w:rPr>
          <w:rtl w:val="true"/>
        </w:rPr>
        <w:t>לסייענים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יוכלו</w:t>
      </w:r>
      <w:r>
        <w:rPr>
          <w:rtl w:val="true"/>
        </w:rPr>
        <w:t xml:space="preserve"> </w:t>
      </w:r>
      <w:r>
        <w:rPr>
          <w:rtl w:val="true"/>
        </w:rPr>
        <w:t>להוציא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הכוח</w:t>
      </w:r>
      <w:r>
        <w:rPr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 </w:t>
      </w:r>
      <w:r>
        <w:rPr>
          <w:rtl w:val="true"/>
        </w:rPr>
        <w:t>ויימנעו</w:t>
      </w:r>
      <w:r>
        <w:rPr>
          <w:rtl w:val="true"/>
        </w:rPr>
        <w:t xml:space="preserve"> </w:t>
      </w:r>
      <w:r>
        <w:rPr>
          <w:rtl w:val="true"/>
        </w:rPr>
        <w:t>מלבצע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שתכננו</w:t>
      </w:r>
      <w:r>
        <w:rPr>
          <w:rtl w:val="true"/>
        </w:rPr>
        <w:t xml:space="preserve"> </w:t>
      </w:r>
      <w:r>
        <w:rPr>
          <w:rtl w:val="true"/>
        </w:rPr>
        <w:t>לבצען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smallCaps/>
        </w:rPr>
        <w:t>Richard A. Posner, Economic Analysis of Law</w:t>
      </w:r>
      <w:r>
        <w:rPr>
          <w:rFonts w:cs="Times New Roman" w:ascii="Times New Roman" w:hAnsi="Times New Roman"/>
        </w:rPr>
        <w:t xml:space="preserve"> 272 (9th ed. 2014)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במלים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אחרות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החמרה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בענישת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הסייענים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מפחיתה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נכונותם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לסייע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ועל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ידי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כך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מעלה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העלות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ביצוע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העבירה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עבור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העבריין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העיקרי</w:t>
      </w:r>
      <w:r>
        <w:rPr>
          <w:rFonts w:ascii="Century" w:hAnsi="Century" w:cs="Century"/>
          <w:sz w:val="22"/>
          <w:sz w:val="22"/>
          <w:rtl w:val="true"/>
        </w:rPr>
        <w:t xml:space="preserve"> – </w:t>
      </w:r>
      <w:r>
        <w:rPr>
          <w:rFonts w:ascii="Century" w:hAnsi="Century" w:cs="Century"/>
          <w:sz w:val="22"/>
          <w:sz w:val="22"/>
          <w:rtl w:val="true"/>
        </w:rPr>
        <w:t>דבר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שעשוי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להפוך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את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תכניתו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לבלתי</w:t>
      </w:r>
      <w:r>
        <w:rPr>
          <w:rtl w:val="true"/>
        </w:rPr>
        <w:t xml:space="preserve"> </w:t>
      </w:r>
      <w:r>
        <w:rPr>
          <w:rtl w:val="true"/>
        </w:rPr>
        <w:t>כדאית</w:t>
      </w:r>
      <w:r>
        <w:rPr>
          <w:rtl w:val="true"/>
        </w:rPr>
        <w:t xml:space="preserve">. </w:t>
      </w:r>
      <w:r>
        <w:rPr>
          <w:rtl w:val="true"/>
        </w:rPr>
        <w:t>ברי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ציפייה</w:t>
      </w:r>
      <w:r>
        <w:rPr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תמיד</w:t>
      </w:r>
      <w:r>
        <w:rPr>
          <w:rtl w:val="true"/>
        </w:rPr>
        <w:t xml:space="preserve"> </w:t>
      </w:r>
      <w:r>
        <w:rPr>
          <w:rtl w:val="true"/>
        </w:rPr>
        <w:t>תתגשם</w:t>
      </w:r>
      <w:r>
        <w:rPr>
          <w:rtl w:val="true"/>
        </w:rPr>
        <w:t xml:space="preserve">. </w:t>
      </w:r>
      <w:r>
        <w:rPr>
          <w:rtl w:val="true"/>
        </w:rPr>
        <w:t>עבריינים</w:t>
      </w:r>
      <w:r>
        <w:rPr>
          <w:rtl w:val="true"/>
        </w:rPr>
        <w:t xml:space="preserve"> </w:t>
      </w:r>
      <w:r>
        <w:rPr>
          <w:rtl w:val="true"/>
        </w:rPr>
        <w:t>המונעים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, </w:t>
      </w:r>
      <w:r>
        <w:rPr>
          <w:rtl w:val="true"/>
        </w:rPr>
        <w:t>אידאולוגיה</w:t>
      </w:r>
      <w:r>
        <w:rPr>
          <w:rtl w:val="true"/>
        </w:rPr>
        <w:t xml:space="preserve"> </w:t>
      </w:r>
      <w:r>
        <w:rPr>
          <w:rtl w:val="true"/>
        </w:rPr>
        <w:t>ורגשי</w:t>
      </w:r>
      <w:r>
        <w:rPr>
          <w:rtl w:val="true"/>
        </w:rPr>
        <w:t xml:space="preserve"> </w:t>
      </w:r>
      <w:r>
        <w:rPr>
          <w:rtl w:val="true"/>
        </w:rPr>
        <w:t>שנאה</w:t>
      </w:r>
      <w:r>
        <w:rPr>
          <w:rtl w:val="true"/>
        </w:rPr>
        <w:t xml:space="preserve">, </w:t>
      </w:r>
      <w:r>
        <w:rPr>
          <w:rtl w:val="true"/>
        </w:rPr>
        <w:t>שסיפוקם</w:t>
      </w:r>
      <w:r>
        <w:rPr>
          <w:rtl w:val="true"/>
        </w:rPr>
        <w:t xml:space="preserve"> </w:t>
      </w:r>
      <w:r>
        <w:rPr>
          <w:rtl w:val="true"/>
        </w:rPr>
        <w:t>מניב</w:t>
      </w:r>
      <w:r>
        <w:rPr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 </w:t>
      </w:r>
      <w:r>
        <w:rPr>
          <w:rtl w:val="true"/>
        </w:rPr>
        <w:t>תועלת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רגשית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יירתעו</w:t>
      </w:r>
      <w:r>
        <w:rPr>
          <w:rtl w:val="true"/>
        </w:rPr>
        <w:t xml:space="preserve"> </w:t>
      </w:r>
      <w:r>
        <w:rPr>
          <w:rtl w:val="true"/>
        </w:rPr>
        <w:t>מהמאזן</w:t>
      </w:r>
      <w:r>
        <w:rPr>
          <w:rtl w:val="true"/>
        </w:rPr>
        <w:t xml:space="preserve"> </w:t>
      </w:r>
      <w:r>
        <w:rPr>
          <w:rtl w:val="true"/>
        </w:rPr>
        <w:t>השלילי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עלות</w:t>
      </w:r>
      <w:r>
        <w:rPr>
          <w:rtl w:val="true"/>
        </w:rPr>
        <w:t>-</w:t>
      </w:r>
      <w:r>
        <w:rPr>
          <w:rtl w:val="true"/>
        </w:rPr>
        <w:t>תועלת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 xml:space="preserve"> </w:t>
      </w:r>
      <w:r>
        <w:rPr>
          <w:rtl w:val="true"/>
        </w:rPr>
        <w:t>לנגד</w:t>
      </w:r>
      <w:r>
        <w:rPr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רציונלי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שכבר</w:t>
      </w:r>
      <w:r>
        <w:rPr>
          <w:rtl w:val="true"/>
        </w:rPr>
        <w:t xml:space="preserve"> </w:t>
      </w:r>
      <w:r>
        <w:rPr>
          <w:rtl w:val="true"/>
        </w:rPr>
        <w:t>הזדמן</w:t>
      </w:r>
      <w:r>
        <w:rPr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 </w:t>
      </w:r>
      <w:r>
        <w:rPr>
          <w:rtl w:val="true"/>
        </w:rPr>
        <w:t>להעיר</w:t>
      </w:r>
      <w:r>
        <w:rPr>
          <w:rtl w:val="true"/>
        </w:rPr>
        <w:t xml:space="preserve">, </w:t>
      </w:r>
      <w:r>
        <w:rPr>
          <w:rtl w:val="true"/>
        </w:rPr>
        <w:t>להרתעה</w:t>
      </w:r>
      <w:r>
        <w:rPr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תועלת</w:t>
      </w:r>
      <w:r>
        <w:rPr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מונעת</w:t>
      </w:r>
      <w:r>
        <w:rPr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יכלה</w:t>
      </w:r>
      <w:r>
        <w:rPr>
          <w:rtl w:val="true"/>
        </w:rPr>
        <w:t xml:space="preserve"> </w:t>
      </w:r>
      <w:r>
        <w:rPr>
          <w:rtl w:val="true"/>
        </w:rPr>
        <w:t>לפגוע</w:t>
      </w:r>
      <w:r>
        <w:rPr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 </w:t>
      </w:r>
      <w:r>
        <w:rPr>
          <w:rtl w:val="true"/>
        </w:rPr>
        <w:t>בגופו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ולגרום</w:t>
      </w:r>
      <w:r>
        <w:rPr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29.1.2019</w:t>
      </w:r>
      <w:r>
        <w:rPr>
          <w:rtl w:val="true"/>
        </w:rPr>
        <w:t xml:space="preserve">)).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tl w:val="true"/>
        </w:rPr>
        <w:t xml:space="preserve"> </w:t>
      </w:r>
      <w:r>
        <w:rPr>
          <w:rtl w:val="true"/>
        </w:rPr>
        <w:t>מקבל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אילו</w:t>
      </w:r>
      <w:r>
        <w:rPr>
          <w:rtl w:val="true"/>
        </w:rPr>
        <w:t xml:space="preserve"> </w:t>
      </w:r>
      <w:r>
        <w:rPr>
          <w:rtl w:val="true"/>
        </w:rPr>
        <w:t>הייתי</w:t>
      </w:r>
      <w:r>
        <w:rPr>
          <w:rtl w:val="true"/>
        </w:rPr>
        <w:t xml:space="preserve"> </w:t>
      </w:r>
      <w:r>
        <w:rPr>
          <w:rtl w:val="true"/>
        </w:rPr>
        <w:t>גוזר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מבראשית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tl w:val="true"/>
        </w:rPr>
        <w:t xml:space="preserve"> </w:t>
      </w:r>
      <w:r>
        <w:rPr>
          <w:rtl w:val="true"/>
        </w:rPr>
        <w:t>משית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 </w:t>
      </w:r>
      <w:r>
        <w:rPr>
          <w:rtl w:val="true"/>
        </w:rPr>
        <w:t>מעשרים</w:t>
      </w:r>
      <w:r>
        <w:rPr>
          <w:rtl w:val="true"/>
        </w:rPr>
        <w:t>-</w:t>
      </w:r>
      <w:r>
        <w:rPr>
          <w:rtl w:val="true"/>
        </w:rPr>
        <w:t>וארבעה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–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בהודאתו</w:t>
      </w:r>
      <w:r>
        <w:rPr>
          <w:rtl w:val="true"/>
        </w:rPr>
        <w:t xml:space="preserve">, </w:t>
      </w:r>
      <w:r>
        <w:rPr>
          <w:rtl w:val="true"/>
        </w:rPr>
        <w:t>בחרטה</w:t>
      </w:r>
      <w:r>
        <w:rPr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מעשהו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 </w:t>
      </w:r>
      <w:r>
        <w:rPr>
          <w:rtl w:val="true"/>
        </w:rPr>
        <w:t>מפלילים</w:t>
      </w:r>
      <w:r>
        <w:rPr>
          <w:rtl w:val="true"/>
        </w:rPr>
        <w:t xml:space="preserve">, </w:t>
      </w:r>
      <w:r>
        <w:rPr>
          <w:rtl w:val="true"/>
        </w:rPr>
        <w:t>בחלק</w:t>
      </w:r>
      <w:r>
        <w:rPr>
          <w:rtl w:val="true"/>
        </w:rPr>
        <w:t xml:space="preserve"> </w:t>
      </w:r>
      <w:r>
        <w:rPr>
          <w:rtl w:val="true"/>
        </w:rPr>
        <w:t>מהשירות</w:t>
      </w:r>
      <w:r>
        <w:rPr>
          <w:rtl w:val="true"/>
        </w:rPr>
        <w:t xml:space="preserve"> </w:t>
      </w:r>
      <w:r>
        <w:rPr>
          <w:rtl w:val="true"/>
        </w:rPr>
        <w:t>לתועלת</w:t>
      </w:r>
      <w:r>
        <w:rPr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 </w:t>
      </w:r>
      <w:r>
        <w:rPr>
          <w:rtl w:val="true"/>
        </w:rPr>
        <w:t>שהלה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ובתהליך</w:t>
      </w:r>
      <w:r>
        <w:rPr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 </w:t>
      </w:r>
      <w:r>
        <w:rPr>
          <w:rtl w:val="true"/>
        </w:rPr>
        <w:t>המוצלח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  <w:r>
        <w:rPr>
          <w:rtl w:val="true"/>
        </w:rPr>
        <w:t>מעשהו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למחילה</w:t>
      </w:r>
      <w:r>
        <w:rPr>
          <w:rtl w:val="true"/>
        </w:rPr>
        <w:t xml:space="preserve">, </w:t>
      </w:r>
      <w:r>
        <w:rPr>
          <w:rtl w:val="true"/>
        </w:rPr>
        <w:t>לסליחה</w:t>
      </w:r>
      <w:r>
        <w:rPr>
          <w:rtl w:val="true"/>
        </w:rPr>
        <w:t xml:space="preserve"> </w:t>
      </w:r>
      <w:r>
        <w:rPr>
          <w:rtl w:val="true"/>
        </w:rPr>
        <w:t>ולהתחשבות</w:t>
      </w:r>
      <w:r>
        <w:rPr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 </w:t>
      </w:r>
      <w:r>
        <w:rPr>
          <w:rtl w:val="true"/>
        </w:rPr>
        <w:t>שמנחה</w:t>
      </w:r>
      <w:r>
        <w:rPr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 </w:t>
      </w:r>
      <w:hyperlink r:id="rId5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 </w:t>
      </w:r>
      <w:r>
        <w:rPr>
          <w:rtl w:val="true"/>
        </w:rPr>
        <w:t>מחייב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tl w:val="true"/>
        </w:rPr>
        <w:t xml:space="preserve"> </w:t>
      </w:r>
      <w:r>
        <w:rPr>
          <w:rtl w:val="true"/>
        </w:rPr>
        <w:t>גוזרים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מבראשית</w:t>
      </w:r>
      <w:r>
        <w:rPr>
          <w:rtl w:val="true"/>
        </w:rPr>
        <w:t xml:space="preserve">. </w:t>
      </w:r>
      <w:r>
        <w:rPr>
          <w:rtl w:val="true"/>
        </w:rPr>
        <w:t>ידינו</w:t>
      </w:r>
      <w:r>
        <w:rPr>
          <w:rtl w:val="true"/>
        </w:rPr>
        <w:t xml:space="preserve"> </w:t>
      </w:r>
      <w:r>
        <w:rPr>
          <w:rtl w:val="true"/>
        </w:rPr>
        <w:t>כבולות</w:t>
      </w:r>
      <w:r>
        <w:rPr>
          <w:rtl w:val="true"/>
        </w:rPr>
        <w:t xml:space="preserve"> </w:t>
      </w:r>
      <w:r>
        <w:rPr>
          <w:rtl w:val="true"/>
        </w:rPr>
        <w:t>בהלכה</w:t>
      </w:r>
      <w:r>
        <w:rPr>
          <w:rtl w:val="true"/>
        </w:rPr>
        <w:t xml:space="preserve"> </w:t>
      </w:r>
      <w:r>
        <w:rPr>
          <w:rtl w:val="true"/>
        </w:rPr>
        <w:t>מושרשת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קובעת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tl w:val="true"/>
        </w:rPr>
        <w:t xml:space="preserve"> </w:t>
      </w:r>
      <w:r>
        <w:rPr>
          <w:rtl w:val="true"/>
        </w:rPr>
        <w:t>ידועות</w:t>
      </w:r>
      <w:r>
        <w:rPr>
          <w:rtl w:val="true"/>
        </w:rPr>
        <w:t xml:space="preserve"> </w:t>
      </w:r>
      <w:r>
        <w:rPr>
          <w:rtl w:val="true"/>
        </w:rPr>
        <w:t>ומובנות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ממצה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מחליטה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6767/18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אייה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>פסקה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(‏</w:t>
      </w:r>
      <w:r>
        <w:rPr>
          <w:rFonts w:cs="Century" w:ascii="Century" w:hAnsi="Century"/>
          <w:sz w:val="22"/>
        </w:rPr>
        <w:t>7.10.2019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6928/17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אסרף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sz w:val="28"/>
          <w:rtl w:val="true"/>
        </w:rPr>
        <w:t>(‏</w:t>
      </w:r>
      <w:r>
        <w:rPr>
          <w:sz w:val="28"/>
        </w:rPr>
        <w:t>16.8.2018</w:t>
      </w:r>
      <w:r>
        <w:rPr>
          <w:sz w:val="28"/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135/17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2"/>
          <w:sz w:val="22"/>
          <w:rtl w:val="true"/>
        </w:rPr>
        <w:t>פסק</w:t>
      </w:r>
      <w:r>
        <w:rPr>
          <w:rFonts w:ascii="Century" w:hAnsi="Century" w:cs="Century"/>
          <w:sz w:val="22"/>
          <w:sz w:val="22"/>
          <w:rtl w:val="true"/>
        </w:rPr>
        <w:t>ה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13</w:t>
      </w:r>
      <w:r>
        <w:rPr>
          <w:rFonts w:cs="Century" w:ascii="Century" w:hAnsi="Century"/>
          <w:sz w:val="22"/>
          <w:rtl w:val="true"/>
        </w:rPr>
        <w:t xml:space="preserve"> (‏</w:t>
      </w:r>
      <w:r>
        <w:rPr>
          <w:rFonts w:cs="Century" w:ascii="Century" w:hAnsi="Century"/>
          <w:sz w:val="22"/>
        </w:rPr>
        <w:t>8.3.2017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62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ע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פ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30/15</w:t>
        </w:r>
        <w:r>
          <w:rPr>
            <w:rStyle w:val="Hyperlink"/>
            <w:rFonts w:cs="Century" w:ascii="Century" w:hAnsi="Century"/>
            <w:sz w:val="22"/>
            <w:rtl w:val="true"/>
          </w:rPr>
          <w:t xml:space="preserve"> 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(‏</w:t>
      </w:r>
      <w:r>
        <w:rPr>
          <w:rFonts w:cs="Century" w:ascii="Century" w:hAnsi="Century"/>
          <w:sz w:val="22"/>
        </w:rPr>
        <w:t>20.4.2016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בהתבסס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עלינו</w:t>
      </w:r>
      <w:r>
        <w:rPr>
          <w:rtl w:val="true"/>
        </w:rPr>
        <w:t xml:space="preserve"> </w:t>
      </w:r>
      <w:r>
        <w:rPr>
          <w:rtl w:val="true"/>
        </w:rPr>
        <w:t>להטיל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מחצית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: </w:t>
      </w:r>
      <w:r>
        <w:rPr>
          <w:rtl w:val="true"/>
        </w:rPr>
        <w:t>שנת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 </w:t>
      </w:r>
      <w:r>
        <w:rPr>
          <w:rtl w:val="true"/>
        </w:rPr>
        <w:t>מאחורי</w:t>
      </w:r>
      <w:r>
        <w:rPr>
          <w:rtl w:val="true"/>
        </w:rPr>
        <w:t xml:space="preserve"> </w:t>
      </w:r>
      <w:r>
        <w:rPr>
          <w:rtl w:val="true"/>
        </w:rPr>
        <w:t>סורג</w:t>
      </w:r>
      <w:r>
        <w:rPr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ער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שבעניין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 </w:t>
      </w:r>
      <w:r>
        <w:rPr>
          <w:rtl w:val="true"/>
        </w:rPr>
        <w:t>הסתפק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 </w:t>
      </w:r>
      <w:r>
        <w:rPr>
          <w:rtl w:val="true"/>
        </w:rPr>
        <w:t>בהטלת</w:t>
      </w:r>
      <w:r>
        <w:rPr>
          <w:rtl w:val="true"/>
        </w:rPr>
        <w:t xml:space="preserve"> </w:t>
      </w:r>
      <w:r>
        <w:rPr>
          <w:rtl w:val="true"/>
        </w:rPr>
        <w:t>ששה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שהורשעו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הדומים</w:t>
      </w:r>
      <w:r>
        <w:rPr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מוכן</w:t>
      </w:r>
      <w:r>
        <w:rPr>
          <w:rtl w:val="true"/>
        </w:rPr>
        <w:t xml:space="preserve"> </w:t>
      </w:r>
      <w:r>
        <w:rPr>
          <w:rtl w:val="true"/>
        </w:rPr>
        <w:t>לדלות</w:t>
      </w:r>
      <w:r>
        <w:rPr>
          <w:rtl w:val="true"/>
        </w:rPr>
        <w:t xml:space="preserve"> </w:t>
      </w:r>
      <w:r>
        <w:rPr>
          <w:rtl w:val="true"/>
        </w:rPr>
        <w:t>מגזר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אמות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 </w:t>
      </w:r>
      <w:r>
        <w:rPr>
          <w:rtl w:val="true"/>
        </w:rPr>
        <w:t>הראויות</w:t>
      </w:r>
      <w:r>
        <w:rPr>
          <w:rtl w:val="true"/>
        </w:rPr>
        <w:t xml:space="preserve"> </w:t>
      </w:r>
      <w:r>
        <w:rPr>
          <w:rtl w:val="true"/>
        </w:rPr>
        <w:t>להטלת</w:t>
      </w:r>
      <w:r>
        <w:rPr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כגון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  <w:hyperlink r:id="rId6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מפקיד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סמכות</w:t>
      </w:r>
      <w:r>
        <w:rPr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 </w:t>
      </w:r>
      <w:r>
        <w:rPr>
          <w:rtl w:val="true"/>
        </w:rPr>
        <w:t>שיהא</w:t>
      </w:r>
      <w:r>
        <w:rPr>
          <w:rtl w:val="true"/>
        </w:rPr>
        <w:t xml:space="preserve"> </w:t>
      </w:r>
      <w:r>
        <w:rPr>
          <w:rtl w:val="true"/>
        </w:rPr>
        <w:t>מותאם</w:t>
      </w:r>
      <w:r>
        <w:rPr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נהפוך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עצמנו</w:t>
      </w:r>
      <w:r>
        <w:rPr>
          <w:rtl w:val="true"/>
        </w:rPr>
        <w:t xml:space="preserve"> </w:t>
      </w:r>
      <w:r>
        <w:rPr>
          <w:rtl w:val="true"/>
        </w:rPr>
        <w:t>הופכים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שהעמידו</w:t>
      </w:r>
      <w:r>
        <w:rPr>
          <w:rtl w:val="true"/>
        </w:rPr>
        <w:t xml:space="preserve"> </w:t>
      </w:r>
      <w:r>
        <w:rPr>
          <w:rtl w:val="true"/>
        </w:rPr>
        <w:t>לרשותנו</w:t>
      </w:r>
      <w:r>
        <w:rPr>
          <w:rtl w:val="true"/>
        </w:rPr>
        <w:t xml:space="preserve">, </w:t>
      </w:r>
      <w:r>
        <w:rPr>
          <w:rtl w:val="true"/>
        </w:rPr>
        <w:t>לקלקול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מכל</w:t>
      </w:r>
      <w:r>
        <w:rPr>
          <w:rtl w:val="true"/>
        </w:rPr>
        <w:t xml:space="preserve"> </w:t>
      </w:r>
      <w:r>
        <w:rPr>
          <w:rtl w:val="true"/>
        </w:rPr>
        <w:t>הטעמים</w:t>
      </w:r>
      <w:r>
        <w:rPr>
          <w:rtl w:val="true"/>
        </w:rPr>
        <w:t xml:space="preserve"> </w:t>
      </w:r>
      <w:r>
        <w:rPr>
          <w:rtl w:val="true"/>
        </w:rPr>
        <w:t>דלעיל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tl w:val="true"/>
        </w:rPr>
        <w:t xml:space="preserve"> </w:t>
      </w:r>
      <w:r>
        <w:rPr>
          <w:rtl w:val="true"/>
        </w:rPr>
        <w:t>לחבריי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נבטל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 </w:t>
      </w:r>
      <w:r>
        <w:rPr>
          <w:rtl w:val="true"/>
        </w:rPr>
        <w:t>ונשית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בניכוי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מעצרו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1.3.2020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 </w:t>
      </w:r>
      <w:r>
        <w:rPr>
          <w:rtl w:val="true"/>
        </w:rPr>
        <w:t>קישון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החלטת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tl w:val="true"/>
        </w:rPr>
        <w:t xml:space="preserve"> </w:t>
      </w:r>
      <w:r>
        <w:rPr>
          <w:rtl w:val="true"/>
        </w:rPr>
        <w:t>תעודת</w:t>
      </w:r>
      <w:r>
        <w:rPr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 </w:t>
      </w:r>
      <w:r>
        <w:rPr>
          <w:rtl w:val="true"/>
        </w:rPr>
        <w:t>ועותק</w:t>
      </w:r>
      <w:r>
        <w:rPr>
          <w:rtl w:val="true"/>
        </w:rPr>
        <w:t xml:space="preserve"> </w:t>
      </w:r>
      <w:r>
        <w:rPr>
          <w:rtl w:val="true"/>
        </w:rPr>
        <w:t>מפסק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tl w:val="true"/>
        </w:rPr>
        <w:t xml:space="preserve"> </w:t>
      </w:r>
      <w:r>
        <w:rPr>
          <w:rtl w:val="true"/>
        </w:rPr>
        <w:t>יתאם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כניסתו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tl w:val="true"/>
        </w:rPr>
        <w:t xml:space="preserve"> </w:t>
      </w:r>
      <w:r>
        <w:rPr>
          <w:rtl w:val="true"/>
        </w:rPr>
        <w:t>האפשרות</w:t>
      </w:r>
      <w:r>
        <w:rPr>
          <w:rtl w:val="true"/>
        </w:rPr>
        <w:t xml:space="preserve"> </w:t>
      </w:r>
      <w:r>
        <w:rPr>
          <w:rtl w:val="true"/>
        </w:rPr>
        <w:t>למיון</w:t>
      </w:r>
      <w:r>
        <w:rPr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ענף</w:t>
      </w:r>
      <w:r>
        <w:rPr>
          <w:rtl w:val="true"/>
        </w:rPr>
        <w:t xml:space="preserve"> </w:t>
      </w:r>
      <w:r>
        <w:rPr>
          <w:rtl w:val="true"/>
        </w:rPr>
        <w:t>אבחון</w:t>
      </w:r>
      <w:r>
        <w:rPr>
          <w:rtl w:val="true"/>
        </w:rPr>
        <w:t xml:space="preserve"> </w:t>
      </w:r>
      <w:r>
        <w:rPr>
          <w:rtl w:val="true"/>
        </w:rPr>
        <w:t>ומיון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 </w:t>
      </w:r>
      <w:r>
        <w:rPr>
          <w:rtl w:val="true"/>
        </w:rPr>
        <w:t>בטלפון</w:t>
      </w:r>
      <w:r>
        <w:rPr>
          <w:rtl w:val="true"/>
        </w:rPr>
        <w:t xml:space="preserve"> </w:t>
      </w:r>
      <w:r>
        <w:rPr/>
        <w:t>08-978-7377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/>
        <w:t>08-978-7336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8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9.2.2020</w:t>
      </w:r>
      <w:r>
        <w:rPr>
          <w:rtl w:val="true"/>
        </w:rPr>
        <w:t xml:space="preserve">). </w:t>
      </w:r>
      <w:bookmarkEnd w:id="18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19055790</w:t>
      </w:r>
      <w:r>
        <w:rPr>
          <w:sz w:val="16"/>
          <w:rtl w:val="true"/>
        </w:rPr>
        <w:t>_</w:t>
      </w:r>
      <w:r>
        <w:rPr>
          <w:sz w:val="16"/>
        </w:rPr>
        <w:t>F02.docx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מר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54678313-5579/19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68"/>
      <w:footerReference w:type="default" r:id="rId6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5579/19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מלחם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4"/>
        <w:szCs w:val="24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cs="Times New Roman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  <w:sz w:val="24"/>
      <w:szCs w:val="24"/>
    </w:rPr>
  </w:style>
  <w:style w:type="character" w:styleId="WW8Num11z1">
    <w:name w:val="WW8Num1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/>
  </w:style>
  <w:style w:type="character" w:styleId="PageNumber">
    <w:name w:val="page number"/>
    <w:rPr>
      <w:rFonts w:cs="Times New Roman"/>
    </w:rPr>
  </w:style>
  <w:style w:type="character" w:styleId="Ruller3">
    <w:name w:val="Ruller 3 תו"/>
    <w:qFormat/>
    <w:rPr>
      <w:sz w:val="28"/>
      <w:lang w:val="en-US"/>
    </w:rPr>
  </w:style>
  <w:style w:type="character" w:styleId="BodyRuller">
    <w:name w:val="Body Ruller תו"/>
    <w:qFormat/>
    <w:rPr>
      <w:sz w:val="28"/>
      <w:lang w:val="en-US"/>
    </w:rPr>
  </w:style>
  <w:style w:type="character" w:styleId="Ruller38">
    <w:name w:val="סגנון Ruller 3 + (מורכב) ‏8 נק תו"/>
    <w:qFormat/>
    <w:rPr>
      <w:sz w:val="16"/>
      <w:lang w:val="en-US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>
      <w:ind w:hanging="0" w:start="0" w:end="0"/>
      <w:jc w:val="start"/>
    </w:pPr>
    <w:rPr>
      <w:szCs w:val="20"/>
    </w:rPr>
  </w:style>
  <w:style w:type="paragraph" w:styleId="CommentSubject">
    <w:name w:val="Comment Subject"/>
    <w:basedOn w:val="CommentText"/>
    <w:next w:val="CommentText"/>
    <w:qFormat/>
    <w:pPr>
      <w:ind w:hanging="0" w:start="0" w:end="0"/>
      <w:jc w:val="start"/>
    </w:pPr>
    <w:rPr>
      <w:b/>
      <w:bCs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abs>
        <w:tab w:val="left" w:pos="800" w:leader="none"/>
        <w:tab w:val="left" w:pos="907" w:leader="none"/>
      </w:tabs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3829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d.a" TargetMode="External"/><Relationship Id="rId7" Type="http://schemas.openxmlformats.org/officeDocument/2006/relationships/hyperlink" Target="http://www.nevo.co.il/law/70301/40d.b" TargetMode="External"/><Relationship Id="rId8" Type="http://schemas.openxmlformats.org/officeDocument/2006/relationships/hyperlink" Target="http://www.nevo.co.il/law/70301/40g" TargetMode="External"/><Relationship Id="rId9" Type="http://schemas.openxmlformats.org/officeDocument/2006/relationships/hyperlink" Target="http://www.nevo.co.il/law/70301/260" TargetMode="External"/><Relationship Id="rId10" Type="http://schemas.openxmlformats.org/officeDocument/2006/relationships/hyperlink" Target="http://www.nevo.co.il/law/70301/261.1" TargetMode="External"/><Relationship Id="rId11" Type="http://schemas.openxmlformats.org/officeDocument/2006/relationships/hyperlink" Target="http://www.nevo.co.il/law/141771" TargetMode="External"/><Relationship Id="rId12" Type="http://schemas.openxmlformats.org/officeDocument/2006/relationships/hyperlink" Target="http://www.nevo.co.il/law/141771/25" TargetMode="External"/><Relationship Id="rId13" Type="http://schemas.openxmlformats.org/officeDocument/2006/relationships/hyperlink" Target="http://www.nevo.co.il/law/70301/260" TargetMode="External"/><Relationship Id="rId14" Type="http://schemas.openxmlformats.org/officeDocument/2006/relationships/hyperlink" Target="http://www.nevo.co.il/law/70301/261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case/21638296" TargetMode="External"/><Relationship Id="rId17" Type="http://schemas.openxmlformats.org/officeDocument/2006/relationships/hyperlink" Target="http://www.nevo.co.il/law/70301/260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3297794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60" TargetMode="External"/><Relationship Id="rId22" Type="http://schemas.openxmlformats.org/officeDocument/2006/relationships/hyperlink" Target="http://www.nevo.co.il/law/70301/261.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585562" TargetMode="External"/><Relationship Id="rId25" Type="http://schemas.openxmlformats.org/officeDocument/2006/relationships/hyperlink" Target="http://www.nevo.co.il/case/24269594" TargetMode="External"/><Relationship Id="rId26" Type="http://schemas.openxmlformats.org/officeDocument/2006/relationships/hyperlink" Target="http://www.nevo.co.il/case/21472959" TargetMode="External"/><Relationship Id="rId27" Type="http://schemas.openxmlformats.org/officeDocument/2006/relationships/hyperlink" Target="http://www.nevo.co.il/case/5696727" TargetMode="External"/><Relationship Id="rId28" Type="http://schemas.openxmlformats.org/officeDocument/2006/relationships/hyperlink" Target="http://www.nevo.co.il/case/2232038" TargetMode="External"/><Relationship Id="rId29" Type="http://schemas.openxmlformats.org/officeDocument/2006/relationships/hyperlink" Target="http://www.nevo.co.il/case/6219326" TargetMode="External"/><Relationship Id="rId30" Type="http://schemas.openxmlformats.org/officeDocument/2006/relationships/hyperlink" Target="http://www.nevo.co.il/case/5982030" TargetMode="External"/><Relationship Id="rId31" Type="http://schemas.openxmlformats.org/officeDocument/2006/relationships/hyperlink" Target="http://www.nevo.co.il/case/5770174" TargetMode="External"/><Relationship Id="rId32" Type="http://schemas.openxmlformats.org/officeDocument/2006/relationships/hyperlink" Target="http://www.nevo.co.il/case/6207967" TargetMode="External"/><Relationship Id="rId33" Type="http://schemas.openxmlformats.org/officeDocument/2006/relationships/hyperlink" Target="http://www.nevo.co.il/case/17914714" TargetMode="External"/><Relationship Id="rId34" Type="http://schemas.openxmlformats.org/officeDocument/2006/relationships/hyperlink" Target="http://www.nevo.co.il/law/70301/40d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40d" TargetMode="External"/><Relationship Id="rId37" Type="http://schemas.openxmlformats.org/officeDocument/2006/relationships/hyperlink" Target="http://www.nevo.co.il/law/70301/40d.a" TargetMode="External"/><Relationship Id="rId38" Type="http://schemas.openxmlformats.org/officeDocument/2006/relationships/hyperlink" Target="http://www.nevo.co.il/law/70301/40d.b" TargetMode="External"/><Relationship Id="rId39" Type="http://schemas.openxmlformats.org/officeDocument/2006/relationships/hyperlink" Target="http://www.nevo.co.il/law/141771/25" TargetMode="External"/><Relationship Id="rId40" Type="http://schemas.openxmlformats.org/officeDocument/2006/relationships/hyperlink" Target="http://www.nevo.co.il/law/141771" TargetMode="External"/><Relationship Id="rId41" Type="http://schemas.openxmlformats.org/officeDocument/2006/relationships/hyperlink" Target="http://www.nevo.co.il/law/70301/40d.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d.b" TargetMode="External"/><Relationship Id="rId44" Type="http://schemas.openxmlformats.org/officeDocument/2006/relationships/hyperlink" Target="http://www.nevo.co.il/case/23785604" TargetMode="External"/><Relationship Id="rId45" Type="http://schemas.openxmlformats.org/officeDocument/2006/relationships/hyperlink" Target="http://www.nevo.co.il/case/23532115" TargetMode="External"/><Relationship Id="rId46" Type="http://schemas.openxmlformats.org/officeDocument/2006/relationships/hyperlink" Target="http://www.nevo.co.il/case/18736509" TargetMode="External"/><Relationship Id="rId47" Type="http://schemas.openxmlformats.org/officeDocument/2006/relationships/hyperlink" Target="http://www.nevo.co.il/case/22938500" TargetMode="External"/><Relationship Id="rId48" Type="http://schemas.openxmlformats.org/officeDocument/2006/relationships/hyperlink" Target="http://www.nevo.co.il/law/70301/40d" TargetMode="External"/><Relationship Id="rId49" Type="http://schemas.openxmlformats.org/officeDocument/2006/relationships/hyperlink" Target="http://www.nevo.co.il/law/70301/40d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d.b" TargetMode="External"/><Relationship Id="rId52" Type="http://schemas.openxmlformats.org/officeDocument/2006/relationships/hyperlink" Target="http://www.nevo.co.il/law/70301/40d.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70301/40g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case/24323669" TargetMode="External"/><Relationship Id="rId57" Type="http://schemas.openxmlformats.org/officeDocument/2006/relationships/hyperlink" Target="http://www.nevo.co.il/law/70301/40b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5006021" TargetMode="External"/><Relationship Id="rId60" Type="http://schemas.openxmlformats.org/officeDocument/2006/relationships/hyperlink" Target="http://www.nevo.co.il/case/23763436" TargetMode="External"/><Relationship Id="rId61" Type="http://schemas.openxmlformats.org/officeDocument/2006/relationships/hyperlink" Target="http://www.nevo.co.il/case/22006503" TargetMode="External"/><Relationship Id="rId62" Type="http://schemas.openxmlformats.org/officeDocument/2006/relationships/hyperlink" Target="http://www.nevo.co.il/case/20301760" TargetMode="External"/><Relationship Id="rId63" Type="http://schemas.openxmlformats.org/officeDocument/2006/relationships/hyperlink" Target="http://www.nevo.co.il/law/70301/40d" TargetMode="External"/><Relationship Id="rId64" Type="http://schemas.openxmlformats.org/officeDocument/2006/relationships/hyperlink" Target="http://www.nevo.co.il/law/70301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supreme.court.gov.il/" TargetMode="External"/><Relationship Id="rId67" Type="http://schemas.openxmlformats.org/officeDocument/2006/relationships/hyperlink" Target="http://www.nevo.co.il/advertisements/nevo-100.doc" TargetMode="External"/><Relationship Id="rId68" Type="http://schemas.openxmlformats.org/officeDocument/2006/relationships/header" Target="header1.xml"/><Relationship Id="rId69" Type="http://schemas.openxmlformats.org/officeDocument/2006/relationships/footer" Target="footer1.xml"/><Relationship Id="rId70" Type="http://schemas.openxmlformats.org/officeDocument/2006/relationships/numbering" Target="numbering.xml"/><Relationship Id="rId71" Type="http://schemas.openxmlformats.org/officeDocument/2006/relationships/fontTable" Target="fontTable.xml"/><Relationship Id="rId72" Type="http://schemas.openxmlformats.org/officeDocument/2006/relationships/settings" Target="settings.xml"/><Relationship Id="rId7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2020-02-12T11:10:00Z</dcterms:created>
  <dc:creator> </dc:creator>
  <dc:description/>
  <cp:keywords/>
  <dc:language>en-IL</dc:language>
  <cp:lastModifiedBy>orly</cp:lastModifiedBy>
  <cp:lastPrinted>2020-02-06T09:04:00Z</cp:lastPrinted>
  <dcterms:modified xsi:type="dcterms:W3CDTF">2020-02-12T11:10:00Z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מלחם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21638296:2;23297794;25585562;24269594;21472959;5696727;2232038;6219326;5982030;5770174;6207967;17914714;23785604;23532115;18736509;22938500;24323669;25006021;23763436;22006503;20301760</vt:lpwstr>
  </property>
  <property fmtid="{D5CDD505-2E9C-101B-9397-08002B2CF9AE}" pid="9" name="CITY">
    <vt:lpwstr/>
  </property>
  <property fmtid="{D5CDD505-2E9C-101B-9397-08002B2CF9AE}" pid="10" name="DATE">
    <vt:lpwstr>20200209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עמית;נ' סולברג;א' שטיין</vt:lpwstr>
  </property>
  <property fmtid="{D5CDD505-2E9C-101B-9397-08002B2CF9AE}" pid="14" name="LAWLISTTMP1">
    <vt:lpwstr>70301/260:3;261.1:2;040d:4;040d.a:3;040d.b:4;040g;040b</vt:lpwstr>
  </property>
  <property fmtid="{D5CDD505-2E9C-101B-9397-08002B2CF9AE}" pid="15" name="LAWLISTTMP2">
    <vt:lpwstr>141771/025</vt:lpwstr>
  </property>
  <property fmtid="{D5CDD505-2E9C-101B-9397-08002B2CF9AE}" pid="16" name="LAWYER">
    <vt:lpwstr>עאדל בויראת;הגר אביב;רחלי זוארץ לוי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/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/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</vt:lpwstr>
  </property>
  <property fmtid="{D5CDD505-2E9C-101B-9397-08002B2CF9AE}" pid="49" name="NOSE31">
    <vt:lpwstr>מדיניות ענישה: סיוע לאחר מעשה פשע</vt:lpwstr>
  </property>
  <property fmtid="{D5CDD505-2E9C-101B-9397-08002B2CF9AE}" pid="50" name="NOSE310">
    <vt:lpwstr/>
  </property>
  <property fmtid="{D5CDD505-2E9C-101B-9397-08002B2CF9AE}" pid="51" name="NOSE32">
    <vt:lpwstr/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18577</vt:lpwstr>
  </property>
  <property fmtid="{D5CDD505-2E9C-101B-9397-08002B2CF9AE}" pid="60" name="PADIDATE">
    <vt:lpwstr>20200212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5579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410120200209</vt:lpwstr>
  </property>
  <property fmtid="{D5CDD505-2E9C-101B-9397-08002B2CF9AE}" pid="70" name="TYPE_N_DATE">
    <vt:lpwstr>41020200209</vt:lpwstr>
  </property>
  <property fmtid="{D5CDD505-2E9C-101B-9397-08002B2CF9AE}" pid="71" name="VOLUME">
    <vt:lpwstr/>
  </property>
  <property fmtid="{D5CDD505-2E9C-101B-9397-08002B2CF9AE}" pid="72" name="WORDNUMPAGES">
    <vt:lpwstr>9</vt:lpwstr>
  </property>
</Properties>
</file>