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559/22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559/22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787/22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אזהר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הודעות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</w:t>
            </w:r>
            <w:r>
              <w:rPr>
                <w:sz w:val="24"/>
                <w:szCs w:val="24"/>
              </w:rPr>
              <w:t>019215-09-21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4"/>
        <w:gridCol w:w="254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4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24.02.2022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559/22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שרקאוי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787/22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3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8" w:name="LawTable"/>
      <w:bookmarkEnd w:id="8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 המאסר שנגזרו על המשיבים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בעקבות הרשעת האחד בעבירה של שידול להצתה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והרשעת השני בעבירת הצתה – מקילים עמם באופן חריג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נפסק כי אין מקום להקל בעונשו של משדל אך משום שהוא לא נכח בזירת האירוע בשעת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הצתה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שידול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משדל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ערעורים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שהדיון בהם אוחד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על גזרי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פיטוריו של המשיב ב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559/22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מעבודתו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תיכנן לואי לנקום במעסיקו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פנה למשיב ב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787/22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אזהר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ושידל אותו להצית את רכבו של המעסיק תמורת סכום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אזהר צרף לתוכנית שניים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יבגני ואברהם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כשבפועל יבגני הוא זה ששפך את הדלק על רכבו של המתלונן והציתו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הרשיע את לואי בעבירה של שידול להצתה וגזר עליו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מותנה ותשלום פיצוי למתלונן בסכום של </w:t>
      </w:r>
      <w:r>
        <w:rPr>
          <w:rFonts w:cs="Times New Roman" w:ascii="Times New Roman" w:hAnsi="Times New Roman"/>
          <w:spacing w:val="0"/>
          <w:szCs w:val="26"/>
        </w:rPr>
        <w:t>1,000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אזהר הורשע בביצוע עבירה של הצתה והושט עליו עונש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הורה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על הפעלת עונש מאסר מותנה בן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מחציתו בחופף ומחציתו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למען שלמות התמונה יצויין כי על יבגני נגזרו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מערערת על קולת העונשים שהוטלו על לואי ואזהר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המקרה דנא אכן נמנה עם אותם מקרים חריגים שבהם מתחייבת החמרת העונשים שהושתו על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 אחת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חומרתה של עבירת ההצתה ועל הצורך להיאבק בה באמצעות ענישה ממשית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בהדגישוֹ את פוטנציאל הנזק המשמעותי הטמון בה ואת חוסר היכולת לשלוט בתוצאותיה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בתוך כך נפסק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לקיפוח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ראה את הנסיבות שבהן לואי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שלח ידו בעצמו בהצתה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ואזהר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מעורב במישרין במעשה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כנסיבות מקלות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שמפחיתות מהחומרה הנלווית לעבירת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 אחרת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פעם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חומרתו היתרה של מעשה השידול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בציינו כי אלמלא המשדל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העבירה שבוצעה בסופו של יום כלל לא הייתה באה לעולם וכי המשדל הוא </w:t>
      </w:r>
      <w:r>
        <w:rPr>
          <w:rFonts w:cs="Times New Roman" w:ascii="Times New Roman" w:hAnsi="Times New Roman"/>
          <w:spacing w:val="0"/>
          <w:szCs w:val="26"/>
          <w:rtl w:val="true"/>
        </w:rPr>
        <w:t>"'</w:t>
      </w:r>
      <w:r>
        <w:rPr>
          <w:rFonts w:ascii="Times New Roman" w:hAnsi="Times New Roman" w:cs="Times New Roman"/>
          <w:spacing w:val="0"/>
          <w:szCs w:val="26"/>
          <w:rtl w:val="true"/>
        </w:rPr>
        <w:t>האב הרוחני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וללא תרומתו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המבצע העיקרי ניגש לביצוע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שיוחסה למעשה השידול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קיבלה ביטוי בדין במובן זה שעונשו של המשדל הושווה לעונשו של המבצע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לנוכח תפיסתנו את המשדל כ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אב הרוחני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 כי אין מקום להקל בעונשו של משדל אך משום שהוא לא נכח בזירת האירוע בשעת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ביחס ללואי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בעידן המודרני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נדרשת נוכחות פיזית של עבריין בזירת הפשע כדי לבצע את מעלליו הנלוזים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 המעשים אינה בהכרח פוחתת אך בשל ההיעדרות הפיזית ממקום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יחס מקל כלפי מי שאינו נוכח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בשל היעדרותו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משמעותו כי לא ימוצה הדין עם מנהיגי קבוצות עבריינים אשר יוזמים את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מתכננים אותה ודואגים כי היא תבוצע באמצעות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שלט רחוק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הסרים למרותם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מסוימות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אף לומר כי ניצול מעמדו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כספו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קשריו החברתיים כדי לרתום אחרים לעבירות שהוא חפץ בביצוען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שייזקף דווקא לחובתו של אותו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גרם במעשיו להרחבת מעגל מבצעי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לאזהר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הוזכר כי הוא נרתם לביצוע המשימה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דאג להצטייד מבעוד מועד בחומר דליק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הסתייעות באחר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והכל כאמור תמורת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אומנם יבגני הוא זה אשר הצית בפועל את רכבו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אזהר הוא אשר רתם את יבגני לביצוע ההצתה ונטל חלק מלא בהכנות שקדמו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המסקנה הנגזרת מן האמור לעיל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עונשי המאסר שנגזרו על לואי ואזהר מקילים עמם באופן 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מעשיהם הנובעת מהתכנון המוקפד של מעשה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המעורבות המקיפה בשלבי הביצוע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ומן הסכנה הפוטנציאלית החמורה שנשקפה ממעשיהם לשלום הציבור ולביטחונו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האמור יש להוסיף עוד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אף חרג בעניינם של המשיבים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ועוד הצורך בהחמרת הענישה בולט גם על רקע הפער בין העונשים שנגזרו על לואי ואזהר לבין העונש שנגזר על יבגני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בלי להביע עמדה בגורל הערעור של יבגני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השוני הנוגע לעברם הפלילי 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שוני משמעותי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המצדיק הבחנה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ascii="Times New Roman" w:hAnsi="Times New Roman" w:cs="Times New Roman"/>
          <w:spacing w:val="0"/>
          <w:szCs w:val="26"/>
          <w:rtl w:val="true"/>
        </w:rPr>
        <w:t>לואי ובין אזהר בכל הנוגע לגזירת עונשם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באיזון בין 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ובהינתן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ערכאת הערעור אינה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 את 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הדין עם נאשמים שעונשם מוחמר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הוחלט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להעמיד את עונשו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לואי על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ואת עונשו של אזהר על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הפעלת המאסר המותנה באופן שנקבע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שבסך הכל ירצה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גזר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Start_Write"/>
      <w:bookmarkStart w:id="18" w:name="Writer_Name"/>
      <w:bookmarkEnd w:id="17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שני ערעורים </w:t>
      </w:r>
      <w:r>
        <w:rPr>
          <w:rtl w:val="true"/>
        </w:rPr>
        <w:t>(</w:t>
      </w:r>
      <w:r>
        <w:rPr>
          <w:rtl w:val="true"/>
        </w:rPr>
        <w:t>שהדיון בהם אוחד</w:t>
      </w:r>
      <w:r>
        <w:rPr>
          <w:rtl w:val="true"/>
        </w:rPr>
        <w:t xml:space="preserve">) </w:t>
      </w:r>
      <w:r>
        <w:rPr>
          <w:rtl w:val="true"/>
        </w:rPr>
        <w:t>על גזרי</w:t>
      </w:r>
      <w:r>
        <w:rPr>
          <w:rtl w:val="true"/>
        </w:rPr>
        <w:t>-</w:t>
      </w:r>
      <w:r>
        <w:rPr>
          <w:rtl w:val="true"/>
        </w:rPr>
        <w:t xml:space="preserve">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19215-09-21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30.12.2021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20.1.2022</w:t>
      </w:r>
      <w:r>
        <w:rPr>
          <w:rtl w:val="true"/>
        </w:rPr>
        <w:t xml:space="preserve">. </w:t>
      </w:r>
      <w:r>
        <w:rPr>
          <w:rtl w:val="true"/>
        </w:rPr>
        <w:t>בגזר הדין הראשון נגזרו על 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559/22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לואי</w:t>
      </w:r>
      <w:r>
        <w:rPr>
          <w:rtl w:val="true"/>
        </w:rPr>
        <w:t xml:space="preserve">)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מותנה ותשלום פיצוי למתלונן בסכום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בגזר הדין השני נגזרו על 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787/22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אזהר</w:t>
      </w:r>
      <w:r>
        <w:rPr>
          <w:rtl w:val="true"/>
        </w:rPr>
        <w:t xml:space="preserve">)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מותנה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13.9.2021</w:t>
      </w:r>
      <w:r>
        <w:rPr>
          <w:rtl w:val="true"/>
        </w:rPr>
        <w:t xml:space="preserve"> </w:t>
      </w:r>
      <w:r>
        <w:rPr>
          <w:rtl w:val="true"/>
        </w:rPr>
        <w:t>הגישה המערערת בשני הערעורים שבכותרת כתב אישום לבית המשפט המחוזי המייחס ללואי ביצוע עבירה של שידול להצתה</w:t>
      </w:r>
      <w:r>
        <w:rPr>
          <w:rtl w:val="true"/>
        </w:rPr>
        <w:t xml:space="preserve">, </w:t>
      </w:r>
      <w:r>
        <w:rPr>
          <w:rtl w:val="true"/>
        </w:rPr>
        <w:t>ולאזהר ביצוע עבירה של הצתה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לנוכח פיטוריו של לואי מחנות ירקות שבה עבד</w:t>
      </w:r>
      <w:r>
        <w:rPr>
          <w:rtl w:val="true"/>
        </w:rPr>
        <w:t xml:space="preserve">, </w:t>
      </w:r>
      <w:r>
        <w:rPr>
          <w:rtl w:val="true"/>
        </w:rPr>
        <w:t xml:space="preserve">גמלה בליבו החלטה לנקום במעסיקו לשעבר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לשם כך פנה לואי לאזהר ושידל אותו להצית את רכבו של המתלונן תמורת סכום כסף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פנה אזהר למכּרוֹ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יבגני</w:t>
      </w:r>
      <w:r>
        <w:rPr>
          <w:rtl w:val="true"/>
        </w:rPr>
        <w:t xml:space="preserve">), </w:t>
      </w:r>
      <w:r>
        <w:rPr>
          <w:rtl w:val="true"/>
        </w:rPr>
        <w:t>וביקש ממנו ליטול עמו חלק בהצתת רכבו של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24.8.2021</w:t>
      </w:r>
      <w:r>
        <w:rPr>
          <w:rtl w:val="true"/>
        </w:rPr>
        <w:t xml:space="preserve">,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הגיעו אזהר ויבגני לתחנת דלק בנהריה</w:t>
      </w:r>
      <w:r>
        <w:rPr>
          <w:rtl w:val="true"/>
        </w:rPr>
        <w:t xml:space="preserve">, </w:t>
      </w:r>
      <w:r>
        <w:rPr>
          <w:rtl w:val="true"/>
        </w:rPr>
        <w:t xml:space="preserve">ובעזרת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אברהם</w:t>
      </w:r>
      <w:r>
        <w:rPr>
          <w:rtl w:val="true"/>
        </w:rPr>
        <w:t xml:space="preserve">) </w:t>
      </w:r>
      <w:r>
        <w:rPr>
          <w:rtl w:val="true"/>
        </w:rPr>
        <w:t>שלבקשתם יצר מצג שווא שלפיו הוא מתדלק את רכבו באמצעות אחת המשאבות</w:t>
      </w:r>
      <w:r>
        <w:rPr>
          <w:rtl w:val="true"/>
        </w:rPr>
        <w:t xml:space="preserve">, </w:t>
      </w:r>
      <w:r>
        <w:rPr>
          <w:rtl w:val="true"/>
        </w:rPr>
        <w:t>מילאו השניים בקבוק שהביאו עמם בדלק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לבקשת אזהר</w:t>
      </w:r>
      <w:r>
        <w:rPr>
          <w:rtl w:val="true"/>
        </w:rPr>
        <w:t xml:space="preserve">, </w:t>
      </w:r>
      <w:r>
        <w:rPr>
          <w:rtl w:val="true"/>
        </w:rPr>
        <w:t>הסיע אברהם את השניים לביתו של המתלונן</w:t>
      </w:r>
      <w:r>
        <w:rPr>
          <w:rtl w:val="true"/>
        </w:rPr>
        <w:t xml:space="preserve">. </w:t>
      </w:r>
      <w:r>
        <w:rPr>
          <w:rtl w:val="true"/>
        </w:rPr>
        <w:t>בהגיעם סמוך לבית המתלונן</w:t>
      </w:r>
      <w:r>
        <w:rPr>
          <w:rtl w:val="true"/>
        </w:rPr>
        <w:t xml:space="preserve">, </w:t>
      </w:r>
      <w:r>
        <w:rPr>
          <w:rtl w:val="true"/>
        </w:rPr>
        <w:t>ירד יבגני מן הרכב כשהוא מצויד בבקבוק הדלק</w:t>
      </w:r>
      <w:r>
        <w:rPr>
          <w:rtl w:val="true"/>
        </w:rPr>
        <w:t xml:space="preserve">, </w:t>
      </w:r>
      <w:r>
        <w:rPr>
          <w:rtl w:val="true"/>
        </w:rPr>
        <w:t>ניגש לעבר רכבו של המתלונן</w:t>
      </w:r>
      <w:r>
        <w:rPr>
          <w:rtl w:val="true"/>
        </w:rPr>
        <w:t xml:space="preserve">, </w:t>
      </w:r>
      <w:r>
        <w:rPr>
          <w:rtl w:val="true"/>
        </w:rPr>
        <w:t>שפך דלק על חלקו האחורי והצית אותו בעזרת מצית</w:t>
      </w:r>
      <w:r>
        <w:rPr>
          <w:rtl w:val="true"/>
        </w:rPr>
        <w:t xml:space="preserve">. </w:t>
      </w:r>
      <w:r>
        <w:rPr>
          <w:rtl w:val="true"/>
        </w:rPr>
        <w:t>אזהר דיווח ללואי שהרכב הוצת והשלושה נמלטו מן הזירה</w:t>
      </w:r>
      <w:r>
        <w:rPr>
          <w:rtl w:val="true"/>
        </w:rPr>
        <w:t xml:space="preserve">. </w:t>
      </w:r>
      <w:r>
        <w:rPr>
          <w:rtl w:val="true"/>
        </w:rPr>
        <w:t>כתוצאה מן האירוע המתואר נגרם נזק לרכבו של המתלונן</w:t>
      </w:r>
      <w:r>
        <w:rPr>
          <w:rtl w:val="true"/>
        </w:rPr>
        <w:t xml:space="preserve">, </w:t>
      </w:r>
      <w:r>
        <w:rPr>
          <w:rtl w:val="true"/>
        </w:rPr>
        <w:t>ויצוין כי עוברי אורח שהבחינו בדלקה פעלו לכיבויה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למען שלמות התמונה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נגד יבגני הוגש כתב 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נפרד</w:t>
      </w:r>
      <w:r>
        <w:rPr>
          <w:rtl w:val="true"/>
        </w:rPr>
        <w:t xml:space="preserve"> לבית המשפט המחוזי בחיפה</w:t>
      </w:r>
      <w:r>
        <w:rPr>
          <w:rtl w:val="true"/>
        </w:rPr>
        <w:t xml:space="preserve">. </w:t>
      </w:r>
      <w:r>
        <w:rPr>
          <w:rtl w:val="true"/>
        </w:rPr>
        <w:t>יבגני הודה במיוחס לו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20.12.2021</w:t>
      </w:r>
      <w:r>
        <w:rPr>
          <w:rtl w:val="true"/>
        </w:rPr>
        <w:t xml:space="preserve"> </w:t>
      </w:r>
      <w:r>
        <w:rPr>
          <w:rtl w:val="true"/>
        </w:rPr>
        <w:t xml:space="preserve">גזר עליו בית המשפט המחוזי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ועונשים נלווים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19296-09-21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ערעור שהגיש יבגני על גזר הדין שניתן בעניינו לבית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עודנו תלוי ועומד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783/22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</w:t>
      </w:r>
      <w:r>
        <w:rPr>
          <w:rtl w:val="true"/>
        </w:rPr>
        <w:t>-</w:t>
      </w:r>
      <w:r>
        <w:rPr>
          <w:rtl w:val="true"/>
        </w:rPr>
        <w:t xml:space="preserve">דין של בית המשפט המחוזי מיום </w:t>
      </w:r>
      <w:r>
        <w:rPr/>
        <w:t>23.12.2021</w:t>
      </w:r>
      <w:r>
        <w:rPr>
          <w:rtl w:val="true"/>
        </w:rPr>
        <w:t xml:space="preserve"> </w:t>
      </w:r>
      <w:r>
        <w:rPr>
          <w:rtl w:val="true"/>
        </w:rPr>
        <w:t xml:space="preserve">הורשע לואי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</w:t>
      </w:r>
      <w:r>
        <w:rPr>
          <w:rtl w:val="true"/>
        </w:rPr>
        <w:t xml:space="preserve">) </w:t>
      </w:r>
      <w:r>
        <w:rPr>
          <w:rtl w:val="true"/>
        </w:rPr>
        <w:t>בשידול להצתה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 xml:space="preserve">ובהכרעת דין מיום </w:t>
      </w:r>
      <w:r>
        <w:rPr/>
        <w:t>20.1.2022</w:t>
      </w:r>
      <w:r>
        <w:rPr>
          <w:rtl w:val="true"/>
        </w:rPr>
        <w:t xml:space="preserve">, </w:t>
      </w:r>
      <w:r>
        <w:rPr>
          <w:rtl w:val="true"/>
        </w:rPr>
        <w:t xml:space="preserve">הורשע אזהר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</w:t>
      </w:r>
      <w:r>
        <w:rPr>
          <w:rtl w:val="true"/>
        </w:rPr>
        <w:t xml:space="preserve">) </w:t>
      </w:r>
      <w:r>
        <w:rPr>
          <w:rtl w:val="true"/>
        </w:rPr>
        <w:t>בהצתה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30.12.2021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נשמעו טיעונים לעונש בעניינו של לואי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המערערת הדגישה את התכנון הקפדני שקדם לביצוע העבירה</w:t>
      </w:r>
      <w:r>
        <w:rPr>
          <w:rtl w:val="true"/>
        </w:rPr>
        <w:t xml:space="preserve">; </w:t>
      </w:r>
      <w:r>
        <w:rPr>
          <w:rtl w:val="true"/>
        </w:rPr>
        <w:t>את חלקו של לואי כמחולל העבירה</w:t>
      </w:r>
      <w:r>
        <w:rPr>
          <w:rtl w:val="true"/>
        </w:rPr>
        <w:t xml:space="preserve">; </w:t>
      </w:r>
      <w:r>
        <w:rPr>
          <w:rtl w:val="true"/>
        </w:rPr>
        <w:t>ואת הנזק הפוטנציאלי שעשוי היה להיגרם כתוצאה מהצתה בשעות ערב ובסמיכות לבתי מגורים</w:t>
      </w:r>
      <w:r>
        <w:rPr>
          <w:rtl w:val="true"/>
        </w:rPr>
        <w:t xml:space="preserve">. </w:t>
      </w:r>
      <w:r>
        <w:rPr>
          <w:rtl w:val="true"/>
        </w:rPr>
        <w:t>על רקע כל האמור</w:t>
      </w:r>
      <w:r>
        <w:rPr>
          <w:rtl w:val="true"/>
        </w:rPr>
        <w:t xml:space="preserve">, </w:t>
      </w:r>
      <w:r>
        <w:rPr>
          <w:rtl w:val="true"/>
        </w:rPr>
        <w:t>עתרה המערערת לקביעת מתחם ענישה שנע בין שנתיים לארבע שנות מאסר בפועל</w:t>
      </w:r>
      <w:r>
        <w:rPr>
          <w:rtl w:val="true"/>
        </w:rPr>
        <w:t xml:space="preserve">, </w:t>
      </w:r>
      <w:r>
        <w:rPr>
          <w:rtl w:val="true"/>
        </w:rPr>
        <w:t>וטענה כי יש לגזור את עונשו של לואי ברף התחתון</w:t>
      </w:r>
      <w:r>
        <w:rPr>
          <w:rtl w:val="true"/>
        </w:rPr>
        <w:t>-</w:t>
      </w:r>
      <w:r>
        <w:rPr>
          <w:rtl w:val="true"/>
        </w:rPr>
        <w:t>אמצעי של המתחם שנקבע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; </w:t>
      </w:r>
      <w:r>
        <w:rPr>
          <w:rtl w:val="true"/>
        </w:rPr>
        <w:t>והטעים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20.1.2022</w:t>
      </w:r>
      <w:r>
        <w:rPr>
          <w:rtl w:val="true"/>
        </w:rPr>
        <w:t xml:space="preserve"> </w:t>
      </w:r>
      <w:r>
        <w:rPr>
          <w:rtl w:val="true"/>
        </w:rPr>
        <w:t>נשמעו טיעונים לעונש בעניינו של אזהר</w:t>
      </w:r>
      <w:r>
        <w:rPr>
          <w:rtl w:val="true"/>
        </w:rPr>
        <w:t xml:space="preserve">. </w:t>
      </w:r>
      <w:r>
        <w:rPr>
          <w:rtl w:val="true"/>
        </w:rPr>
        <w:t>בכל הנוגע לקביעת מתחם הענישה</w:t>
      </w:r>
      <w:r>
        <w:rPr>
          <w:rtl w:val="true"/>
        </w:rPr>
        <w:t xml:space="preserve">, </w:t>
      </w:r>
      <w:r>
        <w:rPr>
          <w:rtl w:val="true"/>
        </w:rPr>
        <w:t>שבה המערערת על הטענות שהעלתה בעניינו של לואי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בהינתן עברו הפלילי המכביד של אזהר</w:t>
      </w:r>
      <w:r>
        <w:rPr>
          <w:rtl w:val="true"/>
        </w:rPr>
        <w:t xml:space="preserve">, </w:t>
      </w:r>
      <w:r>
        <w:rPr>
          <w:rtl w:val="true"/>
        </w:rPr>
        <w:t>סברה המערערת כי יש לגזור את עונשו ברף העליון של מתחם 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יבגני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לואי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 xml:space="preserve">דינו מיום </w:t>
      </w:r>
      <w:r>
        <w:rPr/>
        <w:t>30.12.2021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שמעשיו של לואי פגעו באינטרס החברתי שעניינו שמירה על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והטעים כי הדברים מקבלים משנה תוקף משמדובר בהצתה שבוצעה באזור מגורים</w:t>
      </w:r>
      <w:r>
        <w:rPr>
          <w:rtl w:val="true"/>
        </w:rPr>
        <w:t xml:space="preserve">. </w:t>
      </w:r>
      <w:r>
        <w:rPr>
          <w:rtl w:val="true"/>
        </w:rPr>
        <w:t>בנוגע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לואי </w:t>
      </w:r>
      <w:r>
        <w:rPr>
          <w:rtl w:val="true"/>
        </w:rPr>
        <w:t>"</w:t>
      </w:r>
      <w:r>
        <w:rPr>
          <w:rtl w:val="true"/>
        </w:rPr>
        <w:t>לא שלח ידו בעצמו בהצתה</w:t>
      </w:r>
      <w:r>
        <w:rPr>
          <w:rtl w:val="true"/>
        </w:rPr>
        <w:t xml:space="preserve">, </w:t>
      </w:r>
      <w:r>
        <w:rPr>
          <w:rtl w:val="true"/>
        </w:rPr>
        <w:t>הגם שהיה מחולל העניין</w:t>
      </w:r>
      <w:r>
        <w:rPr>
          <w:rtl w:val="true"/>
        </w:rPr>
        <w:t xml:space="preserve">"; </w:t>
      </w:r>
      <w:r>
        <w:rPr>
          <w:rtl w:val="true"/>
        </w:rPr>
        <w:t>וכי היקף הנזק שנגרם לרכבו של המתלונן לא הוברר</w:t>
      </w:r>
      <w:r>
        <w:rPr>
          <w:rtl w:val="true"/>
        </w:rPr>
        <w:t xml:space="preserve">, </w:t>
      </w:r>
      <w:r>
        <w:rPr>
          <w:rtl w:val="true"/>
        </w:rPr>
        <w:t>אם כי נראה שמדובר אך בנזק חלקי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מדיניות הענישה ביחס לעבירת ההצתה היא תלוית נסיבות</w:t>
      </w:r>
      <w:r>
        <w:rPr>
          <w:rtl w:val="true"/>
        </w:rPr>
        <w:t xml:space="preserve">, </w:t>
      </w:r>
      <w:r>
        <w:rPr>
          <w:rtl w:val="true"/>
        </w:rPr>
        <w:t xml:space="preserve">כך שיש לבחון </w:t>
      </w:r>
      <w:r>
        <w:rPr>
          <w:rtl w:val="true"/>
        </w:rPr>
        <w:t>"</w:t>
      </w:r>
      <w:r>
        <w:rPr>
          <w:rtl w:val="true"/>
        </w:rPr>
        <w:t>מה הוצת</w:t>
      </w:r>
      <w:r>
        <w:rPr>
          <w:rtl w:val="true"/>
        </w:rPr>
        <w:t xml:space="preserve">, </w:t>
      </w:r>
      <w:r>
        <w:rPr>
          <w:rtl w:val="true"/>
        </w:rPr>
        <w:t>היכן</w:t>
      </w:r>
      <w:r>
        <w:rPr>
          <w:rtl w:val="true"/>
        </w:rPr>
        <w:t xml:space="preserve">, </w:t>
      </w:r>
      <w:r>
        <w:rPr>
          <w:rtl w:val="true"/>
        </w:rPr>
        <w:t>אופן ההצתה ועוד</w:t>
      </w:r>
      <w:r>
        <w:rPr>
          <w:rtl w:val="true"/>
        </w:rPr>
        <w:t xml:space="preserve">".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הענישה ההולם נע בין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</w:t>
      </w:r>
      <w:r>
        <w:rPr>
          <w:rtl w:val="true"/>
        </w:rPr>
        <w:t>-</w:t>
      </w:r>
      <w:r>
        <w:rPr>
          <w:rtl w:val="true"/>
        </w:rPr>
        <w:t>תנאי ופיצוי לנפגע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עונשו של לואי בתוך מתחם הענישה</w:t>
      </w:r>
      <w:r>
        <w:rPr>
          <w:rtl w:val="true"/>
        </w:rPr>
        <w:t xml:space="preserve">, </w:t>
      </w:r>
      <w:r>
        <w:rPr>
          <w:rtl w:val="true"/>
        </w:rPr>
        <w:t>צוינו הודאתו של לואי בהזדמנות הראשונה</w:t>
      </w:r>
      <w:r>
        <w:rPr>
          <w:rtl w:val="true"/>
        </w:rPr>
        <w:t xml:space="preserve">; </w:t>
      </w:r>
      <w:r>
        <w:rPr>
          <w:rtl w:val="true"/>
        </w:rPr>
        <w:t>היותו אב לילדים קטנים</w:t>
      </w:r>
      <w:r>
        <w:rPr>
          <w:rtl w:val="true"/>
        </w:rPr>
        <w:t xml:space="preserve">; </w:t>
      </w:r>
      <w:r>
        <w:rPr>
          <w:rtl w:val="true"/>
        </w:rPr>
        <w:t>הרקע שקדם לביצוע העבירה כפי שתואר מפי לואי</w:t>
      </w:r>
      <w:r>
        <w:rPr>
          <w:rtl w:val="true"/>
        </w:rPr>
        <w:t xml:space="preserve">; </w:t>
      </w:r>
      <w:r>
        <w:rPr>
          <w:rtl w:val="true"/>
        </w:rPr>
        <w:t>העובדה שעברו הפלילי אינו מכביד</w:t>
      </w:r>
      <w:r>
        <w:rPr>
          <w:rtl w:val="true"/>
        </w:rPr>
        <w:t xml:space="preserve">; </w:t>
      </w:r>
      <w:r>
        <w:rPr>
          <w:rtl w:val="true"/>
        </w:rPr>
        <w:t>והחרטה שהביע על מעשיו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לואי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לבל יעבור במשך שלוש שנים מיום שחרורו ממאסר עבירה של הצתה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למתלונן בסכום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במהלך הטיעונים לעונש הוגש לעיונו פסק הדין שניתן בעניינו של יבגני</w:t>
      </w:r>
      <w:r>
        <w:rPr>
          <w:rtl w:val="true"/>
        </w:rPr>
        <w:t xml:space="preserve">; </w:t>
      </w:r>
      <w:r>
        <w:rPr>
          <w:rtl w:val="true"/>
        </w:rPr>
        <w:t>והבהיר כי הוא אינו סבור שיש בקביעות שנכללו בו כדי להשליך במישרין על הענישה ההולמת בעניינו של לואי</w:t>
      </w:r>
      <w:r>
        <w:rPr>
          <w:rtl w:val="true"/>
        </w:rPr>
        <w:t xml:space="preserve">, </w:t>
      </w:r>
      <w:r>
        <w:rPr>
          <w:rtl w:val="true"/>
        </w:rPr>
        <w:t>וזאת בשים לב לעברו הפלילי המכביד של יבגני ובהתחשב בחלקו הממשי בביצוע ההצתה עצמה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אזהר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20.1.2022</w:t>
      </w:r>
      <w:r>
        <w:rPr>
          <w:rtl w:val="true"/>
        </w:rPr>
        <w:t xml:space="preserve"> </w:t>
      </w:r>
      <w:r>
        <w:rPr>
          <w:rtl w:val="true"/>
        </w:rPr>
        <w:t>ניתן גזר</w:t>
      </w:r>
      <w:r>
        <w:rPr>
          <w:rtl w:val="true"/>
        </w:rPr>
        <w:t>-</w:t>
      </w:r>
      <w:r>
        <w:rPr>
          <w:rtl w:val="true"/>
        </w:rPr>
        <w:t>דין בעניינו של אזהר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נקבע כי מידת פגיעתו של אזהר בערכים המוגנים האמורים מצויה ברף הבינוני</w:t>
      </w:r>
      <w:r>
        <w:rPr>
          <w:rtl w:val="true"/>
        </w:rPr>
        <w:t xml:space="preserve">, </w:t>
      </w:r>
      <w:r>
        <w:rPr>
          <w:rtl w:val="true"/>
        </w:rPr>
        <w:t>וזאת בשים לב להיעדר מעורבותו במישרין במעשה ההצתה עצמו</w:t>
      </w:r>
      <w:r>
        <w:rPr>
          <w:rtl w:val="true"/>
        </w:rPr>
        <w:t xml:space="preserve">; </w:t>
      </w:r>
      <w:r>
        <w:rPr>
          <w:rtl w:val="true"/>
        </w:rPr>
        <w:t>וכן לנוכח היקף הנזק שנגרם</w:t>
      </w:r>
      <w:r>
        <w:rPr>
          <w:rtl w:val="true"/>
        </w:rPr>
        <w:t xml:space="preserve">, </w:t>
      </w:r>
      <w:r>
        <w:rPr>
          <w:rtl w:val="true"/>
        </w:rPr>
        <w:t>אשר לא הוברר במסגרת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לנוכח המקובץ וכן בשים לב למדיניות הענישה ביחס לעבירת ההצתה בהתחשב במסוכנות הטמונה בה </w:t>
      </w:r>
      <w:r>
        <w:rPr>
          <w:rtl w:val="true"/>
        </w:rPr>
        <w:t>–</w:t>
      </w:r>
      <w:r>
        <w:rPr>
          <w:rtl w:val="true"/>
        </w:rPr>
        <w:t xml:space="preserve"> קבע בית המשפט המחוזי כי מתחם הענישה ההולם נע 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בקביעת עונשו של אזהר בתוך מתחם הענישה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 בהודאתו בהזדמנות הראשונה</w:t>
      </w:r>
      <w:r>
        <w:rPr>
          <w:rtl w:val="true"/>
        </w:rPr>
        <w:t xml:space="preserve">; </w:t>
      </w:r>
      <w:r>
        <w:rPr>
          <w:rtl w:val="true"/>
        </w:rPr>
        <w:t>בנסיבות חייו</w:t>
      </w:r>
      <w:r>
        <w:rPr>
          <w:rtl w:val="true"/>
        </w:rPr>
        <w:t xml:space="preserve">; </w:t>
      </w:r>
      <w:r>
        <w:rPr>
          <w:rtl w:val="true"/>
        </w:rPr>
        <w:t>ובעברו הפלילי הכולל הרשעות שונות בעבירות מתחום הרכוש והסמים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אזהר כאמור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 כמפורט לעיל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הורה על הפעלת עונש המאסר המותנה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שעמד כנגד אזהר בשל הרשעתו בעבר בביצוע עבירה של גניבה</w:t>
      </w:r>
      <w:r>
        <w:rPr>
          <w:rtl w:val="true"/>
        </w:rPr>
        <w:t xml:space="preserve">, </w:t>
      </w:r>
      <w:r>
        <w:rPr>
          <w:rtl w:val="true"/>
        </w:rPr>
        <w:t>באופן שמחציתו תהא חופפת לעונש שנגזר עליו במקרה דנן ומחציתו האחרת תרוצה במצטבר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 xml:space="preserve">בשל המכנה המשותף בין עבירת הגניבה ובין עבירת ההצתה </w:t>
      </w:r>
      <w:r>
        <w:rPr>
          <w:rtl w:val="true"/>
        </w:rPr>
        <w:t>–</w:t>
      </w:r>
      <w:r>
        <w:rPr>
          <w:rtl w:val="true"/>
        </w:rPr>
        <w:t xml:space="preserve"> פגיעה ברכוש</w:t>
      </w:r>
      <w:r>
        <w:rPr>
          <w:rtl w:val="true"/>
        </w:rPr>
        <w:t xml:space="preserve">. </w:t>
      </w:r>
      <w:r>
        <w:rPr>
          <w:rtl w:val="true"/>
        </w:rPr>
        <w:t>ביחס לפיצוי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בהתחשב בכך שהיקף הנזק לא הוברר ולנוכח מצבו הכלכלי הקשה של אזהר שלא היה מעורב בהצתה עצמה </w:t>
      </w:r>
      <w:r>
        <w:rPr>
          <w:rtl w:val="true"/>
        </w:rPr>
        <w:t>–</w:t>
      </w:r>
      <w:r>
        <w:rPr>
          <w:rtl w:val="true"/>
        </w:rPr>
        <w:t xml:space="preserve"> אין מקום לפסוק פיצוי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559/22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לטענת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מתחם הענישה שקבע בית המשפט המחוזי אינו הולם את חלקו של לואי כמחולל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לא את חומרת העבירה והסיכון שנשקף ממנה לחיי אדם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לחלקו של לואי בביצוע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בית המשפט המחוזי שגה בקבעו כי העובדה שלואי לא שלח ידו בהצתה עצמה מהווה נסיבה מקלה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קביעה זו אינה עולה בקנה אחד עם האמור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שלפיו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כל דין החל על הביצוע העיקרי של העבירה המושלמת חל גם על נסיון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שידול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נסיון לשידול או סיוע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לאותה עבירה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בהקשר זה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החריגה ממצוות המחוקק אך בשל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הימצאותו של המשדל במקום ביצוע העבירה והעובדה שלא לקח בה חלק פעיל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חוטאת למהות תפקידו של המשדל ולחומרה הרבה שבמעשיו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המערערת טוענת כי העובדה שלואי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 שלח ידו בעצמו בהצתה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מהווה נסיבה שיש בה דווקא 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 עונשו של לואי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יזם ביצוע עבירה פלילית מתוך נקמה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והרחיק עצמו מן המעשה באמצעות תשלום לאחרים כדי שיבצעו אותה עבורו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המערערת מדגישה את מעורבותו הממשית של לואי בביצוע העבירה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החל משלב התכנון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דרך גיוס המבצע ועד לקבלת דיווח על השלמת המעשה ממבצעיו בפועל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 לגזירת עונשו של לואי בתוך המתחם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בכך שגזר על לואי עונש נמוך במידה ניכרת מזה שנגזר על יבגני</w:t>
      </w:r>
      <w:r>
        <w:rPr>
          <w:rtl w:val="true"/>
        </w:rPr>
        <w:t xml:space="preserve">, </w:t>
      </w:r>
      <w:r>
        <w:rPr>
          <w:rtl w:val="true"/>
        </w:rPr>
        <w:t>אך בשל עברו הפלילי של יבגני והעובדה שהיה המצית בפועל</w:t>
      </w:r>
      <w:r>
        <w:rPr>
          <w:rtl w:val="true"/>
        </w:rPr>
        <w:t xml:space="preserve">. </w:t>
      </w:r>
      <w:r>
        <w:rPr>
          <w:rtl w:val="true"/>
        </w:rPr>
        <w:t>לנוכח היקף מעורבותו של לואי במעשה</w:t>
      </w:r>
      <w:r>
        <w:rPr>
          <w:rtl w:val="true"/>
        </w:rPr>
        <w:t xml:space="preserve">, </w:t>
      </w:r>
      <w:r>
        <w:rPr>
          <w:rtl w:val="true"/>
        </w:rPr>
        <w:t>נטען כי ראוי היה לגזור עליו עונש קרוב יותר לזה שנגזר על יבגני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787/22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המערערת שבה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על הטענות שהעלתה בערעורה כלפי גזר</w:t>
      </w:r>
      <w:r>
        <w:rPr>
          <w:rtl w:val="true"/>
        </w:rPr>
        <w:t>-</w:t>
      </w:r>
      <w:r>
        <w:rPr>
          <w:rtl w:val="true"/>
        </w:rPr>
        <w:t>דינו של לואי בכל הנוגע לחומרתה של עבירת ההצתה ומתחם הענישה הראוי</w:t>
      </w:r>
      <w:r>
        <w:rPr>
          <w:rtl w:val="true"/>
        </w:rPr>
        <w:t xml:space="preserve">. </w:t>
      </w:r>
      <w:r>
        <w:rPr>
          <w:rtl w:val="true"/>
        </w:rPr>
        <w:t>לעניין המיקום בתוך המתחם</w:t>
      </w:r>
      <w:r>
        <w:rPr>
          <w:rtl w:val="true"/>
        </w:rPr>
        <w:t xml:space="preserve">, </w:t>
      </w:r>
      <w:r>
        <w:rPr>
          <w:rtl w:val="true"/>
        </w:rPr>
        <w:t>המערערת סבורה כי לא היה מקום לגזור את עונשו של אזהר ברף התחתון של מתחם הענישה שנקבע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משעומד לחובתו עבר פלילי מכביד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הרשעות קודמות בעבירות מתחום האלימות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 xml:space="preserve">והאיומים </w:t>
      </w:r>
      <w:r>
        <w:rPr>
          <w:rtl w:val="true"/>
        </w:rPr>
        <w:t>–</w:t>
      </w:r>
      <w:r>
        <w:rPr>
          <w:rtl w:val="true"/>
        </w:rPr>
        <w:t xml:space="preserve"> כאשר גזר הדין האחרון בעניינו של אזהר ניתן אך בשנת </w:t>
      </w:r>
      <w:r>
        <w:rPr/>
        <w:t>2020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המשיבים סומכים ידיהם על גזרי</w:t>
      </w:r>
      <w:r>
        <w:rPr>
          <w:rtl w:val="true"/>
        </w:rPr>
        <w:t>-</w:t>
      </w:r>
      <w:r>
        <w:rPr>
          <w:rtl w:val="true"/>
        </w:rPr>
        <w:t>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שקל את מכלול הנתונים בעניינם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המשיבים טוענים כי רף הענישה בעבירות הצתה אינו אחיד ונע בין השתת עונש מאסר בדרך של עבודות שירות לבין עונש של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לטענתם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הולמים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ומתיישבים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מדיניות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sz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sz w:val="28"/>
          <w:sz w:val="28"/>
          <w:rtl w:val="true"/>
        </w:rPr>
        <w:t>המשיבים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ומציינים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הודאותיהם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הזניח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לרכבו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שהביעו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בעניינו של לואי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צוינו גם נסיבותיו האישיות והכלכליות ובהן תמיכתו באמו המבוגרת ובילדיו הקטינים וכן התנהלותו הראויה במסגרת המאסר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לאחר שנתתי דעתי לטענות הצדדים שלפנינו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, </w:t>
      </w:r>
      <w:r>
        <w:rPr>
          <w:rtl w:val="true"/>
        </w:rPr>
        <w:t>באתי לכלל מסקנה כי יש לקבל את שני הערעורים</w:t>
      </w:r>
      <w:r>
        <w:rPr>
          <w:rtl w:val="true"/>
        </w:rPr>
        <w:t xml:space="preserve">. </w:t>
      </w:r>
      <w:r>
        <w:rPr>
          <w:rtl w:val="true"/>
        </w:rPr>
        <w:t>אבאר להלן את נימוקיי 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shd w:fill="FFFFFF" w:val="clear"/>
        </w:rPr>
        <w:t>15</w:t>
      </w:r>
      <w:r>
        <w:rPr>
          <w:rFonts w:cs="Century" w:ascii="Century" w:hAnsi="Century"/>
          <w:sz w:val="22"/>
          <w:shd w:fill="FFFFFF" w:val="clear"/>
          <w:rtl w:val="true"/>
        </w:rPr>
        <w:t>.</w:t>
        <w:tab/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כלל ידוע הוא שערכאת הערעור אינה נוטה להתערב בעונש שהושת על</w:t>
      </w:r>
      <w:r>
        <w:rPr>
          <w:rFonts w:cs="Century" w:ascii="Century" w:hAnsi="Century"/>
          <w:sz w:val="22"/>
          <w:shd w:fill="FFFFFF" w:val="clear"/>
          <w:rtl w:val="true"/>
        </w:rPr>
        <w:t>-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ידי הערכאה הדיונית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אלא במקרים שבהם ניכרת חריגה קיצונית ממדיניות הענישה הנוהגת במקרים דומים או כאשר נפלה טעות מהותית ובולטת בגזר הדין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ראו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4456/21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עבסה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14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23.1.2022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159/22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תאיה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13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2.3.2022</w:t>
      </w:r>
      <w:r>
        <w:rPr>
          <w:rFonts w:cs="Century" w:ascii="Century" w:hAnsi="Century"/>
          <w:sz w:val="22"/>
          <w:shd w:fill="FFFFFF" w:val="clear"/>
          <w:rtl w:val="true"/>
        </w:rPr>
        <w:t>);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577/22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אוחנינה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9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6.3.2022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shd w:fill="FFFFFF" w:val="clear"/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כפי שיובהר להלן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המקרה שלפנינו אכן נמנה עם אותם מקרים חריגים שבהם מתחייבת החמרת העונשים שהושתו על המשיבים בשני הערעורים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לא אחת עמד בית משפט זה על חומרתה של עבירת ההצתה ועל הצורך להיאבק בה באמצעות ענישה ממשית ומרתיעה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בהדגישוֹ את פוטנציאל הנזק המשמעותי הטמון בה ואת חוסר היכולת לשלוט בתוצאותיה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ולחוסר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נזיקים</w:t>
      </w:r>
      <w:r>
        <w:rPr>
          <w:rtl w:val="true"/>
        </w:rPr>
        <w:t xml:space="preserve">",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הנזיקין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השור</w:t>
      </w:r>
      <w:r>
        <w:rPr>
          <w:rtl w:val="true"/>
        </w:rPr>
        <w:t xml:space="preserve">, </w:t>
      </w:r>
      <w:r>
        <w:rPr>
          <w:rtl w:val="true"/>
        </w:rPr>
        <w:t>הבור</w:t>
      </w:r>
      <w:r>
        <w:rPr>
          <w:rtl w:val="true"/>
        </w:rPr>
        <w:t xml:space="preserve">, </w:t>
      </w:r>
      <w:r>
        <w:rPr>
          <w:rtl w:val="true"/>
        </w:rPr>
        <w:t>המבעה</w:t>
      </w:r>
      <w:r>
        <w:rPr>
          <w:rtl w:val="true"/>
        </w:rPr>
        <w:t xml:space="preserve">, </w:t>
      </w:r>
      <w:r>
        <w:rPr>
          <w:rtl w:val="true"/>
        </w:rPr>
        <w:t>וההבער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בבא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כִּי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תֵצֵא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אֵשׁ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וּמָצְאָה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קֹצִים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וְנֶאֱכַל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גָּדִישׁ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הַקָּמָה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הַשָּׂדֶה</w:t>
      </w:r>
      <w:r>
        <w:rPr>
          <w:rtl w:val="true"/>
        </w:rPr>
        <w:t xml:space="preserve">, </w:t>
      </w:r>
      <w:r>
        <w:rPr>
          <w:rtl w:val="true"/>
        </w:rPr>
        <w:t>שַׁלֵּם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יְשַׁלֵּם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הַמַּבְעִר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אֶת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הַבְּעֵרָה</w:t>
      </w:r>
      <w:r>
        <w:rPr>
          <w:rtl w:val="true"/>
        </w:rPr>
        <w:t>" (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').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ותזיק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אִשׁוֹ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חִצָיו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חץ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)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בבא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ההדלקה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בפירושו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: "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שתדע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ימנעהו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ויתנועע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שיורוהו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 xml:space="preserve">לא בכדי אפוא קבע המחוקק עונש חמור של עד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בגין עבירת ההצתה </w:t>
      </w:r>
      <w:r>
        <w:rPr>
          <w:rFonts w:cs="Century" w:ascii="Century" w:hAnsi="Century"/>
          <w:sz w:val="22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448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מעשה הצתה ראשיתו ידועה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ואחריתו מי ישורנה</w:t>
      </w:r>
      <w:r>
        <w:rPr>
          <w:rFonts w:cs="Century" w:ascii="Century" w:hAnsi="Century"/>
          <w:sz w:val="22"/>
          <w:rtl w:val="true"/>
        </w:rPr>
        <w:t>" (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4311/12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סורי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8.11.2012</w:t>
      </w:r>
      <w:r>
        <w:rPr>
          <w:sz w:val="22"/>
          <w:rtl w:val="true"/>
        </w:rPr>
        <w:t xml:space="preserve">); </w:t>
      </w:r>
      <w:hyperlink r:id="rId2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3149/16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9.11.2016</w:t>
      </w:r>
      <w:r>
        <w:rPr>
          <w:sz w:val="22"/>
          <w:rtl w:val="true"/>
        </w:rPr>
        <w:t xml:space="preserve">); </w:t>
      </w:r>
      <w:hyperlink r:id="rId3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2356/17</w:t>
        </w:r>
      </w:hyperlink>
      <w:r>
        <w:rPr>
          <w:sz w:val="22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‏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29.6.2020</w:t>
      </w:r>
      <w:r>
        <w:rPr>
          <w:sz w:val="22"/>
          <w:rtl w:val="true"/>
        </w:rPr>
        <w:t xml:space="preserve">)). </w:t>
      </w:r>
      <w:r>
        <w:rPr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הודגש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לקיפוח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מחייב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עניין</w:t>
      </w:r>
      <w:r>
        <w:rPr>
          <w:sz w:val="22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; </w:t>
      </w:r>
      <w:hyperlink r:id="rId3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7205/15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ויינבלט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14.7.2016</w:t>
      </w:r>
      <w:r>
        <w:rPr>
          <w:sz w:val="22"/>
          <w:rtl w:val="true"/>
        </w:rPr>
        <w:t xml:space="preserve">); </w:t>
      </w:r>
      <w:hyperlink r:id="rId3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6720/16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7.3.2017</w:t>
      </w:r>
      <w:r>
        <w:rPr>
          <w:sz w:val="22"/>
          <w:rtl w:val="true"/>
        </w:rPr>
        <w:t xml:space="preserve">)).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ראה את הנסיבות שבהן לואי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 שלח ידו בעצמו בהצתה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ואזהר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 היה מעורב במישרין במעשה ההצתה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שמפחיתות מהחומרה הנלווית לעבירת ההצתה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דעתי בעניין זה שונה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לא פעם עמד בית משפט זה על חומרתו היתרה של מעשה השידול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בציינו כי אלמלא המשדל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העבירה שבוצעה בסופו של יום כלל לא הייתה באה לעולם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6095/08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29.12.2008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ז פלר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כרך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229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יורם רבין ויניב ואקי </w:t>
      </w:r>
      <w:hyperlink r:id="rId35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כרך א </w:t>
      </w:r>
      <w:r>
        <w:rPr>
          <w:rFonts w:cs="Century" w:ascii="Century" w:hAnsi="Century"/>
          <w:sz w:val="22"/>
        </w:rPr>
        <w:t>609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מהדורה 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ברוח זו נקבעו ב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7894/03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מסראווה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18.2.2008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הדברים הבאים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('</w:t>
      </w:r>
      <w:r>
        <w:rPr>
          <w:rtl w:val="true"/>
        </w:rPr>
        <w:t>חיצונית</w:t>
      </w:r>
      <w:r>
        <w:rPr>
          <w:rtl w:val="true"/>
        </w:rPr>
        <w:t xml:space="preserve">'),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המשדל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הרוחני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/>
        <w:t>612-614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החומרה שיוחסה למעשה השידול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קיבלה ביטוי בדין במובן זה שעונשו של המשדל הושווה לעונשו של המבצע העיקרי </w:t>
      </w:r>
      <w:r>
        <w:rPr>
          <w:rFonts w:cs="Century" w:ascii="Century" w:hAnsi="Century"/>
          <w:sz w:val="22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8469/99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0">
        <w:bookmarkStart w:id="19" w:name="Text1"/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3344/14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וידבסקי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9"/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14-13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5.7.2015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הרוחני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ללואי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המודרני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; </w:t>
      </w:r>
      <w:r>
        <w:rPr>
          <w:rtl w:val="true"/>
        </w:rPr>
        <w:t>וחומרת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ההיעדרות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מתכננים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ודואגים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חיילים</w:t>
      </w:r>
      <w:r>
        <w:rPr>
          <w:rtl w:val="true"/>
        </w:rPr>
        <w:t xml:space="preserve">" </w:t>
      </w:r>
      <w:r>
        <w:rPr>
          <w:rtl w:val="true"/>
        </w:rPr>
        <w:t>הסרים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32-30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כפי שתואר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לואי היה מחולל האירוע והרוח החיה שמאחורי מעשה ההצתה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הוא יזם מעשה נקם כלפי מעסיקו לשעבר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המתלונן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אך בשל פיטוריו מעבודתו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לואי גייס לצורך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תמורת תשלום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אזהר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ושכנע אותו להצית את רכבו של המתלונן באזור מגורים ובשעות הערב שבהן שוהים מרבית התושבים בבתיהם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מעורבותו של לואי במעשה ההצתה והפיקוח על אופן ביצועו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באה לידי ביטוי גם בכך שהלה קיבל דיווח מאזהר מיד לאחר השלמת ביצועו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בכל אלה יש כדי להוביל דווקא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להחמרה</w:t>
      </w:r>
      <w:r>
        <w:rPr>
          <w:rFonts w:ascii="Century" w:hAnsi="Century" w:cs="Century"/>
          <w:sz w:val="22"/>
          <w:sz w:val="22"/>
          <w:rtl w:val="true"/>
        </w:rPr>
        <w:t xml:space="preserve"> בעונשו של לואי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ובוודאי שלא מדובר בנסיבה מקלה כפי שנקבע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באשר לאזהר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יוזכר כי הוא נרתם לביצוע המשימה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דאג להצטייד מבעוד מועד בחומר דליק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הסתייעות באחר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והכל כאמור תמורת בצע כסף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אומנם יבגני הוא זה אשר הצית בפועל את רכבו של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אזהר הוא אשר רתם את יבגני לביצוע ההצתה ונטל חלק מלא בהכנות שקדמו לה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המסקנה הנגזרת מן האמור לעיל 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עונשי המאסר שנגזרו על לואי ואזהר מקילים עמם באופן חריג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בשים לב לחומרת מעשיהם של המשיבים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הנובעת מהתכנון המוקפד של מעשה ההצתה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מן המעורבות המקיפה בשלבי הביצוע השונים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ומן הסכנה הפוטנציאלית החמורה שנשקפה ממעשיהם לשלום הציבור ולביטחונו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לכל האמור יש להוסיף עוד </w:t>
      </w:r>
      <w:r>
        <w:rPr>
          <w:rtl w:val="true"/>
        </w:rPr>
        <w:t xml:space="preserve">כי בית המשפט המחוזי אף חרג בעניינם של שני המשיבים ממדיניות הענישה הנוהגת </w:t>
      </w:r>
      <w:r>
        <w:rPr>
          <w:rtl w:val="true"/>
        </w:rPr>
        <w:t>(</w:t>
      </w:r>
      <w:r>
        <w:rPr>
          <w:rtl w:val="true"/>
        </w:rPr>
        <w:t>ראו והשוו למשל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1846/13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עמאש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1.12.2013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רחמים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18.11.2014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הנזכרות 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22.12.2016</w:t>
      </w:r>
      <w:r>
        <w:rPr>
          <w:sz w:val="28"/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מיהרט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17.3.2020</w:t>
      </w:r>
      <w:r>
        <w:rPr>
          <w:rtl w:val="true"/>
        </w:rPr>
        <w:t>))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הצורך בהחמרת הענישה בולט גם על רקע הפער בין העונשים שנגזרו על לואי ואזהר לבין העונש שנגזר על יבגני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בלי להביע עמדה בגורל הערעור של יבגני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אשר לנסיבות שאינן קשורות בביצוע העבירה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קיים שוני משמעותי בין </w:t>
      </w:r>
      <w:r>
        <w:rPr>
          <w:rFonts w:ascii="Century" w:hAnsi="Century" w:cs="Century"/>
          <w:sz w:val="22"/>
          <w:sz w:val="22"/>
          <w:rtl w:val="true"/>
        </w:rPr>
        <w:t>לואי ובין אזהר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עברו הפלילי של אזהר מכביד למדי ולחובתו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הרשעות קודמות בעבירות של 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רכוש ואיומים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בעוד שעברו הפלילי של לואי כולל הרשעה אחת משנת </w:t>
      </w:r>
      <w:r>
        <w:rPr>
          <w:rFonts w:cs="Century" w:ascii="Century" w:hAnsi="Century"/>
          <w:sz w:val="22"/>
        </w:rPr>
        <w:t>2015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בעבירה של איומים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השוני ב</w:t>
      </w:r>
      <w:r>
        <w:rPr>
          <w:rFonts w:ascii="Century" w:hAnsi="Century" w:cs="Century"/>
          <w:sz w:val="22"/>
          <w:sz w:val="22"/>
          <w:rtl w:val="true"/>
        </w:rPr>
        <w:t xml:space="preserve">היבט זה מצדיק הבחנה בין לואי ובין אזהר בכל הנוגע לגזירת עונשם בתוך המתחם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8045/17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16.8.2018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2978/18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16.9.2018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rtl w:val="true"/>
        </w:rPr>
        <w:t xml:space="preserve">אני סבורה כאמור כי </w:t>
      </w:r>
      <w:r>
        <w:rPr>
          <w:rFonts w:ascii="FrankRuehl" w:hAnsi="FrankRuehl" w:cs="FrankRuehl"/>
          <w:sz w:val="28"/>
          <w:sz w:val="28"/>
          <w:rtl w:val="true"/>
        </w:rPr>
        <w:t>במקרה שלפנינו מתקיימות הנסיבות החריגות המצדיקות את התערבותנו בגזר</w:t>
      </w:r>
      <w:r>
        <w:rPr>
          <w:rFonts w:ascii="FrankRuehl" w:hAnsi="FrankRuehl" w:cs="FrankRuehl"/>
          <w:sz w:val="28"/>
          <w:sz w:val="28"/>
          <w:rtl w:val="true"/>
        </w:rPr>
        <w:t>י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דינו של בית המשפט המחוזי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באיזון בין השיקולים</w:t>
      </w:r>
      <w:r>
        <w:rPr>
          <w:rtl w:val="true"/>
        </w:rPr>
        <w:t xml:space="preserve"> ובהינתן ש</w:t>
      </w:r>
      <w:r>
        <w:rPr>
          <w:rFonts w:ascii="FrankRuehl" w:hAnsi="FrankRuehl" w:cs="FrankRuehl"/>
          <w:sz w:val="28"/>
          <w:sz w:val="28"/>
          <w:rtl w:val="true"/>
        </w:rPr>
        <w:t>ערכאת הערעור אינה נוהגת למצות את מלוא חומרת הדין עם נאשמים שעונשם מוחמר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אציע לחבריי </w:t>
      </w:r>
      <w:r>
        <w:rPr>
          <w:rFonts w:ascii="FrankRuehl" w:hAnsi="FrankRuehl" w:cs="FrankRuehl"/>
          <w:sz w:val="28"/>
          <w:sz w:val="28"/>
          <w:rtl w:val="true"/>
        </w:rPr>
        <w:t>לקבל את הערעור</w:t>
      </w:r>
      <w:r>
        <w:rPr>
          <w:rFonts w:ascii="FrankRuehl" w:hAnsi="FrankRuehl" w:cs="FrankRuehl"/>
          <w:sz w:val="28"/>
          <w:sz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rtl w:val="true"/>
        </w:rPr>
        <w:t xml:space="preserve"> ולהעמיד את עונשו של </w:t>
      </w:r>
      <w:r>
        <w:rPr>
          <w:rFonts w:ascii="FrankRuehl" w:hAnsi="FrankRuehl" w:cs="FrankRuehl"/>
          <w:sz w:val="28"/>
          <w:sz w:val="28"/>
          <w:rtl w:val="true"/>
        </w:rPr>
        <w:t xml:space="preserve">לואי על </w:t>
      </w:r>
      <w:r>
        <w:rPr>
          <w:rFonts w:cs="FrankRuehl" w:ascii="FrankRuehl" w:hAnsi="FrankRuehl"/>
          <w:sz w:val="28"/>
        </w:rPr>
        <w:t>18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 מאסר בפועל</w:t>
      </w:r>
      <w:r>
        <w:rPr>
          <w:rFonts w:ascii="FrankRuehl" w:hAnsi="FrankRuehl" w:cs="FrankRuehl"/>
          <w:sz w:val="28"/>
          <w:sz w:val="28"/>
          <w:rtl w:val="true"/>
        </w:rPr>
        <w:t xml:space="preserve"> ואת עונשו של אזהר על </w:t>
      </w:r>
      <w:r>
        <w:rPr>
          <w:rFonts w:cs="FrankRuehl" w:ascii="FrankRuehl" w:hAnsi="FrankRuehl"/>
          <w:sz w:val="28"/>
        </w:rPr>
        <w:t>21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וכן הפעלת המאסר המותנה שנגזר עליו בהליך הקודם </w:t>
      </w:r>
      <w:r>
        <w:rPr>
          <w:rFonts w:cs="FrankRuehl" w:ascii="FrankRuehl" w:hAnsi="FrankRuehl"/>
          <w:sz w:val="28"/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39205-06-17</w:t>
        </w:r>
      </w:hyperlink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 xml:space="preserve">באופן שנקבע בבית המשפט המחוזי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tl w:val="true"/>
        </w:rPr>
        <w:t xml:space="preserve">מחציתו תהא חופפת לעונש של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 ומחציתו האחרת תרוצה במצטבר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rtl w:val="true"/>
        </w:rPr>
        <w:t xml:space="preserve">כך שבסך הכל ירצה </w:t>
      </w:r>
      <w:r>
        <w:rPr>
          <w:rFonts w:cs="FrankRuehl" w:ascii="FrankRuehl" w:hAnsi="FrankRuehl"/>
          <w:sz w:val="28"/>
        </w:rPr>
        <w:t>24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שאר רכיבי גזר</w:t>
      </w:r>
      <w:r>
        <w:rPr>
          <w:rFonts w:ascii="FrankRuehl" w:hAnsi="FrankRuehl" w:cs="FrankRuehl"/>
          <w:sz w:val="28"/>
          <w:sz w:val="28"/>
          <w:rtl w:val="true"/>
        </w:rPr>
        <w:t>י</w:t>
      </w:r>
      <w:r>
        <w:rPr>
          <w:rFonts w:ascii="FrankRuehl" w:hAnsi="FrankRuehl" w:cs="FrankRuehl"/>
          <w:sz w:val="28"/>
          <w:sz w:val="28"/>
          <w:rtl w:val="true"/>
        </w:rPr>
        <w:t xml:space="preserve"> הדין יעמדו בעינם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14.3.2022</w:t>
      </w:r>
      <w:r>
        <w:rPr>
          <w:rtl w:val="true"/>
        </w:rPr>
        <w:t xml:space="preserve">). </w:t>
      </w:r>
      <w:bookmarkEnd w:id="20"/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22005590</w:t>
      </w:r>
      <w:r>
        <w:rPr>
          <w:sz w:val="16"/>
          <w:rtl w:val="true"/>
        </w:rPr>
        <w:t>_</w:t>
      </w:r>
      <w:r>
        <w:rPr>
          <w:sz w:val="16"/>
        </w:rPr>
        <w:t>R03.docx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54678313-559/22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לואי 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0" TargetMode="External"/><Relationship Id="rId7" Type="http://schemas.openxmlformats.org/officeDocument/2006/relationships/hyperlink" Target="http://www.nevo.co.il/law/70301/34d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case/28266102" TargetMode="External"/><Relationship Id="rId11" Type="http://schemas.openxmlformats.org/officeDocument/2006/relationships/hyperlink" Target="http://www.nevo.co.il/case/28284175" TargetMode="External"/><Relationship Id="rId12" Type="http://schemas.openxmlformats.org/officeDocument/2006/relationships/hyperlink" Target="http://www.nevo.co.il/case/28401217" TargetMode="External"/><Relationship Id="rId13" Type="http://schemas.openxmlformats.org/officeDocument/2006/relationships/hyperlink" Target="http://www.nevo.co.il/case/28001097" TargetMode="External"/><Relationship Id="rId14" Type="http://schemas.openxmlformats.org/officeDocument/2006/relationships/hyperlink" Target="http://www.nevo.co.il/case/28284174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70301/30" TargetMode="External"/><Relationship Id="rId17" Type="http://schemas.openxmlformats.org/officeDocument/2006/relationships/hyperlink" Target="http://www.nevo.co.il/law/70301/34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34d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734980" TargetMode="External"/><Relationship Id="rId24" Type="http://schemas.openxmlformats.org/officeDocument/2006/relationships/hyperlink" Target="http://www.nevo.co.il/case/28229994" TargetMode="External"/><Relationship Id="rId25" Type="http://schemas.openxmlformats.org/officeDocument/2006/relationships/hyperlink" Target="http://www.nevo.co.il/case/28266103" TargetMode="External"/><Relationship Id="rId26" Type="http://schemas.openxmlformats.org/officeDocument/2006/relationships/hyperlink" Target="http://www.nevo.co.il/law/70301/44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587202" TargetMode="External"/><Relationship Id="rId29" Type="http://schemas.openxmlformats.org/officeDocument/2006/relationships/hyperlink" Target="http://www.nevo.co.il/case/21473275" TargetMode="External"/><Relationship Id="rId30" Type="http://schemas.openxmlformats.org/officeDocument/2006/relationships/hyperlink" Target="http://www.nevo.co.il/case/22401476" TargetMode="External"/><Relationship Id="rId31" Type="http://schemas.openxmlformats.org/officeDocument/2006/relationships/hyperlink" Target="http://www.nevo.co.il/case/20662395" TargetMode="External"/><Relationship Id="rId32" Type="http://schemas.openxmlformats.org/officeDocument/2006/relationships/hyperlink" Target="http://www.nevo.co.il/case/21478675" TargetMode="External"/><Relationship Id="rId33" Type="http://schemas.openxmlformats.org/officeDocument/2006/relationships/hyperlink" Target="http://www.nevo.co.il/case/6049283" TargetMode="External"/><Relationship Id="rId34" Type="http://schemas.openxmlformats.org/officeDocument/2006/relationships/hyperlink" Target="http://www.nevo.co.il/safrut/bookgroup/412" TargetMode="External"/><Relationship Id="rId35" Type="http://schemas.openxmlformats.org/officeDocument/2006/relationships/hyperlink" Target="http://www.nevo.co.il/safrut/bookgroup/2258" TargetMode="External"/><Relationship Id="rId36" Type="http://schemas.openxmlformats.org/officeDocument/2006/relationships/hyperlink" Target="http://www.nevo.co.il/case/5777709" TargetMode="External"/><Relationship Id="rId37" Type="http://schemas.openxmlformats.org/officeDocument/2006/relationships/hyperlink" Target="http://www.nevo.co.il/law/70301/34d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6130237" TargetMode="External"/><Relationship Id="rId40" Type="http://schemas.openxmlformats.org/officeDocument/2006/relationships/hyperlink" Target="http://www.nevo.co.il/case/16917367" TargetMode="External"/><Relationship Id="rId41" Type="http://schemas.openxmlformats.org/officeDocument/2006/relationships/hyperlink" Target="http://www.nevo.co.il/case/5760076" TargetMode="External"/><Relationship Id="rId42" Type="http://schemas.openxmlformats.org/officeDocument/2006/relationships/hyperlink" Target="http://www.nevo.co.il/case/6731208" TargetMode="External"/><Relationship Id="rId43" Type="http://schemas.openxmlformats.org/officeDocument/2006/relationships/hyperlink" Target="http://www.nevo.co.il/case/11309013" TargetMode="External"/><Relationship Id="rId44" Type="http://schemas.openxmlformats.org/officeDocument/2006/relationships/hyperlink" Target="http://www.nevo.co.il/case/22232081" TargetMode="External"/><Relationship Id="rId45" Type="http://schemas.openxmlformats.org/officeDocument/2006/relationships/hyperlink" Target="http://www.nevo.co.il/case/26280650" TargetMode="External"/><Relationship Id="rId46" Type="http://schemas.openxmlformats.org/officeDocument/2006/relationships/hyperlink" Target="http://www.nevo.co.il/case/23750625" TargetMode="External"/><Relationship Id="rId47" Type="http://schemas.openxmlformats.org/officeDocument/2006/relationships/hyperlink" Target="http://www.nevo.co.il/case/24140350" TargetMode="External"/><Relationship Id="rId48" Type="http://schemas.openxmlformats.org/officeDocument/2006/relationships/hyperlink" Target="http://www.nevo.co.il/case/22744078" TargetMode="External"/><Relationship Id="rId49" Type="http://schemas.openxmlformats.org/officeDocument/2006/relationships/hyperlink" Target="https://supreme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2022-03-15T11:17:00Z</dcterms:created>
  <dc:creator>h4</dc:creator>
  <dc:description/>
  <cp:keywords/>
  <dc:language>en-IL</dc:language>
  <cp:lastModifiedBy>orly</cp:lastModifiedBy>
  <cp:lastPrinted>2022-03-14T13:17:00Z</cp:lastPrinted>
  <dcterms:modified xsi:type="dcterms:W3CDTF">2022-03-15T11:17:00Z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לואי יחיא;אזהר שוק</vt:lpwstr>
  </property>
  <property fmtid="{D5CDD505-2E9C-101B-9397-08002B2CF9AE}" pid="4" name="BOOKGROUPTMP1">
    <vt:lpwstr>412</vt:lpwstr>
  </property>
  <property fmtid="{D5CDD505-2E9C-101B-9397-08002B2CF9AE}" pid="5" name="CASESLISTTMP1">
    <vt:lpwstr>28401217;28001097;28284174;27734980;28229994;28266103;5587202;21473275;22401476;20662395;21478675;6049283;5777709;6130237;16917367;5760076;6731208;11309013;22232081;26280650;23750625;24140350;22744078</vt:lpwstr>
  </property>
  <property fmtid="{D5CDD505-2E9C-101B-9397-08002B2CF9AE}" pid="6" name="DATE">
    <vt:lpwstr>20220314</vt:lpwstr>
  </property>
  <property fmtid="{D5CDD505-2E9C-101B-9397-08002B2CF9AE}" pid="7" name="ISABSTRACT">
    <vt:lpwstr>Y</vt:lpwstr>
  </property>
  <property fmtid="{D5CDD505-2E9C-101B-9397-08002B2CF9AE}" pid="8" name="JUDGE">
    <vt:lpwstr>י' אלרון;י' וילנר;ע' גרוסקופף</vt:lpwstr>
  </property>
  <property fmtid="{D5CDD505-2E9C-101B-9397-08002B2CF9AE}" pid="9" name="LAWLISTTMP1">
    <vt:lpwstr>70301/448.a:2;030;034d:3;029;448</vt:lpwstr>
  </property>
  <property fmtid="{D5CDD505-2E9C-101B-9397-08002B2CF9AE}" pid="10" name="LAWYER">
    <vt:lpwstr>פאדי שרקאוי;פארס בריק;הדר פרנקל</vt:lpwstr>
  </property>
  <property fmtid="{D5CDD505-2E9C-101B-9397-08002B2CF9AE}" pid="11" name="METAKZER">
    <vt:lpwstr>נעה</vt:lpwstr>
  </property>
  <property fmtid="{D5CDD505-2E9C-101B-9397-08002B2CF9AE}" pid="12" name="NOBOOKNEVO">
    <vt:lpwstr>2258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עונשין</vt:lpwstr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77;77;77;77;77</vt:lpwstr>
  </property>
  <property fmtid="{D5CDD505-2E9C-101B-9397-08002B2CF9AE}" pid="24" name="NOSE21">
    <vt:lpwstr>עבירות</vt:lpwstr>
  </property>
  <property fmtid="{D5CDD505-2E9C-101B-9397-08002B2CF9AE}" pid="25" name="NOSE210">
    <vt:lpwstr/>
  </property>
  <property fmtid="{D5CDD505-2E9C-101B-9397-08002B2CF9AE}" pid="26" name="NOSE22">
    <vt:lpwstr>עבירות</vt:lpwstr>
  </property>
  <property fmtid="{D5CDD505-2E9C-101B-9397-08002B2CF9AE}" pid="27" name="NOSE23">
    <vt:lpwstr>שותפים לעבירה</vt:lpwstr>
  </property>
  <property fmtid="{D5CDD505-2E9C-101B-9397-08002B2CF9AE}" pid="28" name="NOSE24">
    <vt:lpwstr>ענישה</vt:lpwstr>
  </property>
  <property fmtid="{D5CDD505-2E9C-101B-9397-08002B2CF9AE}" pid="29" name="NOSE25">
    <vt:lpwstr>ענישה</vt:lpwstr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1443;1443;1451;1446;1446</vt:lpwstr>
  </property>
  <property fmtid="{D5CDD505-2E9C-101B-9397-08002B2CF9AE}" pid="35" name="NOSE31">
    <vt:lpwstr>הצתה</vt:lpwstr>
  </property>
  <property fmtid="{D5CDD505-2E9C-101B-9397-08002B2CF9AE}" pid="36" name="NOSE310">
    <vt:lpwstr/>
  </property>
  <property fmtid="{D5CDD505-2E9C-101B-9397-08002B2CF9AE}" pid="37" name="NOSE32">
    <vt:lpwstr>שידול</vt:lpwstr>
  </property>
  <property fmtid="{D5CDD505-2E9C-101B-9397-08002B2CF9AE}" pid="38" name="NOSE33">
    <vt:lpwstr>משדל</vt:lpwstr>
  </property>
  <property fmtid="{D5CDD505-2E9C-101B-9397-08002B2CF9AE}" pid="39" name="NOSE34">
    <vt:lpwstr>התערבות ערכאת הערעור</vt:lpwstr>
  </property>
  <property fmtid="{D5CDD505-2E9C-101B-9397-08002B2CF9AE}" pid="40" name="NOSE35">
    <vt:lpwstr>מדיניות ענישה: שיקולים</vt:lpwstr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8815;8933;9037;8978;8994</vt:lpwstr>
  </property>
  <property fmtid="{D5CDD505-2E9C-101B-9397-08002B2CF9AE}" pid="46" name="PADIDATE">
    <vt:lpwstr>20220315</vt:lpwstr>
  </property>
  <property fmtid="{D5CDD505-2E9C-101B-9397-08002B2CF9AE}" pid="47" name="PADIMAIL">
    <vt:lpwstr>YES</vt:lpwstr>
  </property>
  <property fmtid="{D5CDD505-2E9C-101B-9397-08002B2CF9AE}" pid="48" name="PROCESS">
    <vt:lpwstr>עפ;עפ</vt:lpwstr>
  </property>
  <property fmtid="{D5CDD505-2E9C-101B-9397-08002B2CF9AE}" pid="49" name="PROCNUM">
    <vt:lpwstr>559;787</vt:lpwstr>
  </property>
  <property fmtid="{D5CDD505-2E9C-101B-9397-08002B2CF9AE}" pid="50" name="PROCYEAR">
    <vt:lpwstr>22;22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410120220314</vt:lpwstr>
  </property>
  <property fmtid="{D5CDD505-2E9C-101B-9397-08002B2CF9AE}" pid="54" name="TYPE_N_DATE">
    <vt:lpwstr>41020220314</vt:lpwstr>
  </property>
  <property fmtid="{D5CDD505-2E9C-101B-9397-08002B2CF9AE}" pid="55" name="WORDNUMPAGES">
    <vt:lpwstr>13</vt:lpwstr>
  </property>
</Properties>
</file>