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5617/19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5668/19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5617/19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5668/19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5617/19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cs="David" w:ascii="David" w:hAnsi="David"/>
              </w:rPr>
              <w:t>5668/19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20163-07-17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27.06.2019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אליקים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נאות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פרי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30.12.2020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5617/19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5668/19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חלאוה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5617/19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cs="David" w:ascii="David" w:hAnsi="David"/>
              </w:rPr>
              <w:t>5668/19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שלומציון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גבאי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מנדלמן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1,3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איזנברג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27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214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350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355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2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3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למניעת הטרדה מינית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5">
        <w:r>
          <w:rPr>
            <w:rStyle w:val="Hyperlink"/>
            <w:rFonts w:cs="FrankRuehl" w:ascii="FrankRuehl" w:hAnsi="FrankRuehl"/>
            <w:sz w:val="24"/>
            <w:u w:val="none"/>
          </w:rPr>
          <w:t>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6">
        <w:r>
          <w:rPr>
            <w:rStyle w:val="Hyperlink"/>
            <w:rFonts w:cs="FrankRuehl" w:ascii="FrankRuehl" w:hAnsi="FrankRuehl"/>
            <w:sz w:val="24"/>
            <w:u w:val="none"/>
          </w:rPr>
          <w:t>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6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הגנת הפרטיות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8"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9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פסק כי העונש שהשית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על המערער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5668/19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פגע באופן קשה בנכדתו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אחייניתו ובתו באופן שגרם להן חבלות בגוף ובנפש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הולם את חומרת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ולפיכך זהו מקרה חריג המחייב את התערבותו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פסק כי עונש המאסר בפועל ייגזר באופן כולל לכל האישומים והעמידו על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חֶלֶף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העלה את סכומי הפיצויים שנפסקו לזכות המתלוננות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מתחם הענישה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ערעור – התערבות בעונש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5668/19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נכדתו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אחייניתו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ומגוונות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5617/19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המשנה לנשיאה הנדל והשופטת ברק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5617/19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5668/19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השופט אלרון עמד על שתי גישות מנוגדות העולות מסעיף </w:t>
      </w:r>
      <w:r>
        <w:rPr>
          <w:rFonts w:cs="Times New Roman" w:ascii="Times New Roman" w:hAnsi="Times New Roman"/>
          <w:spacing w:val="0"/>
          <w:sz w:val="24"/>
          <w:szCs w:val="26"/>
        </w:rPr>
        <w:t>355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האחת קובעת את העונש המזערי במשותף לכל העבירות וללא תלות במספרן – 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עבירת המין החמורה ביותר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הגישה החופפת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השנייה לכל מעשה עבירה בנפרד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היינו לפי עונשיהם המזעריים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הגישה המצטברת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אלרון הרחיב בסוגיה שעניינה קביעת הרף התחתון של מתחם הענישה בשים לב לגישה 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מצטברת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מיוחסות לנאשם מספר עבירות שנקבעו להן עונשי מינימום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ובסוגיה שעניינה הזיקה בין העונש המרבי הקבוע לצד העבירה לבין הרף העליון של מתחם הענישה ופסק כי יש להעלות את הגבול העליון של מתחמי הענישה שנקבע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 היה לגזור את עונשו של המערער מעל לרף האמצע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בכל האישומים ובשלושת העיקריים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הנכדה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האחיינית והבת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 המתחמים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עד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לאישום הראשון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הנכדה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 w:val="24"/>
          <w:szCs w:val="26"/>
        </w:rPr>
        <w:t>11-7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cs="Times New Roman" w:ascii="Times New Roman" w:hAnsi="Times New Roman"/>
          <w:spacing w:val="0"/>
          <w:sz w:val="24"/>
          <w:szCs w:val="26"/>
        </w:rPr>
        <w:t>7.5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עד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לאישום השני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האחיינית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 w:val="24"/>
          <w:szCs w:val="26"/>
        </w:rPr>
        <w:t>5-2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ושנה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חודשים עד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שנים לאישום השלישי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 w:val="24"/>
          <w:szCs w:val="26"/>
        </w:rPr>
        <w:t>10-6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שראוי היה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 הפחות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לגזור בנפרד את עונש המאסר בפועל לאישום הרביעי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החזקת פורנוגרפיית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ולהורות כי ירוצה במצטבר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שבשל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מיצוי הדין עם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המאסר בפועל ייגזר באופן כולל לארבעת האישומים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וייקבע על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הפיצוי לטובת הנכדה הועלה לסך של </w:t>
      </w:r>
      <w:r>
        <w:rPr>
          <w:rFonts w:cs="Times New Roman" w:ascii="Times New Roman" w:hAnsi="Times New Roman"/>
          <w:spacing w:val="0"/>
          <w:sz w:val="24"/>
          <w:szCs w:val="26"/>
        </w:rPr>
        <w:t>120,000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 w:val="24"/>
          <w:szCs w:val="26"/>
        </w:rPr>
        <w:t>70,000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לטובת האחיינית הועלה לסך של </w:t>
      </w:r>
      <w:r>
        <w:rPr>
          <w:rFonts w:cs="Times New Roman" w:ascii="Times New Roman" w:hAnsi="Times New Roman"/>
          <w:spacing w:val="0"/>
          <w:sz w:val="24"/>
          <w:szCs w:val="26"/>
        </w:rPr>
        <w:t>70,000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 w:val="24"/>
          <w:szCs w:val="26"/>
        </w:rPr>
        <w:t>35,000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ולטובת הבת הועלה לסך של </w:t>
      </w:r>
      <w:r>
        <w:rPr>
          <w:rFonts w:cs="Times New Roman" w:ascii="Times New Roman" w:hAnsi="Times New Roman"/>
          <w:spacing w:val="0"/>
          <w:sz w:val="24"/>
          <w:szCs w:val="26"/>
        </w:rPr>
        <w:t>40,000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 w:val="24"/>
          <w:szCs w:val="26"/>
        </w:rPr>
        <w:t>10,000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 הסכימה עם השופט אלרון כי היה מקום להחמיר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המין אשר בהן הוא הורשע – שאותן ביצע בנכדתו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באחייניתו ובבתו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בעשרות מקרים שנמשכו על פני שלושה עשורים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הנסיבות החמורות האופפות אותן והימנעותו מנטילת אחריות למעשיו – מחייבות תגובה עונשית הולמת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חמורה יותר מזו שקבע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לקבל את ערעור המדינה הן ביחס למשך תקופת המאסר בפועל שתושת על המערער והן ביחס להעלאת סכום הפיצויים שעליו לשלם למתלוננות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שהציע השופט אלרון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משלא נשמעו טיעונים עקרוניים בסוגיות הנוגעות למתחמי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אך טיעונים שהתמקדו ביישומן של ההלכות הפסוקות על המקרה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 נמנעה מלדון בסוגיות שבהן דן השופט אלרון שעניינן קביעת הרף התחתון של מתחם הענישה בשים לב לגישה 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מצטברת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והזיקה בין העונש המרבי הקבוע לצד העבירה לבין הרף העליון של מתחם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בהיותן מעוררות שאלות פרשניות שלהן השלכות רוחב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למעלה מן הצורך ציינה השופטת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ארז באשר לגישה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המצטברת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לקביעת הרף התחתון של העונש כי השופט אלרון נדרש בעניין זה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העונשים המזעריים שנקבעו בצד העבירות שנכללו בכל אירוע ואירוע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ולו כצבירה חלקית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 נמנעה מטרמינולוגיה של צבירה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והסתפקה בכלל המובן מאליו שמספר העבירות המיוחסות לנאשם בגדרו של כל אישום אמור להשפיע על קביעתו של מתחם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המתחם התחתון והן המתחם העליון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וממילא גם על מידת העונש שיושת בסופו של דבר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לזיקה בין הרף העליון של מתחם הענישה לעונש המרבי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ארז ציינה כי בהקשר זה השופט אלרון התייחס לאימוצו של עונש המקסימום שנקבע בצד העבירה כרף העליון של מתחם הענישה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 החמורים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העמיד את הרף העליון של מתחם הענישה בעניינו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למצער באישומים הראשון והשני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עונש המקסימום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ברק ארז ציינה כי אין מקום להכריע האם במקרה זה אכן ראוי להעמיד את תקרת מתחם העונש על העונש המרבי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 לקבוע כי הגבול העליון של מתחם הענישה במקרה זה לא היה חמור דיו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מבלי להידרש לזיהויו עם עונש המקסימום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ומבלי לחלוק על כך שיהיו מקרים שבהם עונש המקסימום יסמן את המתחם העליון של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העיקר הוא בכך שבמבט כולל העונש שהשית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במקרה זה על מי שפגע באופן קשה בשלוש מבנות משפחתו באופן שגרם להן חבלות בגוף ובנפש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הולם את חומרת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המשנה לנשיאה הנדל הצטרף לתוצאת פסק דינו של השופט אלרון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פרט לדברים העקרוניים בסוגיות שעניינן מתחמי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מאחר שהשופטת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 נמנעה מלהציג את עמדתה באופן מלא בנימוק שהצדדים לא קיבלו הזדמנות לטעון ביחס להיבטים הכלליים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שיש להותיר את הדיון בסוגיות הכלליות לעת מצוא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ולאחר שהצדדים קיבלו הזדמנות לטעון בעניין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לפנינו ערעורים על גזר</w:t>
      </w:r>
      <w:r>
        <w:rPr>
          <w:rtl w:val="true"/>
        </w:rPr>
        <w:t>-</w:t>
      </w:r>
      <w:r>
        <w:rPr>
          <w:rtl w:val="true"/>
        </w:rPr>
        <w:t xml:space="preserve">דינו של בית המשפט המחוזי בחיפה </w:t>
      </w:r>
      <w:r>
        <w:rPr>
          <w:rtl w:val="true"/>
        </w:rPr>
        <w:t>(</w:t>
      </w:r>
      <w:r>
        <w:rPr>
          <w:rtl w:val="true"/>
        </w:rPr>
        <w:t xml:space="preserve">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אליקים</w:t>
      </w:r>
      <w:r>
        <w:rPr>
          <w:rtl w:val="true"/>
        </w:rPr>
        <w:t xml:space="preserve"> והשופטות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3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20163-07-17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27.6.2019</w:t>
      </w:r>
      <w:r>
        <w:rPr>
          <w:rtl w:val="true"/>
        </w:rPr>
        <w:t xml:space="preserve">, </w:t>
      </w:r>
      <w:r>
        <w:rPr>
          <w:rtl w:val="true"/>
        </w:rPr>
        <w:t>בגדרו הושת על המשיב 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5617/19</w:t>
      </w:r>
      <w:r>
        <w:rPr>
          <w:rtl w:val="true"/>
        </w:rPr>
        <w:t xml:space="preserve"> </w:t>
      </w:r>
      <w:r>
        <w:rPr>
          <w:rtl w:val="true"/>
        </w:rPr>
        <w:t>ועל המערער 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5668/19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 xml:space="preserve">עונש של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לצד מאסרים מותנים ותשלום פיצויים למתלוננות </w:t>
      </w:r>
      <w:r>
        <w:rPr>
          <w:rtl w:val="true"/>
        </w:rPr>
        <w:t>–</w:t>
      </w:r>
      <w:r>
        <w:rPr>
          <w:rtl w:val="true"/>
        </w:rPr>
        <w:t xml:space="preserve"> נכדתו</w:t>
      </w:r>
      <w:r>
        <w:rPr>
          <w:rtl w:val="true"/>
        </w:rPr>
        <w:t xml:space="preserve">, </w:t>
      </w:r>
      <w:r>
        <w:rPr>
          <w:rtl w:val="true"/>
        </w:rPr>
        <w:t>אחייניתו</w:t>
      </w:r>
      <w:r>
        <w:rPr>
          <w:rtl w:val="true"/>
        </w:rPr>
        <w:t xml:space="preserve">, </w:t>
      </w:r>
      <w:r>
        <w:rPr>
          <w:rtl w:val="true"/>
        </w:rPr>
        <w:t xml:space="preserve">ובתו </w:t>
      </w:r>
      <w:r>
        <w:rPr>
          <w:rtl w:val="true"/>
        </w:rPr>
        <w:t>–</w:t>
      </w:r>
      <w:r>
        <w:rPr>
          <w:rtl w:val="true"/>
        </w:rPr>
        <w:t xml:space="preserve"> בהן ביצע עבירות מין קשות</w:t>
      </w:r>
      <w:r>
        <w:rPr>
          <w:rtl w:val="true"/>
        </w:rPr>
        <w:t xml:space="preserve">,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ומגוונות</w:t>
      </w:r>
      <w:r>
        <w:rPr>
          <w:rtl w:val="true"/>
        </w:rPr>
        <w:t xml:space="preserve">, </w:t>
      </w:r>
      <w:r>
        <w:rPr>
          <w:rtl w:val="true"/>
        </w:rPr>
        <w:t>בהיותן קטינות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וגזר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בשנים </w:t>
      </w:r>
      <w:r>
        <w:rPr/>
        <w:t>2017-2014</w:t>
      </w:r>
      <w:r>
        <w:rPr>
          <w:rtl w:val="true"/>
        </w:rPr>
        <w:t xml:space="preserve"> </w:t>
      </w:r>
      <w:r>
        <w:rPr>
          <w:rtl w:val="true"/>
        </w:rPr>
        <w:t xml:space="preserve">המערער ביצע עבירות מין בנכדתו </w:t>
      </w:r>
      <w:r>
        <w:rPr>
          <w:rtl w:val="true"/>
        </w:rPr>
        <w:t>(</w:t>
      </w:r>
      <w:r>
        <w:rPr>
          <w:rtl w:val="true"/>
        </w:rPr>
        <w:t xml:space="preserve">ילידת </w:t>
      </w:r>
      <w:r>
        <w:rPr/>
        <w:t>2011</w:t>
      </w:r>
      <w:r>
        <w:rPr>
          <w:rtl w:val="true"/>
        </w:rPr>
        <w:t xml:space="preserve">), </w:t>
      </w:r>
      <w:r>
        <w:rPr>
          <w:rtl w:val="true"/>
        </w:rPr>
        <w:t xml:space="preserve">בהזדמנויות רבות בהן שהו לבד בביתו </w:t>
      </w:r>
      <w:r>
        <w:rPr>
          <w:rtl w:val="true"/>
        </w:rPr>
        <w:t>–</w:t>
      </w:r>
      <w:r>
        <w:rPr>
          <w:rtl w:val="true"/>
        </w:rPr>
        <w:t xml:space="preserve"> בין השאר</w:t>
      </w:r>
      <w:r>
        <w:rPr>
          <w:rtl w:val="true"/>
        </w:rPr>
        <w:t xml:space="preserve">, </w:t>
      </w:r>
      <w:r>
        <w:rPr>
          <w:rtl w:val="true"/>
        </w:rPr>
        <w:t>בשלושת ימות השבוע בהם היה אחראי לאסוף אותה מגן הילדים ולהשגיח עליה עד לשעות אחר</w:t>
      </w:r>
      <w:r>
        <w:rPr>
          <w:rtl w:val="true"/>
        </w:rPr>
        <w:t>-</w:t>
      </w:r>
      <w:r>
        <w:rPr>
          <w:rtl w:val="true"/>
        </w:rPr>
        <w:t>הצהריים</w:t>
      </w:r>
      <w:r>
        <w:rPr>
          <w:rtl w:val="true"/>
        </w:rPr>
        <w:t xml:space="preserve">. </w:t>
      </w:r>
      <w:r>
        <w:rPr>
          <w:rtl w:val="true"/>
        </w:rPr>
        <w:t>בהזדמנויות אלה</w:t>
      </w:r>
      <w:r>
        <w:rPr>
          <w:rtl w:val="true"/>
        </w:rPr>
        <w:t xml:space="preserve">, </w:t>
      </w:r>
      <w:r>
        <w:rPr>
          <w:rtl w:val="true"/>
        </w:rPr>
        <w:t>נהג המערער ללקק את איבר מינה של נכדתו</w:t>
      </w:r>
      <w:r>
        <w:rPr>
          <w:rtl w:val="true"/>
        </w:rPr>
        <w:t xml:space="preserve">, </w:t>
      </w:r>
      <w:r>
        <w:rPr>
          <w:rtl w:val="true"/>
        </w:rPr>
        <w:t>להחדיר את איבר מינו לפיה</w:t>
      </w:r>
      <w:r>
        <w:rPr>
          <w:rtl w:val="true"/>
        </w:rPr>
        <w:t xml:space="preserve">, </w:t>
      </w:r>
      <w:r>
        <w:rPr>
          <w:rtl w:val="true"/>
        </w:rPr>
        <w:t>להורות לה ללקק את איבר מינו</w:t>
      </w:r>
      <w:r>
        <w:rPr>
          <w:rtl w:val="true"/>
        </w:rPr>
        <w:t xml:space="preserve">, </w:t>
      </w:r>
      <w:r>
        <w:rPr>
          <w:rtl w:val="true"/>
        </w:rPr>
        <w:t xml:space="preserve">ולהציג לה סרטונים פורנוגרפיים </w:t>
      </w:r>
      <w:r>
        <w:rPr>
          <w:rtl w:val="true"/>
        </w:rPr>
        <w:t>–</w:t>
      </w:r>
      <w:r>
        <w:rPr>
          <w:rtl w:val="true"/>
        </w:rPr>
        <w:t xml:space="preserve"> והכל לשם גירוי</w:t>
      </w:r>
      <w:r>
        <w:rPr>
          <w:rtl w:val="true"/>
        </w:rPr>
        <w:t xml:space="preserve">, </w:t>
      </w:r>
      <w:r>
        <w:rPr>
          <w:rtl w:val="true"/>
        </w:rPr>
        <w:t xml:space="preserve">סיפוק או ביזוי מיניים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בשנים </w:t>
      </w:r>
      <w:r>
        <w:rPr/>
        <w:t>2016-2007</w:t>
      </w:r>
      <w:r>
        <w:rPr>
          <w:rtl w:val="true"/>
        </w:rPr>
        <w:t xml:space="preserve"> </w:t>
      </w:r>
      <w:r>
        <w:rPr>
          <w:rtl w:val="true"/>
        </w:rPr>
        <w:t xml:space="preserve">ביצע המערער עבירות מין באחייניתו </w:t>
      </w:r>
      <w:r>
        <w:rPr>
          <w:rtl w:val="true"/>
        </w:rPr>
        <w:t>(</w:t>
      </w:r>
      <w:r>
        <w:rPr>
          <w:rtl w:val="true"/>
        </w:rPr>
        <w:t xml:space="preserve">ילידת </w:t>
      </w:r>
      <w:r>
        <w:rPr/>
        <w:t>2003</w:t>
      </w:r>
      <w:r>
        <w:rPr>
          <w:rtl w:val="true"/>
        </w:rPr>
        <w:t xml:space="preserve">), </w:t>
      </w:r>
      <w:r>
        <w:rPr>
          <w:rtl w:val="true"/>
        </w:rPr>
        <w:t>במקרים שונים בהם ביקרה בביתו או שהתה עמו במקומות אחרים</w:t>
      </w:r>
      <w:r>
        <w:rPr>
          <w:rtl w:val="true"/>
        </w:rPr>
        <w:t xml:space="preserve">: </w:t>
      </w:r>
      <w:r>
        <w:rPr>
          <w:rtl w:val="true"/>
        </w:rPr>
        <w:t>הכניס את ידו למכנסיה ונגע באיבר מינה</w:t>
      </w:r>
      <w:r>
        <w:rPr>
          <w:rtl w:val="true"/>
        </w:rPr>
        <w:t xml:space="preserve">; </w:t>
      </w:r>
      <w:r>
        <w:rPr>
          <w:rtl w:val="true"/>
        </w:rPr>
        <w:t>הוציא את איבר מינו ממכנסיו וביקש ממנה ללטפו</w:t>
      </w:r>
      <w:r>
        <w:rPr>
          <w:rtl w:val="true"/>
        </w:rPr>
        <w:t xml:space="preserve">; </w:t>
      </w:r>
      <w:r>
        <w:rPr>
          <w:rtl w:val="true"/>
        </w:rPr>
        <w:t>הציג לה סרטון פורנוגרפי</w:t>
      </w:r>
      <w:r>
        <w:rPr>
          <w:rtl w:val="true"/>
        </w:rPr>
        <w:t xml:space="preserve">; </w:t>
      </w:r>
      <w:r>
        <w:rPr>
          <w:rtl w:val="true"/>
        </w:rPr>
        <w:t>ביקש שתצלם את איבר מינה</w:t>
      </w:r>
      <w:r>
        <w:rPr>
          <w:rtl w:val="true"/>
        </w:rPr>
        <w:t xml:space="preserve">; </w:t>
      </w:r>
      <w:r>
        <w:rPr>
          <w:rtl w:val="true"/>
        </w:rPr>
        <w:t>ניסה להכניס את ידו מתחת לחולצתה ולגעת בחזה</w:t>
      </w:r>
      <w:r>
        <w:rPr>
          <w:rtl w:val="true"/>
        </w:rPr>
        <w:t xml:space="preserve">; </w:t>
      </w:r>
      <w:r>
        <w:rPr>
          <w:rtl w:val="true"/>
        </w:rPr>
        <w:t>וכן חיבק אותה מאחור בחוזקה ותפס בחזה</w:t>
      </w:r>
      <w:r>
        <w:rPr>
          <w:rtl w:val="true"/>
        </w:rPr>
        <w:t xml:space="preserve">. </w:t>
      </w:r>
      <w:r>
        <w:rPr>
          <w:rtl w:val="true"/>
        </w:rPr>
        <w:t>עוד נהג לשאול את אחייניתו אם גדל לה החזה ואם צמחו לה שערות</w:t>
      </w:r>
      <w:r>
        <w:rPr>
          <w:rtl w:val="true"/>
        </w:rPr>
        <w:t xml:space="preserve">, </w:t>
      </w:r>
      <w:r>
        <w:rPr>
          <w:rtl w:val="true"/>
        </w:rPr>
        <w:t>ולבקש שתראה לו את חזה ואת איבר מינה</w:t>
      </w:r>
      <w:r>
        <w:rPr>
          <w:rtl w:val="true"/>
        </w:rPr>
        <w:t xml:space="preserve">; </w:t>
      </w:r>
      <w:r>
        <w:rPr>
          <w:rtl w:val="true"/>
        </w:rPr>
        <w:t>ובשתי הזדמנויות צילם סרטוני וידאו שלה במכשיר הטלפון הנייד שלו</w:t>
      </w:r>
      <w:r>
        <w:rPr>
          <w:rtl w:val="true"/>
        </w:rPr>
        <w:t xml:space="preserve">, </w:t>
      </w:r>
      <w:r>
        <w:rPr>
          <w:rtl w:val="true"/>
        </w:rPr>
        <w:t>תוך שהתקרב לאיבריה המוצנעים</w:t>
      </w:r>
      <w:r>
        <w:rPr>
          <w:rtl w:val="true"/>
        </w:rPr>
        <w:t xml:space="preserve">. </w:t>
      </w:r>
      <w:r>
        <w:rPr>
          <w:rtl w:val="true"/>
        </w:rPr>
        <w:t>את מעשיו אלה ביצע המערער לשם גירוי</w:t>
      </w:r>
      <w:r>
        <w:rPr>
          <w:rtl w:val="true"/>
        </w:rPr>
        <w:t xml:space="preserve">, </w:t>
      </w:r>
      <w:r>
        <w:rPr>
          <w:rtl w:val="true"/>
        </w:rPr>
        <w:t>סיפוק או ביזוי מיניים</w:t>
      </w:r>
      <w:r>
        <w:rPr>
          <w:rtl w:val="true"/>
        </w:rPr>
        <w:t xml:space="preserve">, </w:t>
      </w:r>
      <w:r>
        <w:rPr>
          <w:rtl w:val="true"/>
        </w:rPr>
        <w:t xml:space="preserve">וללא הסכמה חופשית של אחייניתו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>).</w:t>
      </w:r>
    </w:p>
    <w:p>
      <w:pPr>
        <w:pStyle w:val="Ruller4"/>
        <w:spacing w:before="0" w:after="42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/>
        <w:t>1989-1988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ילידת</w:t>
      </w:r>
      <w:r>
        <w:rPr>
          <w:rFonts w:eastAsia="Arial TUR;Arial" w:cs="Arial TUR;Arial"/>
          <w:rtl w:val="true"/>
        </w:rPr>
        <w:t xml:space="preserve"> </w:t>
      </w:r>
      <w:r>
        <w:rPr/>
        <w:t>1983</w:t>
      </w:r>
      <w:r>
        <w:rPr>
          <w:rtl w:val="true"/>
        </w:rPr>
        <w:t xml:space="preserve">),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גירוי</w:t>
      </w:r>
      <w:r>
        <w:rPr>
          <w:rtl w:val="true"/>
        </w:rPr>
        <w:t xml:space="preserve">, </w:t>
      </w:r>
      <w:r>
        <w:rPr>
          <w:rtl w:val="true"/>
        </w:rPr>
        <w:t>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ביזוי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tl w:val="true"/>
        </w:rPr>
        <w:t xml:space="preserve">); </w:t>
      </w:r>
      <w:r>
        <w:rPr>
          <w:rtl w:val="true"/>
        </w:rPr>
        <w:t>ובשנים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</w:t>
      </w:r>
      <w:r>
        <w:rPr>
          <w:rtl w:val="true"/>
        </w:rPr>
        <w:t>).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הרשיע את המערער</w:t>
      </w:r>
      <w:r>
        <w:rPr>
          <w:rtl w:val="true"/>
        </w:rPr>
        <w:t xml:space="preserve">, </w:t>
      </w:r>
      <w:r>
        <w:rPr>
          <w:rtl w:val="true"/>
        </w:rPr>
        <w:t>בתום שמיעת ראיות</w:t>
      </w:r>
      <w:r>
        <w:rPr>
          <w:rtl w:val="true"/>
        </w:rPr>
        <w:t xml:space="preserve">, </w:t>
      </w:r>
      <w:r>
        <w:rPr>
          <w:rtl w:val="true"/>
        </w:rPr>
        <w:t>בכל העבירות שיוחסו לו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באישום הראשון </w:t>
      </w:r>
      <w:r>
        <w:rPr>
          <w:rtl w:val="true"/>
        </w:rPr>
        <w:t>(</w:t>
      </w:r>
      <w:r>
        <w:rPr>
          <w:rtl w:val="true"/>
        </w:rPr>
        <w:t>הנכדה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ריבוי עבירות של מעשה סדום ומעשה מגונה בקטינה בידי בן משפחה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1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32"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3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וכן לפי </w:t>
      </w:r>
      <w:hyperlink r:id="rId34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35"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6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בהתאמה</w:t>
      </w:r>
      <w:r>
        <w:rPr>
          <w:rtl w:val="true"/>
        </w:rPr>
        <w:t xml:space="preserve">;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באישום השני </w:t>
      </w:r>
      <w:r>
        <w:rPr>
          <w:rtl w:val="true"/>
        </w:rPr>
        <w:t>(</w:t>
      </w:r>
      <w:r>
        <w:rPr>
          <w:rtl w:val="true"/>
        </w:rPr>
        <w:t>האחיינית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ריבוי עבירות של מעשה מגונה בקטינה בידי בן משפחה וניסיון למעשה מגונה כאמור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8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39"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),</w:t>
        </w:r>
      </w:hyperlink>
      <w:r>
        <w:rPr>
          <w:rtl w:val="true"/>
        </w:rPr>
        <w:t xml:space="preserve"> </w:t>
      </w:r>
      <w:hyperlink r:id="rId40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1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</w:hyperlink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וכן </w:t>
      </w:r>
      <w:hyperlink r:id="rId42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 xml:space="preserve">עבירה של הטרדה מינית </w:t>
      </w:r>
      <w:r>
        <w:rPr>
          <w:rtl w:val="true"/>
        </w:rPr>
        <w:t>(</w:t>
      </w:r>
      <w:r>
        <w:rPr>
          <w:rtl w:val="true"/>
        </w:rPr>
        <w:t xml:space="preserve">לפי סעיפים </w:t>
      </w:r>
      <w:hyperlink r:id="rId44"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ו</w:t>
      </w:r>
      <w:r>
        <w:rPr>
          <w:rtl w:val="true"/>
        </w:rPr>
        <w:t>-</w:t>
      </w:r>
      <w:hyperlink r:id="rId45"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הטרדה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מינית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1998</w:t>
      </w:r>
      <w:r>
        <w:rPr>
          <w:rtl w:val="true"/>
        </w:rPr>
        <w:t xml:space="preserve">) </w:t>
      </w:r>
      <w:r>
        <w:rPr>
          <w:rtl w:val="true"/>
        </w:rPr>
        <w:t xml:space="preserve">ועבירה של פגיעה בפרטיות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47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8">
        <w:r>
          <w:rPr>
            <w:rStyle w:val="Hyperlink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לחוק להגנת הפרטיות</w:t>
      </w:r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1981</w:t>
      </w:r>
      <w:r>
        <w:rPr>
          <w:rtl w:val="true"/>
        </w:rPr>
        <w:t>);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באישום השלישי </w:t>
      </w:r>
      <w:r>
        <w:rPr>
          <w:rtl w:val="true"/>
        </w:rPr>
        <w:t>(</w:t>
      </w:r>
      <w:r>
        <w:rPr>
          <w:rtl w:val="true"/>
        </w:rPr>
        <w:t>הבת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עבירה של תקיפה מינית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9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0"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כנוסחו בעת ביצוע המעשים</w:t>
      </w:r>
      <w:r>
        <w:rPr>
          <w:rtl w:val="true"/>
        </w:rPr>
        <w:t>);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באישום הרביעי </w:t>
      </w:r>
      <w:r>
        <w:rPr>
          <w:rtl w:val="true"/>
        </w:rPr>
        <w:t>(</w:t>
      </w:r>
      <w:r>
        <w:rPr>
          <w:rtl w:val="true"/>
        </w:rPr>
        <w:t>פורנוגרפיית קטינים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עבירה של פרסום והצגת תועבה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ראה בכל אישום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 xml:space="preserve">" </w:t>
      </w:r>
      <w:r>
        <w:rPr>
          <w:rtl w:val="true"/>
        </w:rPr>
        <w:t>נפרד וקבע לגביו מתחם עונש שונה</w:t>
      </w:r>
      <w:r>
        <w:rPr>
          <w:rtl w:val="true"/>
        </w:rPr>
        <w:t xml:space="preserve">. </w:t>
      </w:r>
      <w:r>
        <w:rPr>
          <w:rtl w:val="true"/>
        </w:rPr>
        <w:t>בהקשר זה צוין בגזר</w:t>
      </w:r>
      <w:r>
        <w:rPr>
          <w:rtl w:val="true"/>
        </w:rPr>
        <w:t>-</w:t>
      </w:r>
      <w:r>
        <w:rPr>
          <w:rtl w:val="true"/>
        </w:rPr>
        <w:t>הדין כי שלושת האישומים העיקריים אמנם קשורים זה לזה</w:t>
      </w:r>
      <w:r>
        <w:rPr>
          <w:rtl w:val="true"/>
        </w:rPr>
        <w:t xml:space="preserve">, </w:t>
      </w:r>
      <w:r>
        <w:rPr>
          <w:rtl w:val="true"/>
        </w:rPr>
        <w:t>שכן עניינם בעבירות מין שבוצעו כלפי בנות אותה משפחה</w:t>
      </w:r>
      <w:r>
        <w:rPr>
          <w:rtl w:val="true"/>
        </w:rPr>
        <w:t xml:space="preserve">, </w:t>
      </w:r>
      <w:r>
        <w:rPr>
          <w:rtl w:val="true"/>
        </w:rPr>
        <w:t xml:space="preserve">בהיותן באותו גיל </w:t>
      </w:r>
      <w:r>
        <w:rPr>
          <w:rtl w:val="true"/>
        </w:rPr>
        <w:t>–</w:t>
      </w:r>
      <w:r>
        <w:rPr>
          <w:rtl w:val="true"/>
        </w:rPr>
        <w:t xml:space="preserve"> אולם קיים שוני מהותי </w:t>
      </w:r>
      <w:r>
        <w:rPr>
          <w:rtl w:val="true"/>
        </w:rPr>
        <w:t>"</w:t>
      </w:r>
      <w:r>
        <w:rPr>
          <w:rtl w:val="true"/>
        </w:rPr>
        <w:t>ביותר</w:t>
      </w:r>
      <w:r>
        <w:rPr>
          <w:rtl w:val="true"/>
        </w:rPr>
        <w:t xml:space="preserve">" </w:t>
      </w:r>
      <w:r>
        <w:rPr>
          <w:rtl w:val="true"/>
        </w:rPr>
        <w:t>במדרג העבירות שבוצעו ובחומרתן</w:t>
      </w:r>
      <w:r>
        <w:rPr>
          <w:rtl w:val="true"/>
        </w:rPr>
        <w:t xml:space="preserve">, </w:t>
      </w:r>
      <w:r>
        <w:rPr>
          <w:rtl w:val="true"/>
        </w:rPr>
        <w:t>ובכלל זה משך התקופה שלאורכה בוצעו העבירות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בקביעת המתחמים השונים לעונש ביחס לאישומים העיקריים</w:t>
      </w:r>
      <w:r>
        <w:rPr>
          <w:rtl w:val="true"/>
        </w:rPr>
        <w:t xml:space="preserve">, </w:t>
      </w:r>
      <w:r>
        <w:rPr>
          <w:rtl w:val="true"/>
        </w:rPr>
        <w:t>נמצא כי אותם ערכים מוגנים נפגעו מביצוע המעשים</w:t>
      </w:r>
      <w:r>
        <w:rPr>
          <w:rtl w:val="true"/>
        </w:rPr>
        <w:t xml:space="preserve">, </w:t>
      </w:r>
      <w:r>
        <w:rPr>
          <w:rtl w:val="true"/>
        </w:rPr>
        <w:t>והודגש כי יש לראות את פגיעתן של עבירות המין בחומרה יתרה בנסיבות דנן</w:t>
      </w:r>
      <w:r>
        <w:rPr>
          <w:rtl w:val="true"/>
        </w:rPr>
        <w:t xml:space="preserve">, </w:t>
      </w:r>
      <w:r>
        <w:rPr>
          <w:rtl w:val="true"/>
        </w:rPr>
        <w:t>הן לעניין הפגיעה בשלמות גופן ונפשן של קטינות</w:t>
      </w:r>
      <w:r>
        <w:rPr>
          <w:rtl w:val="true"/>
        </w:rPr>
        <w:t xml:space="preserve">, </w:t>
      </w:r>
      <w:r>
        <w:rPr>
          <w:rtl w:val="true"/>
        </w:rPr>
        <w:t>והן לעניין הפגיעה בביטחונן האישי ובתא המשפחתי</w:t>
      </w:r>
      <w:r>
        <w:rPr>
          <w:rtl w:val="true"/>
        </w:rPr>
        <w:t xml:space="preserve">. </w:t>
      </w:r>
      <w:r>
        <w:rPr>
          <w:rtl w:val="true"/>
        </w:rPr>
        <w:t xml:space="preserve">כן צוין כי </w:t>
      </w:r>
      <w:r>
        <w:rPr>
          <w:rtl w:val="true"/>
        </w:rPr>
        <w:t>"</w:t>
      </w:r>
      <w:r>
        <w:rPr>
          <w:rtl w:val="true"/>
        </w:rPr>
        <w:t>מידת האשם</w:t>
      </w:r>
      <w:r>
        <w:rPr>
          <w:rtl w:val="true"/>
        </w:rPr>
        <w:t xml:space="preserve">" </w:t>
      </w:r>
      <w:r>
        <w:rPr>
          <w:rtl w:val="true"/>
        </w:rPr>
        <w:t xml:space="preserve">של המערער היא </w:t>
      </w:r>
      <w:r>
        <w:rPr>
          <w:rtl w:val="true"/>
        </w:rPr>
        <w:t>"</w:t>
      </w:r>
      <w:r>
        <w:rPr>
          <w:rtl w:val="true"/>
        </w:rPr>
        <w:t>מוחלטת</w:t>
      </w:r>
      <w:r>
        <w:rPr>
          <w:rtl w:val="true"/>
        </w:rPr>
        <w:t xml:space="preserve">", </w:t>
      </w:r>
      <w:r>
        <w:rPr>
          <w:rtl w:val="true"/>
        </w:rPr>
        <w:t>כהגדרת בית המשפט המחוזי</w:t>
      </w:r>
      <w:r>
        <w:rPr>
          <w:rtl w:val="true"/>
        </w:rPr>
        <w:t xml:space="preserve">; </w:t>
      </w:r>
      <w:r>
        <w:rPr>
          <w:rtl w:val="true"/>
        </w:rPr>
        <w:t>וכי במעשיו גם ניצל לרעה את כוחו וסמכותו כלפי המתלוננות</w:t>
      </w:r>
      <w:r>
        <w:rPr>
          <w:rtl w:val="true"/>
        </w:rPr>
        <w:t xml:space="preserve">, </w:t>
      </w:r>
      <w:r>
        <w:rPr>
          <w:rtl w:val="true"/>
        </w:rPr>
        <w:t>עת שהו עמו ביחידות ובנסיבות שהיו בשליטתו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בהערכת הנזקים שנגרמו למתלוננות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נסמך על תסקיר נפגעות עבירה </w:t>
      </w:r>
      <w:r>
        <w:rPr>
          <w:rtl w:val="true"/>
        </w:rPr>
        <w:t>–</w:t>
      </w:r>
      <w:r>
        <w:rPr>
          <w:rtl w:val="true"/>
        </w:rPr>
        <w:t xml:space="preserve"> למעט ביחס לאחיינית</w:t>
      </w:r>
      <w:r>
        <w:rPr>
          <w:rtl w:val="true"/>
        </w:rPr>
        <w:t xml:space="preserve">, </w:t>
      </w:r>
      <w:r>
        <w:rPr>
          <w:rtl w:val="true"/>
        </w:rPr>
        <w:t>שביקשה שבעניינה לא יוכן תסקיר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צוין בגזר</w:t>
      </w:r>
      <w:r>
        <w:rPr>
          <w:rtl w:val="true"/>
        </w:rPr>
        <w:t>-</w:t>
      </w:r>
      <w:r>
        <w:rPr>
          <w:rtl w:val="true"/>
        </w:rPr>
        <w:t xml:space="preserve">הדין כי לאחיינית ולנכדה נגרם </w:t>
      </w:r>
      <w:r>
        <w:rPr>
          <w:rtl w:val="true"/>
        </w:rPr>
        <w:t>"</w:t>
      </w:r>
      <w:r>
        <w:rPr>
          <w:rtl w:val="true"/>
        </w:rPr>
        <w:t>נזק משמעותי</w:t>
      </w:r>
      <w:r>
        <w:rPr>
          <w:rtl w:val="true"/>
        </w:rPr>
        <w:t xml:space="preserve">". </w:t>
      </w:r>
      <w:r>
        <w:rPr>
          <w:rtl w:val="true"/>
        </w:rPr>
        <w:t xml:space="preserve">לפיכך נקבע מתחמי ענישה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 מאסר בפועל לאישום הראשון</w:t>
      </w:r>
      <w:r>
        <w:rPr>
          <w:rtl w:val="true"/>
        </w:rPr>
        <w:t xml:space="preserve">;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בפועל לאישום השני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בפועל לאישום השלישי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בקביעת מתחם העונש לאישום הרביעי</w:t>
      </w:r>
      <w:r>
        <w:rPr>
          <w:rtl w:val="true"/>
        </w:rPr>
        <w:t xml:space="preserve">, </w:t>
      </w:r>
      <w:r>
        <w:rPr>
          <w:rtl w:val="true"/>
        </w:rPr>
        <w:t>שעניינו החזקת פורנוגרפיית קטינים</w:t>
      </w:r>
      <w:r>
        <w:rPr>
          <w:rtl w:val="true"/>
        </w:rPr>
        <w:t xml:space="preserve">, </w:t>
      </w:r>
      <w:r>
        <w:rPr>
          <w:rtl w:val="true"/>
        </w:rPr>
        <w:t>נקבע כי המדובר לא רק בפגיעה בכבודם</w:t>
      </w:r>
      <w:r>
        <w:rPr>
          <w:rtl w:val="true"/>
        </w:rPr>
        <w:t xml:space="preserve">, </w:t>
      </w:r>
      <w:r>
        <w:rPr>
          <w:rtl w:val="true"/>
        </w:rPr>
        <w:t>בפרטיותם</w:t>
      </w:r>
      <w:r>
        <w:rPr>
          <w:rtl w:val="true"/>
        </w:rPr>
        <w:t xml:space="preserve">, </w:t>
      </w:r>
      <w:r>
        <w:rPr>
          <w:rtl w:val="true"/>
        </w:rPr>
        <w:t>ובשלמות גופם ונפשם של אותם קטינים שצולמו</w:t>
      </w:r>
      <w:r>
        <w:rPr>
          <w:rtl w:val="true"/>
        </w:rPr>
        <w:t xml:space="preserve">, </w:t>
      </w:r>
      <w:r>
        <w:rPr>
          <w:rtl w:val="true"/>
        </w:rPr>
        <w:t>אלא של קטינים בכלל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שצריכת התמונות והסרטונים עלולה לעודד את המשך ייצורם הפוגעני</w:t>
      </w:r>
      <w:r>
        <w:rPr>
          <w:rtl w:val="true"/>
        </w:rPr>
        <w:t xml:space="preserve">, </w:t>
      </w:r>
      <w:r>
        <w:rPr>
          <w:rtl w:val="true"/>
        </w:rPr>
        <w:t>ואילו החזקתם עלולה לשמש את המחזיק כדי לשדל קטינים אחרים להצטלם כך</w:t>
      </w:r>
      <w:r>
        <w:rPr>
          <w:rtl w:val="true"/>
        </w:rPr>
        <w:t xml:space="preserve">, </w:t>
      </w:r>
      <w:r>
        <w:rPr>
          <w:rtl w:val="true"/>
        </w:rPr>
        <w:t>ואף להביאו לנסות ולחקות את המעשים המוצגים בהם תוך פגיעה בילדים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נקבע מתחם לעונש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בסופו של דיון</w:t>
      </w:r>
      <w:r>
        <w:rPr>
          <w:rtl w:val="true"/>
        </w:rPr>
        <w:t xml:space="preserve">, </w:t>
      </w:r>
      <w:r>
        <w:rPr>
          <w:rtl w:val="true"/>
        </w:rPr>
        <w:t>בית המשפט המחוזי גזר עונש כולל לכל האישומים</w:t>
      </w:r>
      <w:r>
        <w:rPr>
          <w:rtl w:val="true"/>
        </w:rPr>
        <w:t xml:space="preserve">, </w:t>
      </w:r>
      <w:r>
        <w:rPr>
          <w:rtl w:val="true"/>
        </w:rPr>
        <w:t>וציין כי הוא נותן בכך ביטוי לצורך בהרתעת הרבים מפני ביצוע עבירות דומות</w:t>
      </w:r>
      <w:r>
        <w:rPr>
          <w:rtl w:val="true"/>
        </w:rPr>
        <w:t xml:space="preserve">, </w:t>
      </w:r>
      <w:r>
        <w:rPr>
          <w:rtl w:val="true"/>
        </w:rPr>
        <w:t xml:space="preserve">וכן בהרתעת המערער מפני ביצוע עבירות מין נוספות בעתיד </w:t>
      </w:r>
      <w:r>
        <w:rPr>
          <w:rtl w:val="true"/>
        </w:rPr>
        <w:t>–</w:t>
      </w:r>
      <w:r>
        <w:rPr>
          <w:rtl w:val="true"/>
        </w:rPr>
        <w:t xml:space="preserve"> צורך המתחדד לנוכח הכחשותיו וניסיונותיו להטיל על נכדתו את האחריות למעשיו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הודגש כי אמירותיו אלה של המערער </w:t>
      </w:r>
      <w:r>
        <w:rPr>
          <w:rtl w:val="true"/>
        </w:rPr>
        <w:t>–</w:t>
      </w:r>
      <w:r>
        <w:rPr>
          <w:rtl w:val="true"/>
        </w:rPr>
        <w:t xml:space="preserve"> החל בעדותו בשלב ההוכחות</w:t>
      </w:r>
      <w:r>
        <w:rPr>
          <w:rtl w:val="true"/>
        </w:rPr>
        <w:t xml:space="preserve">, </w:t>
      </w:r>
      <w:r>
        <w:rPr>
          <w:rtl w:val="true"/>
        </w:rPr>
        <w:t>עובר בפגישתו עם גורמי המרכז להערכת מסוכנות</w:t>
      </w:r>
      <w:r>
        <w:rPr>
          <w:rtl w:val="true"/>
        </w:rPr>
        <w:t xml:space="preserve">, </w:t>
      </w:r>
      <w:r>
        <w:rPr>
          <w:rtl w:val="true"/>
        </w:rPr>
        <w:t>וכלה בדבריו בטרם מתן גזר</w:t>
      </w:r>
      <w:r>
        <w:rPr>
          <w:rtl w:val="true"/>
        </w:rPr>
        <w:t>-</w:t>
      </w:r>
      <w:r>
        <w:rPr>
          <w:rtl w:val="true"/>
        </w:rPr>
        <w:t xml:space="preserve">הדין </w:t>
      </w:r>
      <w:r>
        <w:rPr>
          <w:rtl w:val="true"/>
        </w:rPr>
        <w:t>–</w:t>
      </w:r>
      <w:r>
        <w:rPr>
          <w:rtl w:val="true"/>
        </w:rPr>
        <w:t xml:space="preserve"> ממחישות </w:t>
      </w:r>
      <w:r>
        <w:rPr>
          <w:rtl w:val="true"/>
        </w:rPr>
        <w:t>"</w:t>
      </w:r>
      <w:r>
        <w:rPr>
          <w:rtl w:val="true"/>
        </w:rPr>
        <w:t>עיוות מחשבה</w:t>
      </w:r>
      <w:r>
        <w:rPr>
          <w:rtl w:val="true"/>
        </w:rPr>
        <w:t xml:space="preserve">" </w:t>
      </w:r>
      <w:r>
        <w:rPr>
          <w:rtl w:val="true"/>
        </w:rPr>
        <w:t>וחוסר יכולת להפנים את משמעות מעשיו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צוין כי לנוכח הכחשותיו של המערער</w:t>
      </w:r>
      <w:r>
        <w:rPr>
          <w:rtl w:val="true"/>
        </w:rPr>
        <w:t xml:space="preserve">, </w:t>
      </w:r>
      <w:r>
        <w:rPr>
          <w:rtl w:val="true"/>
        </w:rPr>
        <w:t>הליך שיקומי אינו עומד על הפרק בשלב זה</w:t>
      </w:r>
      <w:r>
        <w:rPr>
          <w:rtl w:val="true"/>
        </w:rPr>
        <w:t xml:space="preserve">, </w:t>
      </w:r>
      <w:r>
        <w:rPr>
          <w:rtl w:val="true"/>
        </w:rPr>
        <w:t>ולפיכך אין מקום לסטות מהמתחמים לעונש שנקבעו משיקולי שיקום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נזקפו לזכות המערער עברו הנקי</w:t>
      </w:r>
      <w:r>
        <w:rPr>
          <w:rtl w:val="true"/>
        </w:rPr>
        <w:t xml:space="preserve">, </w:t>
      </w:r>
      <w:r>
        <w:rPr>
          <w:rtl w:val="true"/>
        </w:rPr>
        <w:t xml:space="preserve">תרומתו לקהילה </w:t>
      </w:r>
      <w:r>
        <w:rPr>
          <w:rtl w:val="true"/>
        </w:rPr>
        <w:t>(</w:t>
      </w:r>
      <w:r>
        <w:rPr>
          <w:rtl w:val="true"/>
        </w:rPr>
        <w:t>בשירותו הצבאי ובפעילותו החינוכית</w:t>
      </w:r>
      <w:r>
        <w:rPr>
          <w:rtl w:val="true"/>
        </w:rPr>
        <w:t xml:space="preserve">), </w:t>
      </w:r>
      <w:r>
        <w:rPr>
          <w:rtl w:val="true"/>
        </w:rPr>
        <w:t xml:space="preserve">וגילו </w:t>
      </w:r>
      <w:r>
        <w:rPr>
          <w:rtl w:val="true"/>
        </w:rPr>
        <w:t>–</w:t>
      </w:r>
      <w:r>
        <w:rPr>
          <w:rtl w:val="true"/>
        </w:rPr>
        <w:t xml:space="preserve"> אך הובהר כי לנסיבות אישיות אלה משקל מוגבל בהינתן סוג העבירות שביצע</w:t>
      </w:r>
      <w:r>
        <w:rPr>
          <w:rtl w:val="true"/>
        </w:rPr>
        <w:t xml:space="preserve">. </w:t>
      </w:r>
      <w:r>
        <w:rPr>
          <w:rtl w:val="true"/>
        </w:rPr>
        <w:t>חלוף הזמן נשקל כנסיבה מקלה ביחס לעבירה שביצע בבתו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על המערער נגזרו כאמור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</w:t>
      </w:r>
      <w:r>
        <w:rPr>
          <w:rtl w:val="true"/>
        </w:rPr>
        <w:t>(</w:t>
      </w:r>
      <w:r>
        <w:rPr>
          <w:rtl w:val="true"/>
        </w:rPr>
        <w:t>לצד מאסרים מותנים</w:t>
      </w:r>
      <w:r>
        <w:rPr>
          <w:rtl w:val="true"/>
        </w:rPr>
        <w:t xml:space="preserve">), </w:t>
      </w:r>
      <w:r>
        <w:rPr>
          <w:rtl w:val="true"/>
        </w:rPr>
        <w:t xml:space="preserve">והוטל עליו לשלם פיצויים בסך </w:t>
      </w:r>
      <w:r>
        <w:rPr/>
        <w:t>70,000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לנכדתו</w:t>
      </w:r>
      <w:r>
        <w:rPr>
          <w:rtl w:val="true"/>
        </w:rPr>
        <w:t xml:space="preserve">, </w:t>
      </w:r>
      <w:r>
        <w:rPr/>
        <w:t>35,000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לאחייניתו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לבתו </w:t>
      </w:r>
      <w:r>
        <w:rPr>
          <w:rtl w:val="true"/>
        </w:rPr>
        <w:t>–</w:t>
      </w:r>
      <w:r>
        <w:rPr>
          <w:rtl w:val="true"/>
        </w:rPr>
        <w:t xml:space="preserve"> כדי לפצותן בגין סבלן ולהמחיש למערער את אחריותו כלפיהן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מכאן הערעורים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כאשר המדינה משיגה על קולת עונש המאסר בפועל ועל גובה הפיצויים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5617/19</w:t>
      </w:r>
      <w:r>
        <w:rPr>
          <w:rtl w:val="true"/>
        </w:rPr>
        <w:t xml:space="preserve">), </w:t>
      </w:r>
      <w:r>
        <w:rPr>
          <w:rtl w:val="true"/>
        </w:rPr>
        <w:t xml:space="preserve">ואילו המערער על חומרת עונש המאסר בפועל בלבד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5668/19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בערעורים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המדינה טוענת כי יש לגזור על המערער עונש מאסר ממושך</w:t>
      </w:r>
      <w:r>
        <w:rPr>
          <w:rtl w:val="true"/>
        </w:rPr>
        <w:t xml:space="preserve">, </w:t>
      </w:r>
      <w:r>
        <w:rPr>
          <w:rtl w:val="true"/>
        </w:rPr>
        <w:t>אשר לכל הפחות ישתווה לעונש המרבי הקבוע לאחת מעבירות המין הקשות שביצע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משיקולי הלימה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והגנה על שלום הציבור</w:t>
      </w:r>
      <w:r>
        <w:rPr>
          <w:rtl w:val="true"/>
        </w:rPr>
        <w:t xml:space="preserve">, </w:t>
      </w:r>
      <w:r>
        <w:rPr>
          <w:rtl w:val="true"/>
        </w:rPr>
        <w:t>וכן לאור הנסיבות המחמירות הרבות ובהעדרן של נסיבות מקלות משמעותיות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 המדינה</w:t>
      </w:r>
      <w:r>
        <w:rPr>
          <w:rtl w:val="true"/>
        </w:rPr>
        <w:t xml:space="preserve">, </w:t>
      </w:r>
      <w:r>
        <w:rPr>
          <w:rtl w:val="true"/>
        </w:rPr>
        <w:t>הפסיקה הכירה בכך שבענישה על עבירות מין חמורות</w:t>
      </w:r>
      <w:r>
        <w:rPr>
          <w:rtl w:val="true"/>
        </w:rPr>
        <w:t xml:space="preserve">, </w:t>
      </w:r>
      <w:r>
        <w:rPr>
          <w:rtl w:val="true"/>
        </w:rPr>
        <w:t>במיוחד כאלה המתבצעות בבת</w:t>
      </w:r>
      <w:r>
        <w:rPr>
          <w:rtl w:val="true"/>
        </w:rPr>
        <w:t>-</w:t>
      </w:r>
      <w:r>
        <w:rPr>
          <w:rtl w:val="true"/>
        </w:rPr>
        <w:t>משפחה רכה בשנים</w:t>
      </w:r>
      <w:r>
        <w:rPr>
          <w:rtl w:val="true"/>
        </w:rPr>
        <w:t xml:space="preserve">, </w:t>
      </w:r>
      <w:r>
        <w:rPr>
          <w:rtl w:val="true"/>
        </w:rPr>
        <w:t>על תקופת המאסר בפועל להשתוות לעונש המרבי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ובהתחשב בהיקפם ובחומרתם הייחודית של מעשי המערער</w:t>
      </w:r>
      <w:r>
        <w:rPr>
          <w:rtl w:val="true"/>
        </w:rPr>
        <w:t xml:space="preserve">, </w:t>
      </w:r>
      <w:r>
        <w:rPr>
          <w:rtl w:val="true"/>
        </w:rPr>
        <w:t>תקופת מאסר בפועל הפחותה משני שליש מהעונש המרבי על מעשה סדום בקטינה על</w:t>
      </w:r>
      <w:r>
        <w:rPr>
          <w:rtl w:val="true"/>
        </w:rPr>
        <w:t>-</w:t>
      </w:r>
      <w:r>
        <w:rPr>
          <w:rtl w:val="true"/>
        </w:rPr>
        <w:t xml:space="preserve">ידי בן משפחה </w:t>
      </w:r>
      <w:r>
        <w:rPr>
          <w:rtl w:val="true"/>
        </w:rPr>
        <w:t>(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), </w:t>
      </w:r>
      <w:r>
        <w:rPr>
          <w:rtl w:val="true"/>
        </w:rPr>
        <w:t>כפי שנעשה במקרה דנן</w:t>
      </w:r>
      <w:r>
        <w:rPr>
          <w:rtl w:val="true"/>
        </w:rPr>
        <w:t>, "</w:t>
      </w:r>
      <w:r>
        <w:rPr>
          <w:rtl w:val="true"/>
        </w:rPr>
        <w:t>אינה מתקבלת על הדעת</w:t>
      </w:r>
      <w:r>
        <w:rPr>
          <w:rtl w:val="true"/>
        </w:rPr>
        <w:t xml:space="preserve">". </w:t>
      </w:r>
      <w:r>
        <w:rPr>
          <w:rtl w:val="true"/>
        </w:rPr>
        <w:t>עוד נטען כי בנסיבות העניין היה על בית המשפט המחוזי לגזור על המערער עונשים מצטברים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המדינה טוענת כי יש לקבל את מתחמי העונש להם עתרה בבית המשפט המחוזי</w:t>
      </w:r>
      <w:r>
        <w:rPr>
          <w:rtl w:val="true"/>
        </w:rPr>
        <w:t xml:space="preserve">: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לאישום הראשון </w:t>
      </w:r>
      <w:r>
        <w:rPr>
          <w:rtl w:val="true"/>
        </w:rPr>
        <w:t>(</w:t>
      </w:r>
      <w:r>
        <w:rPr>
          <w:rtl w:val="true"/>
        </w:rPr>
        <w:t>הנכדה</w:t>
      </w:r>
      <w:r>
        <w:rPr>
          <w:rtl w:val="true"/>
        </w:rPr>
        <w:t xml:space="preserve">);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לאישום השני </w:t>
      </w:r>
      <w:r>
        <w:rPr>
          <w:rtl w:val="true"/>
        </w:rPr>
        <w:t>(</w:t>
      </w:r>
      <w:r>
        <w:rPr>
          <w:rtl w:val="true"/>
        </w:rPr>
        <w:t>האחיינית</w:t>
      </w:r>
      <w:r>
        <w:rPr>
          <w:rtl w:val="true"/>
        </w:rPr>
        <w:t xml:space="preserve">);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לאישום השלישי </w:t>
      </w:r>
      <w:r>
        <w:rPr>
          <w:rtl w:val="true"/>
        </w:rPr>
        <w:t>(</w:t>
      </w:r>
      <w:r>
        <w:rPr>
          <w:rtl w:val="true"/>
        </w:rPr>
        <w:t>הבת</w:t>
      </w:r>
      <w:r>
        <w:rPr>
          <w:rtl w:val="true"/>
        </w:rPr>
        <w:t xml:space="preserve">);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לאישום הרביעי </w:t>
      </w:r>
      <w:r>
        <w:rPr>
          <w:rtl w:val="true"/>
        </w:rPr>
        <w:t>(</w:t>
      </w:r>
      <w:r>
        <w:rPr>
          <w:rtl w:val="true"/>
        </w:rPr>
        <w:t>פורנוגרפיית קטינים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בהשוואה לכך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נקבעו בגזר</w:t>
      </w:r>
      <w:r>
        <w:rPr>
          <w:rtl w:val="true"/>
        </w:rPr>
        <w:t>-</w:t>
      </w:r>
      <w:r>
        <w:rPr>
          <w:rtl w:val="true"/>
        </w:rPr>
        <w:t xml:space="preserve">הדין מתחמי ענישה </w:t>
      </w:r>
      <w:r>
        <w:rPr>
          <w:rtl w:val="true"/>
        </w:rPr>
        <w:t>"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הולמים בעליל</w:t>
      </w:r>
      <w:r>
        <w:rPr>
          <w:rtl w:val="true"/>
        </w:rPr>
        <w:t xml:space="preserve">" </w:t>
      </w:r>
      <w:r>
        <w:rPr>
          <w:rtl w:val="true"/>
        </w:rPr>
        <w:t>לכל האישומים</w:t>
      </w:r>
      <w:r>
        <w:rPr>
          <w:rtl w:val="true"/>
        </w:rPr>
        <w:t xml:space="preserve">, </w:t>
      </w:r>
      <w:r>
        <w:rPr>
          <w:rtl w:val="true"/>
        </w:rPr>
        <w:t xml:space="preserve">קרי נמוכים באופן משמעותי מהראוי בנסיבות העניין </w:t>
      </w:r>
      <w:r>
        <w:rPr>
          <w:rtl w:val="true"/>
        </w:rPr>
        <w:t>–</w:t>
      </w:r>
      <w:r>
        <w:rPr>
          <w:rtl w:val="true"/>
        </w:rPr>
        <w:t xml:space="preserve"> במיוחד באישום השני </w:t>
      </w:r>
      <w:r>
        <w:rPr>
          <w:rtl w:val="true"/>
        </w:rPr>
        <w:t>–</w:t>
      </w:r>
      <w:r>
        <w:rPr>
          <w:rtl w:val="true"/>
        </w:rPr>
        <w:t xml:space="preserve"> וזאת ללא כל הצדקה או הנמקה</w:t>
      </w:r>
      <w:r>
        <w:rPr>
          <w:rtl w:val="true"/>
        </w:rPr>
        <w:t xml:space="preserve">, </w:t>
      </w:r>
      <w:r>
        <w:rPr>
          <w:rtl w:val="true"/>
        </w:rPr>
        <w:t>ותוך יישום לקוי של הפסיקה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לגישת המדינה</w:t>
      </w:r>
      <w:r>
        <w:rPr>
          <w:rtl w:val="true"/>
        </w:rPr>
        <w:t xml:space="preserve">, </w:t>
      </w:r>
      <w:r>
        <w:rPr>
          <w:rtl w:val="true"/>
        </w:rPr>
        <w:t xml:space="preserve">מתחם שגבולו העליון </w:t>
      </w:r>
      <w:r>
        <w:rPr>
          <w:rtl w:val="true"/>
        </w:rPr>
        <w:t>"</w:t>
      </w:r>
      <w:r>
        <w:rPr>
          <w:rtl w:val="true"/>
        </w:rPr>
        <w:t>נמוך בהרבה</w:t>
      </w:r>
      <w:r>
        <w:rPr>
          <w:rtl w:val="true"/>
        </w:rPr>
        <w:t xml:space="preserve">" </w:t>
      </w:r>
      <w:r>
        <w:rPr>
          <w:rtl w:val="true"/>
        </w:rPr>
        <w:t>מהעונש המרבי על עבירת מין אחת אינו מתחשב בפגיעה הקשה והבלתי</w:t>
      </w:r>
      <w:r>
        <w:rPr>
          <w:rtl w:val="true"/>
        </w:rPr>
        <w:t>-</w:t>
      </w:r>
      <w:r>
        <w:rPr>
          <w:rtl w:val="true"/>
        </w:rPr>
        <w:t>הפיכה בקורבנות העבירה</w:t>
      </w:r>
      <w:r>
        <w:rPr>
          <w:rtl w:val="true"/>
        </w:rPr>
        <w:t xml:space="preserve">; </w:t>
      </w:r>
      <w:r>
        <w:rPr>
          <w:rtl w:val="true"/>
        </w:rPr>
        <w:t>גורם לפיחות בלתי</w:t>
      </w:r>
      <w:r>
        <w:rPr>
          <w:rtl w:val="true"/>
        </w:rPr>
        <w:t>-</w:t>
      </w:r>
      <w:r>
        <w:rPr>
          <w:rtl w:val="true"/>
        </w:rPr>
        <w:t>ראוי בחומרת המעשים ובחשיבות הערכים המוגנים</w:t>
      </w:r>
      <w:r>
        <w:rPr>
          <w:rtl w:val="true"/>
        </w:rPr>
        <w:t xml:space="preserve">; </w:t>
      </w:r>
      <w:r>
        <w:rPr>
          <w:rtl w:val="true"/>
        </w:rPr>
        <w:t>ומתעלם מהצורך ליישם את מדיניות הענישה הנהוגה בהתאם למספר המתלוננות והמעשים במקרה הפרטני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נטען כי בעצם החזקתם וצריכתם של חומרים פורנוגרפיים יש חומרה יתרה</w:t>
      </w:r>
      <w:r>
        <w:rPr>
          <w:rtl w:val="true"/>
        </w:rPr>
        <w:t xml:space="preserve">, </w:t>
      </w:r>
      <w:r>
        <w:rPr>
          <w:rtl w:val="true"/>
        </w:rPr>
        <w:t>אשר יש לתת לה ביטוי בגזירת דינו של המערער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 נטען</w:t>
      </w:r>
      <w:r>
        <w:rPr>
          <w:rtl w:val="true"/>
        </w:rPr>
        <w:t xml:space="preserve">, </w:t>
      </w:r>
      <w:r>
        <w:rPr>
          <w:rtl w:val="true"/>
        </w:rPr>
        <w:t>כי יש לגזור את עונשו של המערער בחלקו העליון של המתחם</w:t>
      </w:r>
      <w:r>
        <w:rPr>
          <w:rtl w:val="true"/>
        </w:rPr>
        <w:t xml:space="preserve">, </w:t>
      </w:r>
      <w:r>
        <w:rPr>
          <w:rtl w:val="true"/>
        </w:rPr>
        <w:t>ולא באמצעיתו</w:t>
      </w:r>
      <w:r>
        <w:rPr>
          <w:rtl w:val="true"/>
        </w:rPr>
        <w:t xml:space="preserve">: </w:t>
      </w:r>
      <w:r>
        <w:rPr>
          <w:rtl w:val="true"/>
        </w:rPr>
        <w:t>בית המשפט המחוזי לא נימק מדוע נמנע מלעשות כן</w:t>
      </w:r>
      <w:r>
        <w:rPr>
          <w:rtl w:val="true"/>
        </w:rPr>
        <w:t xml:space="preserve">, </w:t>
      </w:r>
      <w:r>
        <w:rPr>
          <w:rtl w:val="true"/>
        </w:rPr>
        <w:t>אף שהדבר אינו מתיישב עם קביעותיו לעניין משקלן המוגבל של הנסיבות האישיות והצורך בהרתעת היחיד והרבים</w:t>
      </w:r>
      <w:r>
        <w:rPr>
          <w:rtl w:val="true"/>
        </w:rPr>
        <w:t xml:space="preserve">, </w:t>
      </w:r>
      <w:r>
        <w:rPr>
          <w:rtl w:val="true"/>
        </w:rPr>
        <w:t>או עם יכולתו לחרוג מהמתחם שקבע נוכח מסוכנותו של המערער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נטען כי יש לתת משקל רב יותר לפגיעה המועצמת באחייניתו ובבתו של המערער</w:t>
      </w:r>
      <w:r>
        <w:rPr>
          <w:rtl w:val="true"/>
        </w:rPr>
        <w:t xml:space="preserve">, </w:t>
      </w:r>
      <w:r>
        <w:rPr>
          <w:rtl w:val="true"/>
        </w:rPr>
        <w:t>בכך שנדרשו להעיד במשפטו בשל כפירתו הגורפת</w:t>
      </w:r>
      <w:r>
        <w:rPr>
          <w:rtl w:val="true"/>
        </w:rPr>
        <w:t xml:space="preserve">, </w:t>
      </w:r>
      <w:r>
        <w:rPr>
          <w:rtl w:val="true"/>
        </w:rPr>
        <w:t>כמו גם לפגיעה הנוספת בנכדתו בכך שהעז להטיל עליה את האחריות למעשיו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נטען כי גם בגזירת עונש כמעט</w:t>
      </w:r>
      <w:r>
        <w:rPr>
          <w:rtl w:val="true"/>
        </w:rPr>
        <w:t>-</w:t>
      </w:r>
      <w:r>
        <w:rPr>
          <w:rtl w:val="true"/>
        </w:rPr>
        <w:t>מרבי על עבירה אחת לא תמצה ערכאת הערעור את הדין עם המערער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כן נתבקשנו להגדיל את הפיצויים למתלוננות</w:t>
      </w:r>
      <w:r>
        <w:rPr>
          <w:rtl w:val="true"/>
        </w:rPr>
        <w:t xml:space="preserve">: </w:t>
      </w:r>
      <w:r>
        <w:rPr>
          <w:rtl w:val="true"/>
        </w:rPr>
        <w:t>לסכום המרבי המותר ביחס לנכדה</w:t>
      </w:r>
      <w:r>
        <w:rPr>
          <w:rtl w:val="true"/>
        </w:rPr>
        <w:t xml:space="preserve">, </w:t>
      </w:r>
      <w:r>
        <w:rPr>
          <w:rtl w:val="true"/>
        </w:rPr>
        <w:t xml:space="preserve">ובאופן משמעותי לאחיינית ולבת </w:t>
      </w:r>
      <w:r>
        <w:rPr>
          <w:rtl w:val="true"/>
        </w:rPr>
        <w:t>–</w:t>
      </w:r>
      <w:r>
        <w:rPr>
          <w:rtl w:val="true"/>
        </w:rPr>
        <w:t xml:space="preserve"> שיאפשר להן לממן הליך טיפולי לשיקומן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המערער טוען כי בגזר</w:t>
      </w:r>
      <w:r>
        <w:rPr>
          <w:rtl w:val="true"/>
        </w:rPr>
        <w:t>-</w:t>
      </w:r>
      <w:r>
        <w:rPr>
          <w:rtl w:val="true"/>
        </w:rPr>
        <w:t>הדין נקבעו מתחמי עונש מחמירים תוך סטייה ממדיניות הענישה הנהוגה ביחס למעשים דומים שבוצעו בנסיבות דומות</w:t>
      </w:r>
      <w:r>
        <w:rPr>
          <w:rtl w:val="true"/>
        </w:rPr>
        <w:t xml:space="preserve">, </w:t>
      </w:r>
      <w:r>
        <w:rPr>
          <w:rtl w:val="true"/>
        </w:rPr>
        <w:t>באופן החוטא להיגיון שביסוד הבניית שיקול הדעת השיפוטי בענישה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הפסיקה שנסקרה בגזר</w:t>
      </w:r>
      <w:r>
        <w:rPr>
          <w:rtl w:val="true"/>
        </w:rPr>
        <w:t>-</w:t>
      </w:r>
      <w:r>
        <w:rPr>
          <w:rtl w:val="true"/>
        </w:rPr>
        <w:t>הדין עסקה במקרים חמורים יותר</w:t>
      </w:r>
      <w:r>
        <w:rPr>
          <w:rtl w:val="true"/>
        </w:rPr>
        <w:t xml:space="preserve">, </w:t>
      </w:r>
      <w:r>
        <w:rPr>
          <w:rtl w:val="true"/>
        </w:rPr>
        <w:t xml:space="preserve">בעוד שהפסיקה במקרים אחרים </w:t>
      </w:r>
      <w:r>
        <w:rPr>
          <w:rtl w:val="true"/>
        </w:rPr>
        <w:t>–</w:t>
      </w:r>
      <w:r>
        <w:rPr>
          <w:rtl w:val="true"/>
        </w:rPr>
        <w:t xml:space="preserve"> הקרובים יותר לעניינו </w:t>
      </w:r>
      <w:r>
        <w:rPr>
          <w:rtl w:val="true"/>
        </w:rPr>
        <w:t>–</w:t>
      </w:r>
      <w:r>
        <w:rPr>
          <w:rtl w:val="true"/>
        </w:rPr>
        <w:t xml:space="preserve"> מלמדת על רף ענישה נמוך יותר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טוען המערער כי יש לגזור את עונשו בתחתית המתחם שייקבע</w:t>
      </w:r>
      <w:r>
        <w:rPr>
          <w:rtl w:val="true"/>
        </w:rPr>
        <w:t xml:space="preserve">, </w:t>
      </w:r>
      <w:r>
        <w:rPr>
          <w:rtl w:val="true"/>
        </w:rPr>
        <w:t xml:space="preserve">שכן גזירתו באמצע המתחם אינה מתחשבת כראוי בגילו </w:t>
      </w:r>
      <w:r>
        <w:rPr>
          <w:rtl w:val="true"/>
        </w:rPr>
        <w:t>(</w:t>
      </w:r>
      <w:r>
        <w:rPr/>
        <w:t>71</w:t>
      </w:r>
      <w:r>
        <w:rPr>
          <w:rtl w:val="true"/>
        </w:rPr>
        <w:t xml:space="preserve">); </w:t>
      </w:r>
      <w:r>
        <w:rPr>
          <w:rtl w:val="true"/>
        </w:rPr>
        <w:t>במצבו הבריאותי</w:t>
      </w:r>
      <w:r>
        <w:rPr>
          <w:rtl w:val="true"/>
        </w:rPr>
        <w:t xml:space="preserve">; </w:t>
      </w:r>
      <w:r>
        <w:rPr>
          <w:rtl w:val="true"/>
        </w:rPr>
        <w:t>בתרומתו לקהילה</w:t>
      </w:r>
      <w:r>
        <w:rPr>
          <w:rtl w:val="true"/>
        </w:rPr>
        <w:t xml:space="preserve">; </w:t>
      </w:r>
      <w:r>
        <w:rPr>
          <w:rtl w:val="true"/>
        </w:rPr>
        <w:t>בהיותו ללא עבר פלילי</w:t>
      </w:r>
      <w:r>
        <w:rPr>
          <w:rtl w:val="true"/>
        </w:rPr>
        <w:t xml:space="preserve">; </w:t>
      </w:r>
      <w:r>
        <w:rPr>
          <w:rtl w:val="true"/>
        </w:rPr>
        <w:t>ובחלוף הזמן ביחס לחלק מהעבירות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בכך גם ניתן משקל</w:t>
      </w:r>
      <w:r>
        <w:rPr>
          <w:rtl w:val="true"/>
        </w:rPr>
        <w:t>-</w:t>
      </w:r>
      <w:r>
        <w:rPr>
          <w:rtl w:val="true"/>
        </w:rPr>
        <w:t>יתר להרתעת היחיד והרבים</w:t>
      </w:r>
      <w:r>
        <w:rPr>
          <w:rtl w:val="true"/>
        </w:rPr>
        <w:t xml:space="preserve">: </w:t>
      </w:r>
      <w:r>
        <w:rPr>
          <w:rtl w:val="true"/>
        </w:rPr>
        <w:t xml:space="preserve">בקביעה כי </w:t>
      </w:r>
      <w:r>
        <w:rPr>
          <w:rtl w:val="true"/>
        </w:rPr>
        <w:t>"</w:t>
      </w:r>
      <w:r>
        <w:rPr>
          <w:rtl w:val="true"/>
        </w:rPr>
        <w:t>עיוותי חשיבה</w:t>
      </w:r>
      <w:r>
        <w:rPr>
          <w:rtl w:val="true"/>
        </w:rPr>
        <w:t xml:space="preserve">" </w:t>
      </w:r>
      <w:r>
        <w:rPr>
          <w:rtl w:val="true"/>
        </w:rPr>
        <w:t>מצריכים את הרתעתו האישית יש היגיון מעגלי</w:t>
      </w:r>
      <w:r>
        <w:rPr>
          <w:rtl w:val="true"/>
        </w:rPr>
        <w:t xml:space="preserve">, </w:t>
      </w:r>
      <w:r>
        <w:rPr>
          <w:rtl w:val="true"/>
        </w:rPr>
        <w:t>שכן אלמלא עיוותים אלה לא היה מבצע את העבירות מלכתחילה</w:t>
      </w:r>
      <w:r>
        <w:rPr>
          <w:rtl w:val="true"/>
        </w:rPr>
        <w:t xml:space="preserve">;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 xml:space="preserve">ובהינתן שהרקע למעשיו הוא משיכה מינית לקטינות </w:t>
      </w:r>
      <w:r>
        <w:rPr>
          <w:rtl w:val="true"/>
        </w:rPr>
        <w:t>–</w:t>
      </w:r>
      <w:r>
        <w:rPr>
          <w:rtl w:val="true"/>
        </w:rPr>
        <w:t xml:space="preserve"> כאמור בהערכת המסוכנות </w:t>
      </w:r>
      <w:r>
        <w:rPr>
          <w:rtl w:val="true"/>
        </w:rPr>
        <w:t>–</w:t>
      </w:r>
      <w:r>
        <w:rPr>
          <w:rtl w:val="true"/>
        </w:rPr>
        <w:t xml:space="preserve">  רק טיפול יוכל למנוע את הישנותם</w:t>
      </w:r>
      <w:r>
        <w:rPr>
          <w:rtl w:val="true"/>
        </w:rPr>
        <w:t xml:space="preserve">, </w:t>
      </w:r>
      <w:r>
        <w:rPr>
          <w:rtl w:val="true"/>
        </w:rPr>
        <w:t>ואילו ענישה מוחשית ומחמירה לא תהווה הרתעה אפקטיבית כלפיו או כלפי אחרים במצבו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 נטען</w:t>
      </w:r>
      <w:r>
        <w:rPr>
          <w:rtl w:val="true"/>
        </w:rPr>
        <w:t xml:space="preserve">, </w:t>
      </w:r>
      <w:r>
        <w:rPr>
          <w:rtl w:val="true"/>
        </w:rPr>
        <w:t>כי בשונה מעמדתו בבית המשפט המחוזי</w:t>
      </w:r>
      <w:r>
        <w:rPr>
          <w:rtl w:val="true"/>
        </w:rPr>
        <w:t xml:space="preserve">, </w:t>
      </w:r>
      <w:r>
        <w:rPr>
          <w:rtl w:val="true"/>
        </w:rPr>
        <w:t>המערער עובר כיום תהליך של שינוי הכולל לקיחת אחריות ורצון להשתקם</w:t>
      </w:r>
      <w:r>
        <w:rPr>
          <w:rtl w:val="true"/>
        </w:rPr>
        <w:t xml:space="preserve">, </w:t>
      </w:r>
      <w:r>
        <w:rPr>
          <w:rtl w:val="true"/>
        </w:rPr>
        <w:t>וכי יש לעודדו להתקדם ולהתמיד בכך על</w:t>
      </w:r>
      <w:r>
        <w:rPr>
          <w:rtl w:val="true"/>
        </w:rPr>
        <w:t>-</w:t>
      </w:r>
      <w:r>
        <w:rPr>
          <w:rtl w:val="true"/>
        </w:rPr>
        <w:t>ידי הקלה בעונשו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כוחו אף ציינה בפנינו כי כיום הוא מודה בביצוע העבירות ויש ללמוד על נטילת אחריות גם מעצם אי</w:t>
      </w:r>
      <w:r>
        <w:rPr>
          <w:rtl w:val="true"/>
        </w:rPr>
        <w:t>-</w:t>
      </w:r>
      <w:r>
        <w:rPr>
          <w:rtl w:val="true"/>
        </w:rPr>
        <w:t>ערעורו על הכרעת הדין ומתשלום מלוא הפיצוי שחויב בו למתלוננות</w:t>
      </w:r>
      <w:r>
        <w:rPr>
          <w:rtl w:val="true"/>
        </w:rPr>
        <w:t xml:space="preserve">. </w:t>
      </w:r>
      <w:r>
        <w:rPr>
          <w:rtl w:val="true"/>
        </w:rPr>
        <w:t>משכך נטען</w:t>
      </w:r>
      <w:r>
        <w:rPr>
          <w:rtl w:val="true"/>
        </w:rPr>
        <w:t xml:space="preserve">, </w:t>
      </w:r>
      <w:r>
        <w:rPr>
          <w:rtl w:val="true"/>
        </w:rPr>
        <w:t>כי אף לא היה מקום לקבוע שהערכת המסוכנות שוללת לעת הזו את אפשרות שיקומו</w:t>
      </w:r>
      <w:r>
        <w:rPr>
          <w:rtl w:val="true"/>
        </w:rPr>
        <w:t xml:space="preserve">, </w:t>
      </w:r>
      <w:r>
        <w:rPr>
          <w:rtl w:val="true"/>
        </w:rPr>
        <w:t>או לראות בה שיקול לחומרה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 המערער התבטא בפנינו כי הוא מתבייש במעשיו ומבקש לשוב לחיק משפחתו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המדינה ביקשה שלא ליתן משקל לאמירתו זו בפנינו</w:t>
      </w:r>
      <w:r>
        <w:rPr>
          <w:rtl w:val="true"/>
        </w:rPr>
        <w:t xml:space="preserve">, </w:t>
      </w:r>
      <w:r>
        <w:rPr>
          <w:rtl w:val="true"/>
        </w:rPr>
        <w:t>ובאת</w:t>
      </w:r>
      <w:r>
        <w:rPr>
          <w:rtl w:val="true"/>
        </w:rPr>
        <w:t>-</w:t>
      </w:r>
      <w:r>
        <w:rPr>
          <w:rtl w:val="true"/>
        </w:rPr>
        <w:t xml:space="preserve">כוח המתלוננות הוסיפה כי בראייתן האמירה היא בבחינת </w:t>
      </w:r>
      <w:r>
        <w:rPr>
          <w:rtl w:val="true"/>
        </w:rPr>
        <w:t>"</w:t>
      </w:r>
      <w:r>
        <w:rPr>
          <w:rtl w:val="true"/>
        </w:rPr>
        <w:t>מעט מדי</w:t>
      </w:r>
      <w:r>
        <w:rPr>
          <w:rtl w:val="true"/>
        </w:rPr>
        <w:t xml:space="preserve">, </w:t>
      </w:r>
      <w:r>
        <w:rPr>
          <w:rtl w:val="true"/>
        </w:rPr>
        <w:t>מאוחר מדי</w:t>
      </w:r>
      <w:r>
        <w:rPr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אקדים תוצאה להנמקה ואציע לחברי ולחברתי שנקבל את הערעור על קולת העונש ונדחה את הערעור על חומרתו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תוצאה זו מתחייבת במקרה החמור והחריג שלפנינו המחייב התערבות בעונש שנגזר על המערער </w:t>
      </w:r>
      <w:r>
        <w:rPr>
          <w:rtl w:val="true"/>
        </w:rPr>
        <w:t>(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8299/19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31.5.2020</w:t>
      </w:r>
      <w:r>
        <w:rPr>
          <w:rtl w:val="true"/>
        </w:rPr>
        <w:t>)).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>ראוי היה לקבוע מתחמי ענישה לשלושת האישומים העיקריים</w:t>
      </w:r>
      <w:r>
        <w:rPr>
          <w:rtl w:val="true"/>
        </w:rPr>
        <w:t xml:space="preserve">, </w:t>
      </w:r>
      <w:r>
        <w:rPr>
          <w:rtl w:val="true"/>
        </w:rPr>
        <w:t>תחילה בכך שהרף התחתון של כל מתחם נמוך מהעונש המזערי על עבירת המין החמורה ביותר באותו אישום</w:t>
      </w:r>
      <w:r>
        <w:rPr>
          <w:rtl w:val="true"/>
        </w:rPr>
        <w:t xml:space="preserve">, </w:t>
      </w:r>
      <w:r>
        <w:rPr>
          <w:rtl w:val="true"/>
        </w:rPr>
        <w:t xml:space="preserve">כעולה מהוראת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:</w:t>
      </w:r>
    </w:p>
    <w:p>
      <w:pPr>
        <w:pStyle w:val="Ruller5"/>
        <w:spacing w:before="0" w:after="420"/>
        <w:ind w:start="1508" w:end="1134"/>
        <w:jc w:val="both"/>
        <w:rPr/>
      </w:pP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;Arial" w:cs="Arial TUR;Arial"/>
          <w:rtl w:val="true"/>
        </w:rPr>
        <w:t xml:space="preserve"> </w:t>
      </w:r>
      <w:r>
        <w:rPr/>
        <w:t>345</w:t>
      </w:r>
      <w:r>
        <w:rPr>
          <w:rtl w:val="true"/>
        </w:rPr>
        <w:t xml:space="preserve">, </w:t>
      </w:r>
      <w:r>
        <w:rPr/>
        <w:t>348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),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351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),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שיירשמו</w:t>
      </w:r>
      <w:r>
        <w:rPr>
          <w:rtl w:val="true"/>
        </w:rPr>
        <w:t xml:space="preserve">,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מכאן אנו למדים כי העונש על עבירות המין בהן הורשע המערער לא יפחת מרבע מהעונש המרבי שנקבע להן</w:t>
      </w:r>
      <w:r>
        <w:rPr>
          <w:rtl w:val="true"/>
        </w:rPr>
        <w:t xml:space="preserve">, </w:t>
      </w:r>
      <w:r>
        <w:rPr>
          <w:rtl w:val="true"/>
        </w:rPr>
        <w:t xml:space="preserve">אלא בהתקיים </w:t>
      </w:r>
      <w:r>
        <w:rPr>
          <w:rtl w:val="true"/>
        </w:rPr>
        <w:t>"</w:t>
      </w:r>
      <w:r>
        <w:rPr>
          <w:rtl w:val="true"/>
        </w:rPr>
        <w:t>טעמים מיוחדים</w:t>
      </w:r>
      <w:r>
        <w:rPr>
          <w:rtl w:val="true"/>
        </w:rPr>
        <w:t xml:space="preserve">".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 xml:space="preserve">על הוראה זו לסמן עבורנו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tl w:val="true"/>
        </w:rPr>
        <w:t xml:space="preserve"> לעבירות אלה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4876/15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34-31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 והאסמכתאות שם </w:t>
      </w:r>
      <w:r>
        <w:rPr>
          <w:rtl w:val="true"/>
        </w:rPr>
        <w:t>(</w:t>
      </w:r>
      <w:r>
        <w:rPr/>
        <w:t>3.12.2015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כפועל יוצא מכך</w:t>
      </w:r>
      <w:r>
        <w:rPr>
          <w:rtl w:val="true"/>
        </w:rPr>
        <w:t xml:space="preserve">, </w:t>
      </w:r>
      <w:r>
        <w:rPr>
          <w:rtl w:val="true"/>
        </w:rPr>
        <w:t>הקלה ב</w:t>
      </w:r>
      <w:r>
        <w:rPr>
          <w:rtl w:val="true"/>
        </w:rPr>
        <w:t>"</w:t>
      </w:r>
      <w:r>
        <w:rPr>
          <w:rtl w:val="true"/>
        </w:rPr>
        <w:t>עונש המזערי</w:t>
      </w:r>
      <w:r>
        <w:rPr>
          <w:rtl w:val="true"/>
        </w:rPr>
        <w:t xml:space="preserve">" </w:t>
      </w:r>
      <w:r>
        <w:rPr>
          <w:rtl w:val="true"/>
        </w:rPr>
        <w:t>תהווה חריגה לקולה ממתחם העונש</w:t>
      </w:r>
      <w:r>
        <w:rPr>
          <w:rtl w:val="true"/>
        </w:rPr>
        <w:t xml:space="preserve">, </w:t>
      </w:r>
      <w:r>
        <w:rPr>
          <w:rtl w:val="true"/>
        </w:rPr>
        <w:t>המותרת רק בהתקיים טעמים מיוחדים</w:t>
      </w:r>
      <w:r>
        <w:rPr>
          <w:rtl w:val="true"/>
        </w:rPr>
        <w:t xml:space="preserve">, </w:t>
      </w:r>
      <w:r>
        <w:rPr>
          <w:rtl w:val="true"/>
        </w:rPr>
        <w:t xml:space="preserve">ובכלל זה </w:t>
      </w:r>
      <w:r>
        <w:rPr>
          <w:rtl w:val="true"/>
        </w:rPr>
        <w:t>"</w:t>
      </w:r>
      <w:r>
        <w:rPr>
          <w:rtl w:val="true"/>
        </w:rPr>
        <w:t>סיכוי של ממש</w:t>
      </w:r>
      <w:r>
        <w:rPr>
          <w:rtl w:val="true"/>
        </w:rPr>
        <w:t xml:space="preserve">" </w:t>
      </w:r>
      <w:r>
        <w:rPr>
          <w:rtl w:val="true"/>
        </w:rPr>
        <w:t xml:space="preserve">להשתקם </w:t>
      </w:r>
      <w:r>
        <w:rPr>
          <w:rtl w:val="true"/>
        </w:rPr>
        <w:t>(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 xml:space="preserve">ומאחר שנקבע כי בעבירות מין כרוכה </w:t>
      </w:r>
      <w:r>
        <w:rPr>
          <w:rtl w:val="true"/>
        </w:rPr>
        <w:t>"</w:t>
      </w:r>
      <w:r>
        <w:rPr>
          <w:rtl w:val="true"/>
        </w:rPr>
        <w:t>חומרה יתרה</w:t>
      </w:r>
      <w:r>
        <w:rPr>
          <w:rtl w:val="true"/>
        </w:rPr>
        <w:t xml:space="preserve">", </w:t>
      </w:r>
      <w:r>
        <w:rPr>
          <w:rtl w:val="true"/>
        </w:rPr>
        <w:t xml:space="preserve">החריגה לקולה במקרים אלה תתאפשר רק אם יתקיימו בנוסף </w:t>
      </w:r>
      <w:r>
        <w:rPr>
          <w:rtl w:val="true"/>
        </w:rPr>
        <w:t>"</w:t>
      </w:r>
      <w:r>
        <w:rPr>
          <w:rtl w:val="true"/>
        </w:rPr>
        <w:t>נסיבות מיוחדות ויוצאות דופן</w:t>
      </w:r>
      <w:r>
        <w:rPr>
          <w:rtl w:val="true"/>
        </w:rPr>
        <w:t>" (</w:t>
      </w: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1079/16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נחמן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tl w:val="true"/>
        </w:rPr>
        <w:t>(</w:t>
      </w:r>
      <w:r>
        <w:rPr/>
        <w:t>1.8.2016</w:t>
      </w:r>
      <w:r>
        <w:rPr>
          <w:rtl w:val="true"/>
        </w:rPr>
        <w:t>)).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: </w:t>
      </w:r>
      <w:r>
        <w:rPr>
          <w:rtl w:val="true"/>
        </w:rPr>
        <w:t xml:space="preserve">בנכדתו ובאחייניתו המערער ביצע עבירות מין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מרובות</w:t>
      </w:r>
      <w:r>
        <w:rPr>
          <w:rtl w:val="true"/>
        </w:rPr>
        <w:t xml:space="preserve"> שבצדן עונש מזערי</w:t>
      </w:r>
      <w:r>
        <w:rPr>
          <w:rtl w:val="true"/>
        </w:rPr>
        <w:t xml:space="preserve">, </w:t>
      </w:r>
      <w:r>
        <w:rPr>
          <w:rtl w:val="true"/>
        </w:rPr>
        <w:t>ולגישתי יש לתת לכך ביטוי בקביעת הרף התחתון של מתחמי העונש הרלוונטיים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אזכיר</w:t>
      </w:r>
      <w:r>
        <w:rPr>
          <w:rtl w:val="true"/>
        </w:rPr>
        <w:t xml:space="preserve">, </w:t>
      </w:r>
      <w:r>
        <w:rPr>
          <w:rtl w:val="true"/>
        </w:rPr>
        <w:t>כי במקרה קודם ראיתי להחמיר בעונש</w:t>
      </w:r>
      <w:r>
        <w:rPr>
          <w:rtl w:val="true"/>
        </w:rPr>
        <w:t xml:space="preserve">, </w:t>
      </w:r>
      <w:r>
        <w:rPr>
          <w:rtl w:val="true"/>
        </w:rPr>
        <w:t xml:space="preserve">בין השאר מאחר שנגזר מבלי שהערכאה הדיונית התחשבה בכך שבוצעו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</w:t>
      </w:r>
      <w:r>
        <w:rPr>
          <w:rtl w:val="true"/>
        </w:rPr>
        <w:t xml:space="preserve"> עבירות של מעשה מגונה בחסרת</w:t>
      </w:r>
      <w:r>
        <w:rPr>
          <w:rtl w:val="true"/>
        </w:rPr>
        <w:t>-</w:t>
      </w:r>
      <w:r>
        <w:rPr>
          <w:rtl w:val="true"/>
        </w:rPr>
        <w:t>ישע</w:t>
      </w:r>
      <w:r>
        <w:rPr>
          <w:rtl w:val="true"/>
        </w:rPr>
        <w:t>, "</w:t>
      </w:r>
      <w:r>
        <w:rPr>
          <w:rtl w:val="true"/>
        </w:rPr>
        <w:t>באופן המשנה את התמונה העונשית</w:t>
      </w:r>
      <w:r>
        <w:rPr>
          <w:rtl w:val="true"/>
        </w:rPr>
        <w:t>" (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8299/19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קל וחומר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 ביצוע עבירות מרובות משליך על קביעת הרף התחתון של מתחם העונש ל</w:t>
      </w:r>
      <w:r>
        <w:rPr>
          <w:rtl w:val="true"/>
        </w:rPr>
        <w:t>-"</w:t>
      </w:r>
      <w:r>
        <w:rPr>
          <w:rtl w:val="true"/>
        </w:rPr>
        <w:t>אירוע</w:t>
      </w:r>
      <w:r>
        <w:rPr>
          <w:rtl w:val="true"/>
        </w:rPr>
        <w:t>" (</w:t>
      </w:r>
      <w:r>
        <w:rPr>
          <w:rtl w:val="true"/>
        </w:rPr>
        <w:t xml:space="preserve">לפי 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 xml:space="preserve">הכולל יותר מעבירה אחת מאלה המנויות </w:t>
      </w:r>
      <w:hyperlink r:id="rId6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 כשמדובר באותו סעיף עבירה והן בסעיפי עבירה שונים</w:t>
      </w:r>
      <w:r>
        <w:rPr>
          <w:rtl w:val="true"/>
        </w:rPr>
        <w:t xml:space="preserve">; </w:t>
      </w:r>
      <w:r>
        <w:rPr>
          <w:rtl w:val="true"/>
        </w:rPr>
        <w:t xml:space="preserve">ובין אם מספר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</w:t>
      </w:r>
      <w:r>
        <w:rPr>
          <w:rtl w:val="true"/>
        </w:rPr>
        <w:t xml:space="preserve"> העבירה נקוב בכתב האישום</w:t>
      </w:r>
      <w:r>
        <w:rPr>
          <w:rtl w:val="true"/>
        </w:rPr>
        <w:t xml:space="preserve">, </w:t>
      </w:r>
      <w:r>
        <w:rPr>
          <w:rtl w:val="true"/>
        </w:rPr>
        <w:t>ובין אם הוא בלתי</w:t>
      </w:r>
      <w:r>
        <w:rPr>
          <w:rtl w:val="true"/>
        </w:rPr>
        <w:t>-</w:t>
      </w:r>
      <w:r>
        <w:rPr>
          <w:rtl w:val="true"/>
        </w:rPr>
        <w:t xml:space="preserve">מסוים </w:t>
      </w:r>
      <w:r>
        <w:rPr>
          <w:rtl w:val="true"/>
        </w:rPr>
        <w:t>("</w:t>
      </w:r>
      <w:r>
        <w:rPr>
          <w:rtl w:val="true"/>
        </w:rPr>
        <w:t>ריבוי עבירות</w:t>
      </w:r>
      <w:r>
        <w:rPr>
          <w:rtl w:val="true"/>
        </w:rPr>
        <w:t>").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hyperlink r:id="rId6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עצמו </w:t>
      </w:r>
      <w:r>
        <w:rPr>
          <w:rtl w:val="true"/>
        </w:rPr>
        <w:t>"</w:t>
      </w:r>
      <w:r>
        <w:rPr>
          <w:rtl w:val="true"/>
        </w:rPr>
        <w:t>שותק</w:t>
      </w:r>
      <w:r>
        <w:rPr>
          <w:rtl w:val="true"/>
        </w:rPr>
        <w:t xml:space="preserve">" </w:t>
      </w:r>
      <w:r>
        <w:rPr>
          <w:rtl w:val="true"/>
        </w:rPr>
        <w:t xml:space="preserve">בסוגיה זו </w:t>
      </w:r>
      <w:r>
        <w:rPr>
          <w:rtl w:val="true"/>
        </w:rPr>
        <w:t>–</w:t>
      </w:r>
      <w:r>
        <w:rPr>
          <w:rtl w:val="true"/>
        </w:rPr>
        <w:t xml:space="preserve"> ואף שנחקק לפני למעלה מעשרים שנה</w:t>
      </w:r>
      <w:r>
        <w:rPr>
          <w:rtl w:val="true"/>
        </w:rPr>
        <w:t xml:space="preserve">, </w:t>
      </w:r>
      <w:r>
        <w:rPr>
          <w:rtl w:val="true"/>
        </w:rPr>
        <w:t xml:space="preserve">והרשעה בעבירות מין מרובות אינה בגדר חריג </w:t>
      </w:r>
      <w:r>
        <w:rPr>
          <w:rtl w:val="true"/>
        </w:rPr>
        <w:t>–</w:t>
      </w:r>
      <w:r>
        <w:rPr>
          <w:rtl w:val="true"/>
        </w:rPr>
        <w:t xml:space="preserve"> היא אף טרם נידונה לעומקה בפסיקה</w:t>
      </w:r>
      <w:r>
        <w:rPr>
          <w:rtl w:val="true"/>
        </w:rPr>
        <w:t xml:space="preserve">. </w:t>
      </w:r>
      <w:r>
        <w:rPr>
          <w:rtl w:val="true"/>
        </w:rPr>
        <w:t>מהמקרים הבודדים בהם הוזכרה</w:t>
      </w:r>
      <w:r>
        <w:rPr>
          <w:rtl w:val="true"/>
        </w:rPr>
        <w:t xml:space="preserve">, </w:t>
      </w:r>
      <w:r>
        <w:rPr>
          <w:rtl w:val="true"/>
        </w:rPr>
        <w:t>אגב אורחא</w:t>
      </w:r>
      <w:r>
        <w:rPr>
          <w:rtl w:val="true"/>
        </w:rPr>
        <w:t xml:space="preserve">, </w:t>
      </w:r>
      <w:r>
        <w:rPr>
          <w:rtl w:val="true"/>
        </w:rPr>
        <w:t>עולות שתי גישות מנוגדות</w:t>
      </w:r>
      <w:r>
        <w:rPr>
          <w:rtl w:val="true"/>
        </w:rPr>
        <w:t xml:space="preserve">: </w:t>
      </w:r>
      <w:r>
        <w:rPr>
          <w:rtl w:val="true"/>
        </w:rPr>
        <w:t xml:space="preserve">האחת קובעת את העונש המזערי במשותף לכל העבירות וללא תלות במספרן </w:t>
      </w:r>
      <w:r>
        <w:rPr>
          <w:rtl w:val="true"/>
        </w:rPr>
        <w:t>–</w:t>
      </w:r>
      <w:r>
        <w:rPr>
          <w:rtl w:val="true"/>
        </w:rPr>
        <w:t xml:space="preserve"> קרי</w:t>
      </w:r>
      <w:r>
        <w:rPr>
          <w:rtl w:val="true"/>
        </w:rPr>
        <w:t xml:space="preserve">, </w:t>
      </w:r>
      <w:r>
        <w:rPr>
          <w:rtl w:val="true"/>
        </w:rPr>
        <w:t xml:space="preserve">לפי עבירת המין החמורה ביותר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החופפת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והאחרת לכל מעשה עבירה בנפרד</w:t>
      </w:r>
      <w:r>
        <w:rPr>
          <w:rtl w:val="true"/>
        </w:rPr>
        <w:t xml:space="preserve">, </w:t>
      </w:r>
      <w:r>
        <w:rPr>
          <w:rtl w:val="true"/>
        </w:rPr>
        <w:t xml:space="preserve">היינו לפי עונשיהם המזעריים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המצטברת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נראה שלגישה </w:t>
      </w:r>
      <w:r>
        <w:rPr>
          <w:rtl w:val="true"/>
        </w:rPr>
        <w:t>"</w:t>
      </w:r>
      <w:r>
        <w:rPr>
          <w:rtl w:val="true"/>
        </w:rPr>
        <w:t>המצטברת</w:t>
      </w:r>
      <w:r>
        <w:rPr>
          <w:rtl w:val="true"/>
        </w:rPr>
        <w:t xml:space="preserve">" </w:t>
      </w:r>
      <w:r>
        <w:rPr>
          <w:rtl w:val="true"/>
        </w:rPr>
        <w:t xml:space="preserve">יש יותר מסתייגים מתומכים </w:t>
      </w:r>
      <w:r>
        <w:rPr>
          <w:rtl w:val="true"/>
        </w:rPr>
        <w:t>(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9603/09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 xml:space="preserve">וחוות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מלצר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>) (</w:t>
      </w:r>
      <w:r>
        <w:rPr/>
        <w:t>27.9.2011</w:t>
      </w:r>
      <w:r>
        <w:rPr>
          <w:rtl w:val="true"/>
        </w:rPr>
        <w:t xml:space="preserve">)), </w:t>
      </w:r>
      <w:r>
        <w:rPr>
          <w:rtl w:val="true"/>
        </w:rPr>
        <w:t xml:space="preserve">ואילו הגישה </w:t>
      </w:r>
      <w:r>
        <w:rPr>
          <w:rtl w:val="true"/>
        </w:rPr>
        <w:t>"</w:t>
      </w:r>
      <w:r>
        <w:rPr>
          <w:rtl w:val="true"/>
        </w:rPr>
        <w:t>החופפת</w:t>
      </w:r>
      <w:r>
        <w:rPr>
          <w:rtl w:val="true"/>
        </w:rPr>
        <w:t xml:space="preserve">" </w:t>
      </w:r>
      <w:r>
        <w:rPr>
          <w:rtl w:val="true"/>
        </w:rPr>
        <w:t>תוארה כ</w:t>
      </w:r>
      <w:r>
        <w:rPr>
          <w:rtl w:val="true"/>
        </w:rPr>
        <w:t>-"</w:t>
      </w:r>
      <w:r>
        <w:rPr>
          <w:rtl w:val="true"/>
        </w:rPr>
        <w:t>פרקטיקה נוהגת</w:t>
      </w:r>
      <w:r>
        <w:rPr>
          <w:rtl w:val="true"/>
        </w:rPr>
        <w:t>" (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6662/13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2.3.2015</w:t>
      </w:r>
      <w:r>
        <w:rPr>
          <w:rtl w:val="true"/>
        </w:rPr>
        <w:t xml:space="preserve">)), </w:t>
      </w:r>
      <w:r>
        <w:rPr>
          <w:rtl w:val="true"/>
        </w:rPr>
        <w:t>כפי שגם ציין בית המשפט המחוזי בקביעת מתחם העונש לאישום הראשון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אלא שההסתייגות מהגישה המצטברת הובעה בהקשר מעט שונה</w:t>
      </w:r>
      <w:r>
        <w:rPr>
          <w:rtl w:val="true"/>
        </w:rPr>
        <w:t xml:space="preserve">, </w:t>
      </w:r>
      <w:r>
        <w:rPr>
          <w:rtl w:val="true"/>
        </w:rPr>
        <w:t>ובהסתמך על ברירת</w:t>
      </w:r>
      <w:r>
        <w:rPr>
          <w:rtl w:val="true"/>
        </w:rPr>
        <w:t>-</w:t>
      </w:r>
      <w:r>
        <w:rPr>
          <w:rtl w:val="true"/>
        </w:rPr>
        <w:t>המחדל הכללית לפיה עונשי מאסר בפועל ירוצו בחופף</w:t>
      </w:r>
      <w:r>
        <w:rPr>
          <w:rtl w:val="true"/>
        </w:rPr>
        <w:t xml:space="preserve">, </w:t>
      </w:r>
      <w:r>
        <w:rPr>
          <w:rtl w:val="true"/>
        </w:rPr>
        <w:t xml:space="preserve">בהתאם </w:t>
      </w:r>
      <w:hyperlink r:id="rId70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אשר בוטל כחלק מהתיקון לחוק זה שעניינו הבניית שיקול הדעת השיפוטי בענישה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לחוק העונשין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),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113</w:t>
      </w:r>
      <w:r>
        <w:rPr>
          <w:rtl w:val="true"/>
        </w:rPr>
        <w:t xml:space="preserve">)). </w:t>
      </w:r>
      <w:r>
        <w:rPr>
          <w:rtl w:val="true"/>
        </w:rPr>
        <w:t>מאז טרם יושמה ברירת</w:t>
      </w:r>
      <w:r>
        <w:rPr>
          <w:rtl w:val="true"/>
        </w:rPr>
        <w:t>-</w:t>
      </w:r>
      <w:r>
        <w:rPr>
          <w:rtl w:val="true"/>
        </w:rPr>
        <w:t>המחדל האמורה ביחס לקביעת מתחמי ענישה</w:t>
      </w:r>
      <w:r>
        <w:rPr>
          <w:rtl w:val="true"/>
        </w:rPr>
        <w:t xml:space="preserve">, </w:t>
      </w:r>
      <w:r>
        <w:rPr>
          <w:rtl w:val="true"/>
        </w:rPr>
        <w:t xml:space="preserve">כאשר עצם ההבחנה בין חפיפה להצטברות רלוונטית לכאורה רק לגזירת עונשים נפרדים לאירועים הכוללים כמה עבירות כל אחד </w:t>
      </w:r>
      <w:r>
        <w:rPr>
          <w:rtl w:val="true"/>
        </w:rPr>
        <w:t>(</w:t>
      </w:r>
      <w:hyperlink r:id="rId7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כן אזכיר</w:t>
      </w:r>
      <w:r>
        <w:rPr>
          <w:rtl w:val="true"/>
        </w:rPr>
        <w:t xml:space="preserve">, </w:t>
      </w:r>
      <w:r>
        <w:rPr>
          <w:rtl w:val="true"/>
        </w:rPr>
        <w:t xml:space="preserve">כי גם לפי 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 ניתן היה לסטות מברירת</w:t>
      </w:r>
      <w:r>
        <w:rPr>
          <w:rtl w:val="true"/>
        </w:rPr>
        <w:t>-</w:t>
      </w:r>
      <w:r>
        <w:rPr>
          <w:rtl w:val="true"/>
        </w:rPr>
        <w:t>המחדל בהוראה מפורשת של בית המשפט</w:t>
      </w:r>
      <w:r>
        <w:rPr>
          <w:rtl w:val="true"/>
        </w:rPr>
        <w:t xml:space="preserve">, </w:t>
      </w:r>
      <w:r>
        <w:rPr>
          <w:rtl w:val="true"/>
        </w:rPr>
        <w:t>ואף נקבע כי ברירת</w:t>
      </w:r>
      <w:r>
        <w:rPr>
          <w:rtl w:val="true"/>
        </w:rPr>
        <w:t>-</w:t>
      </w:r>
      <w:r>
        <w:rPr>
          <w:rtl w:val="true"/>
        </w:rPr>
        <w:t xml:space="preserve">המחדל </w:t>
      </w:r>
      <w:r>
        <w:rPr>
          <w:rtl w:val="true"/>
        </w:rPr>
        <w:t>"</w:t>
      </w:r>
      <w:r>
        <w:rPr>
          <w:rtl w:val="true"/>
        </w:rPr>
        <w:t>לא נתקבלה</w:t>
      </w:r>
      <w:r>
        <w:rPr>
          <w:rtl w:val="true"/>
        </w:rPr>
        <w:t xml:space="preserve">... </w:t>
      </w:r>
      <w:r>
        <w:rPr>
          <w:rtl w:val="true"/>
        </w:rPr>
        <w:t>כמדיניות עונשית כללית ומחייבת</w:t>
      </w:r>
      <w:r>
        <w:rPr>
          <w:rtl w:val="true"/>
        </w:rPr>
        <w:t>" (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1601/03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נט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949</w:t>
      </w:r>
      <w:r>
        <w:rPr>
          <w:rtl w:val="true"/>
        </w:rPr>
        <w:t xml:space="preserve">, </w:t>
      </w:r>
      <w:r>
        <w:rPr/>
        <w:t>959-957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לכך ראוי להוסיף את דבריה הנכוחים של השופטת </w:t>
      </w:r>
      <w:r>
        <w:rPr>
          <w:rtl w:val="true"/>
        </w:rPr>
        <w:t>(</w:t>
      </w:r>
      <w:r>
        <w:rPr>
          <w:rtl w:val="true"/>
        </w:rPr>
        <w:t>כתוארה אז</w:t>
      </w:r>
      <w:r>
        <w:rPr>
          <w:rtl w:val="true"/>
        </w:rPr>
        <w:t>)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ביניש</w:t>
      </w:r>
      <w:r>
        <w:rPr>
          <w:rtl w:val="true"/>
        </w:rPr>
        <w:t xml:space="preserve">, </w:t>
      </w:r>
      <w:r>
        <w:rPr>
          <w:rtl w:val="true"/>
        </w:rPr>
        <w:t>אשר בראייתי נכונים ביתר שאת בהקשר דנן</w:t>
      </w:r>
      <w:r>
        <w:rPr>
          <w:rtl w:val="true"/>
        </w:rPr>
        <w:t>:</w:t>
      </w:r>
    </w:p>
    <w:p>
      <w:pPr>
        <w:pStyle w:val="Ruller5"/>
        <w:spacing w:before="0" w:after="420"/>
        <w:ind w:start="1644" w:end="1281"/>
        <w:jc w:val="both"/>
        <w:rPr/>
      </w:pPr>
      <w:r>
        <w:rPr>
          <w:rtl w:val="true"/>
        </w:rPr>
        <w:t>"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ועצמאיים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ולכבודו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>" (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1899/04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ליבוביץ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934</w:t>
      </w:r>
      <w:r>
        <w:rPr>
          <w:rtl w:val="true"/>
        </w:rPr>
        <w:t xml:space="preserve">, </w:t>
      </w:r>
      <w:r>
        <w:rPr/>
        <w:t>944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>איני רואה קושי עקרוני או מעשי באימוץ מוגבל של הגישה המצטברת לצורך קביעת הרף התחתון במתחם עונש לעבירות מין מרובות שבצדן עונש מזערי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אין זה נחוץ ואף לא יהיה זה נכון לקבוע </w:t>
      </w:r>
      <w:r>
        <w:rPr>
          <w:rtl w:val="true"/>
        </w:rPr>
        <w:t>"</w:t>
      </w:r>
      <w:r>
        <w:rPr>
          <w:rtl w:val="true"/>
        </w:rPr>
        <w:t>כלל אצבע</w:t>
      </w:r>
      <w:r>
        <w:rPr>
          <w:rtl w:val="true"/>
        </w:rPr>
        <w:t xml:space="preserve">" </w:t>
      </w:r>
      <w:r>
        <w:rPr>
          <w:rtl w:val="true"/>
        </w:rPr>
        <w:t xml:space="preserve">ליישום הגישה המצטברת בהקשר זה </w:t>
      </w:r>
      <w:r>
        <w:rPr>
          <w:rtl w:val="true"/>
        </w:rPr>
        <w:t>–</w:t>
      </w:r>
      <w:r>
        <w:rPr>
          <w:rtl w:val="true"/>
        </w:rPr>
        <w:t xml:space="preserve"> ולוּ בשל מגוון המקרים האפשריים</w:t>
      </w:r>
      <w:r>
        <w:rPr>
          <w:rtl w:val="true"/>
        </w:rPr>
        <w:t xml:space="preserve">, </w:t>
      </w:r>
      <w:r>
        <w:rPr>
          <w:rtl w:val="true"/>
        </w:rPr>
        <w:t>והשלכותיהם על הפעלת והבניית שיקול הדעת השיפוטי בענישה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האישום הראשון </w:t>
      </w:r>
      <w:r>
        <w:rPr>
          <w:rtl w:val="true"/>
        </w:rPr>
        <w:t>(</w:t>
      </w:r>
      <w:r>
        <w:rPr>
          <w:rtl w:val="true"/>
        </w:rPr>
        <w:t>הנכדה</w:t>
      </w:r>
      <w:r>
        <w:rPr>
          <w:rtl w:val="true"/>
        </w:rPr>
        <w:t xml:space="preserve">) </w:t>
      </w:r>
      <w:r>
        <w:rPr>
          <w:rtl w:val="true"/>
        </w:rPr>
        <w:t xml:space="preserve">כולל שני סעיפי עבירות מין </w:t>
      </w:r>
      <w:r>
        <w:rPr>
          <w:rtl w:val="true"/>
        </w:rPr>
        <w:t>–</w:t>
      </w:r>
      <w:r>
        <w:rPr>
          <w:rtl w:val="true"/>
        </w:rPr>
        <w:t xml:space="preserve"> שניהם גוררים עונש מזערי</w:t>
      </w:r>
      <w:r>
        <w:rPr>
          <w:rtl w:val="true"/>
        </w:rPr>
        <w:t xml:space="preserve">, </w:t>
      </w:r>
      <w:r>
        <w:rPr>
          <w:rtl w:val="true"/>
        </w:rPr>
        <w:t xml:space="preserve">וקבועים בהם עונשים מרביים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(</w:t>
      </w:r>
      <w:hyperlink r:id="rId77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78"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 xml:space="preserve">האישום השני </w:t>
      </w:r>
      <w:r>
        <w:rPr>
          <w:rtl w:val="true"/>
        </w:rPr>
        <w:t>(</w:t>
      </w:r>
      <w:r>
        <w:rPr>
          <w:rtl w:val="true"/>
        </w:rPr>
        <w:t>האחיינית</w:t>
      </w:r>
      <w:r>
        <w:rPr>
          <w:rtl w:val="true"/>
        </w:rPr>
        <w:t xml:space="preserve">),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כולל ניסיון לבצע עבירת מין</w:t>
      </w:r>
      <w:r>
        <w:rPr>
          <w:rtl w:val="true"/>
        </w:rPr>
        <w:t xml:space="preserve">, </w:t>
      </w:r>
      <w:r>
        <w:rPr>
          <w:rtl w:val="true"/>
        </w:rPr>
        <w:t xml:space="preserve">עליו לא חל העונש המזערי </w:t>
      </w:r>
      <w:r>
        <w:rPr>
          <w:rtl w:val="true"/>
        </w:rPr>
        <w:t>(</w:t>
      </w:r>
      <w:hyperlink r:id="rId8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 xml:space="preserve">וכן  עבירת מין הנושאת עונש מרבי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(</w:t>
      </w:r>
      <w:hyperlink r:id="rId8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 xml:space="preserve">שיישום דווקני של הגישה המצטברת </w:t>
      </w:r>
      <w:r>
        <w:rPr>
          <w:rtl w:val="true"/>
        </w:rPr>
        <w:t>–</w:t>
      </w:r>
      <w:r>
        <w:rPr>
          <w:rtl w:val="true"/>
        </w:rPr>
        <w:t xml:space="preserve"> לפי סעיפי העבירה בלבד</w:t>
      </w:r>
      <w:r>
        <w:rPr>
          <w:rtl w:val="true"/>
        </w:rPr>
        <w:t xml:space="preserve">, </w:t>
      </w:r>
      <w:r>
        <w:rPr>
          <w:rtl w:val="true"/>
        </w:rPr>
        <w:t xml:space="preserve">ומבלי להתחשב במספר המעשים </w:t>
      </w:r>
      <w:r>
        <w:rPr>
          <w:rtl w:val="true"/>
        </w:rPr>
        <w:t>–</w:t>
      </w:r>
      <w:r>
        <w:rPr>
          <w:rtl w:val="true"/>
        </w:rPr>
        <w:t xml:space="preserve"> משמעו שהרף התחתון של מתחם העונש לאישום הראשון צריך היה להיות </w:t>
      </w:r>
      <w:r>
        <w:rPr/>
        <w:t>7.5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; </w:t>
      </w:r>
      <w:r>
        <w:rPr>
          <w:rtl w:val="true"/>
        </w:rPr>
        <w:t>וביחס לאישום השני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אך גם בכך אין די</w:t>
      </w:r>
      <w:r>
        <w:rPr>
          <w:rtl w:val="true"/>
        </w:rPr>
        <w:t xml:space="preserve">, </w:t>
      </w:r>
      <w:r>
        <w:rPr>
          <w:rtl w:val="true"/>
        </w:rPr>
        <w:t xml:space="preserve">שכן בכל הסעיפים הללו המערער הורשע בביצוע </w:t>
      </w:r>
      <w:r>
        <w:rPr>
          <w:rtl w:val="true"/>
        </w:rPr>
        <w:t>"</w:t>
      </w:r>
      <w:r>
        <w:rPr>
          <w:rtl w:val="true"/>
        </w:rPr>
        <w:t>ריבוי עבירות</w:t>
      </w:r>
      <w:r>
        <w:rPr>
          <w:rtl w:val="true"/>
        </w:rPr>
        <w:t xml:space="preserve">", </w:t>
      </w:r>
      <w:r>
        <w:rPr>
          <w:rtl w:val="true"/>
        </w:rPr>
        <w:t>ויודגש כי מדובר בלשון מקוצרת ומעודנת לעבריינות מין שיטתית וממושכת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אף להיבט מסוים זה יש לתת ביטוי בקביעת מתחמי העונש במידה משמעותית משקבע בית המשפט המחוזי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83">
        <w:r>
          <w:rPr>
            <w:rStyle w:val="Hyperlink"/>
          </w:rPr>
          <w:t>2751/14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(</w:t>
      </w:r>
      <w:r>
        <w:rPr/>
        <w:t>20.9.2015</w:t>
      </w:r>
      <w:r>
        <w:rPr>
          <w:rtl w:val="true"/>
        </w:rPr>
        <w:t>)).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לאישום השלישי</w:t>
      </w:r>
      <w:r>
        <w:rPr>
          <w:rtl w:val="true"/>
        </w:rPr>
        <w:t xml:space="preserve">: </w:t>
      </w:r>
      <w:r>
        <w:rPr>
          <w:rtl w:val="true"/>
        </w:rPr>
        <w:t xml:space="preserve">עבירת המין שביצע המערער בבתו נושאת עונש מרבי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),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1988</w:t>
      </w:r>
      <w:r>
        <w:rPr>
          <w:rtl w:val="true"/>
        </w:rPr>
        <w:t xml:space="preserve">), </w:t>
      </w:r>
      <w:r>
        <w:rPr>
          <w:rtl w:val="true"/>
        </w:rPr>
        <w:t>כך שהרף התחתון של מתחם העונש הרלוונטי צריך היה להיות שנה 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אלא </w:t>
      </w:r>
      <w:hyperlink r:id="rId85">
        <w:r>
          <w:rPr>
            <w:rStyle w:val="Hyperlink"/>
            <w:rtl w:val="true"/>
          </w:rPr>
          <w:t>שסעיף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 xml:space="preserve">ל כלל אינו מוזכר בקביעת המתחם לאישום זה </w:t>
      </w:r>
      <w:r>
        <w:rPr>
          <w:rtl w:val="true"/>
        </w:rPr>
        <w:t>–</w:t>
      </w:r>
      <w:r>
        <w:rPr>
          <w:rtl w:val="true"/>
        </w:rPr>
        <w:t xml:space="preserve"> ולמען הסדר הטוב</w:t>
      </w:r>
      <w:r>
        <w:rPr>
          <w:rtl w:val="true"/>
        </w:rPr>
        <w:t xml:space="preserve">, </w:t>
      </w:r>
      <w:r>
        <w:rPr>
          <w:rtl w:val="true"/>
        </w:rPr>
        <w:t>אציין כי תיתכן שאלה לגבי תחולתו למפרע</w:t>
      </w:r>
      <w:r>
        <w:rPr>
          <w:rtl w:val="true"/>
        </w:rPr>
        <w:t xml:space="preserve">, </w:t>
      </w:r>
      <w:r>
        <w:rPr>
          <w:rtl w:val="true"/>
        </w:rPr>
        <w:t xml:space="preserve">מאחר שנחקק לאחר שהמערער ביצע את עבירת המין בבתו </w:t>
      </w:r>
      <w:r>
        <w:rPr>
          <w:rtl w:val="true"/>
        </w:rPr>
        <w:t>(</w:t>
      </w:r>
      <w:hyperlink r:id="rId8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51</w:t>
      </w:r>
      <w:r>
        <w:rPr>
          <w:rtl w:val="true"/>
        </w:rPr>
        <w:t xml:space="preserve">),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1998</w:t>
      </w:r>
      <w:r>
        <w:rPr>
          <w:rtl w:val="true"/>
        </w:rPr>
        <w:t xml:space="preserve">). </w:t>
      </w:r>
      <w:r>
        <w:rPr>
          <w:rtl w:val="true"/>
        </w:rPr>
        <w:t>אולם איננו נדרשים להחיל את הסעיף במקרה דנן</w:t>
      </w:r>
      <w:r>
        <w:rPr>
          <w:rtl w:val="true"/>
        </w:rPr>
        <w:t xml:space="preserve">, </w:t>
      </w:r>
      <w:r>
        <w:rPr>
          <w:rtl w:val="true"/>
        </w:rPr>
        <w:t>ועל כן ניתן להותיר את השאלה בצריך עיון</w:t>
      </w:r>
      <w:r>
        <w:rPr>
          <w:rtl w:val="true"/>
        </w:rPr>
        <w:t xml:space="preserve">: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 xml:space="preserve">עסקינן במשמעות העונש המזערי לעניין הבניית שיקול הדעת השיפוטי בענישה </w:t>
      </w:r>
      <w:r>
        <w:rPr>
          <w:rtl w:val="true"/>
        </w:rPr>
        <w:t>–</w:t>
      </w:r>
      <w:r>
        <w:rPr>
          <w:rtl w:val="true"/>
        </w:rPr>
        <w:t xml:space="preserve"> היינו</w:t>
      </w:r>
      <w:r>
        <w:rPr>
          <w:rtl w:val="true"/>
        </w:rPr>
        <w:t xml:space="preserve">, </w:t>
      </w:r>
      <w:r>
        <w:rPr>
          <w:rtl w:val="true"/>
        </w:rPr>
        <w:t xml:space="preserve">בפרשנות הוראות שעל תחולתן אין חולק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סעיף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לתיקון </w:t>
      </w:r>
      <w:r>
        <w:rPr/>
        <w:t>113</w:t>
      </w:r>
      <w:r>
        <w:rPr>
          <w:rtl w:val="true"/>
        </w:rPr>
        <w:t xml:space="preserve">; 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9155/12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14-13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tl w:val="true"/>
        </w:rPr>
        <w:t>(</w:t>
      </w:r>
      <w:r>
        <w:rPr/>
        <w:t>19.11.2014</w:t>
      </w:r>
      <w:r>
        <w:rPr>
          <w:rtl w:val="true"/>
        </w:rPr>
        <w:t>)).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אני סבור כי יש מקום להחמיר גם ברף העליון של כל אחד מהמתחמים שנקבעו בעניינו של המערער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>בעבירות מין חמורות בכלל</w:t>
      </w:r>
      <w:r>
        <w:rPr>
          <w:rtl w:val="true"/>
        </w:rPr>
        <w:t xml:space="preserve">, </w:t>
      </w:r>
      <w:r>
        <w:rPr>
          <w:rtl w:val="true"/>
        </w:rPr>
        <w:t>ובמקרה הנוכחי בפרט</w:t>
      </w:r>
      <w:r>
        <w:rPr>
          <w:rtl w:val="true"/>
        </w:rPr>
        <w:t xml:space="preserve">, </w:t>
      </w:r>
      <w:r>
        <w:rPr>
          <w:rtl w:val="true"/>
        </w:rPr>
        <w:t xml:space="preserve">על העונש המרבי להוות </w:t>
      </w:r>
      <w:r>
        <w:rPr>
          <w:rtl w:val="true"/>
        </w:rPr>
        <w:t>"</w:t>
      </w:r>
      <w:r>
        <w:rPr>
          <w:rtl w:val="true"/>
        </w:rPr>
        <w:t>נקודת מוצא</w:t>
      </w:r>
      <w:r>
        <w:rPr>
          <w:rtl w:val="true"/>
        </w:rPr>
        <w:t xml:space="preserve">" </w:t>
      </w:r>
      <w:r>
        <w:rPr>
          <w:rtl w:val="true"/>
        </w:rPr>
        <w:t xml:space="preserve">למלאכת הענישה </w:t>
      </w:r>
      <w:r>
        <w:rPr>
          <w:rtl w:val="true"/>
        </w:rPr>
        <w:t>–</w:t>
      </w:r>
      <w:r>
        <w:rPr>
          <w:rtl w:val="true"/>
        </w:rPr>
        <w:t xml:space="preserve"> וזאת כדברי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קדמי</w:t>
      </w:r>
      <w:r>
        <w:rPr>
          <w:rtl w:val="true"/>
        </w:rPr>
        <w:t>:</w:t>
      </w:r>
    </w:p>
    <w:p>
      <w:pPr>
        <w:pStyle w:val="Ruller5"/>
        <w:spacing w:before="0" w:after="420"/>
        <w:ind w:start="1644" w:end="1281"/>
        <w:jc w:val="both"/>
        <w:rPr/>
      </w:pPr>
      <w:r>
        <w:rPr>
          <w:rtl w:val="true"/>
        </w:rPr>
        <w:t>"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״נקודת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המוצא״</w:t>
      </w:r>
      <w:r>
        <w:rPr>
          <w:rtl w:val="true"/>
        </w:rPr>
        <w:t xml:space="preserve">, </w:t>
      </w:r>
      <w:r>
        <w:rPr>
          <w:rtl w:val="true"/>
        </w:rPr>
        <w:t>שממנה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״נקודת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סיום״</w:t>
      </w:r>
      <w:r>
        <w:rPr>
          <w:rtl w:val="true"/>
        </w:rPr>
        <w:t xml:space="preserve">, </w:t>
      </w:r>
      <w:r>
        <w:rPr>
          <w:rtl w:val="true"/>
        </w:rPr>
        <w:t>שאותה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״הלכה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כן״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להנחייתו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מוקיע</w:t>
      </w:r>
      <w:r>
        <w:rPr>
          <w:rtl w:val="true"/>
        </w:rPr>
        <w:t xml:space="preserve">, </w:t>
      </w:r>
      <w:r>
        <w:rPr>
          <w:rtl w:val="true"/>
        </w:rPr>
        <w:t>מתריע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>.</w:t>
      </w:r>
      <w:r>
        <w:rPr>
          <w:rtl w:val="true"/>
        </w:rPr>
        <w:t>" (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2620/93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</w:t>
      </w:r>
      <w:r>
        <w:rPr>
          <w:rtl w:val="true"/>
        </w:rPr>
        <w:t xml:space="preserve">, </w:t>
      </w:r>
      <w:r>
        <w:rPr/>
        <w:t>4-3</w:t>
      </w:r>
      <w:r>
        <w:rPr>
          <w:rtl w:val="true"/>
        </w:rPr>
        <w:t xml:space="preserve"> (</w:t>
      </w:r>
      <w:r>
        <w:rPr/>
        <w:t>1995</w:t>
      </w:r>
      <w:r>
        <w:rPr>
          <w:rtl w:val="true"/>
        </w:rPr>
        <w:t>)).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בראייתי יש לנקוט משנה זהירות בעניין</w:t>
      </w:r>
      <w:r>
        <w:rPr>
          <w:rtl w:val="true"/>
        </w:rPr>
        <w:t xml:space="preserve">, </w:t>
      </w:r>
      <w:r>
        <w:rPr>
          <w:rtl w:val="true"/>
        </w:rPr>
        <w:t xml:space="preserve">ולוּ מאחר שגישת </w:t>
      </w:r>
      <w:r>
        <w:rPr>
          <w:rtl w:val="true"/>
        </w:rPr>
        <w:t>"</w:t>
      </w:r>
      <w:r>
        <w:rPr>
          <w:rtl w:val="true"/>
        </w:rPr>
        <w:t>נקודת המוצא</w:t>
      </w:r>
      <w:r>
        <w:rPr>
          <w:rtl w:val="true"/>
        </w:rPr>
        <w:t xml:space="preserve">" </w:t>
      </w:r>
      <w:r>
        <w:rPr>
          <w:rtl w:val="true"/>
        </w:rPr>
        <w:t>טרם קנתה אחיזה בפסיקה</w:t>
      </w:r>
      <w:r>
        <w:rPr>
          <w:rtl w:val="true"/>
        </w:rPr>
        <w:t xml:space="preserve">. </w:t>
      </w:r>
      <w:r>
        <w:rPr>
          <w:rtl w:val="true"/>
        </w:rPr>
        <w:t xml:space="preserve">אף שבשנים האחרונות הביאה גישה דומה להחמרה בעונש </w:t>
      </w:r>
      <w:r>
        <w:rPr>
          <w:rtl w:val="true"/>
        </w:rPr>
        <w:t>(</w:t>
      </w:r>
      <w:hyperlink r:id="rId8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3124/18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17-16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14.8.2019</w:t>
      </w:r>
      <w:r>
        <w:rPr>
          <w:rtl w:val="true"/>
        </w:rPr>
        <w:t xml:space="preserve">)), </w:t>
      </w:r>
      <w:r>
        <w:rPr>
          <w:rtl w:val="true"/>
        </w:rPr>
        <w:t xml:space="preserve">מאז היא כבר סויגה במקרה אחד </w:t>
      </w:r>
      <w:r>
        <w:rPr>
          <w:rtl w:val="true"/>
        </w:rPr>
        <w:t>(</w:t>
      </w:r>
      <w:hyperlink r:id="rId9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ביטון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tl w:val="true"/>
        </w:rPr>
        <w:t>-</w:t>
      </w:r>
      <w:r>
        <w:rPr>
          <w:rtl w:val="true"/>
        </w:rPr>
        <w:t xml:space="preserve">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14.2.2021</w:t>
      </w:r>
      <w:r>
        <w:rPr>
          <w:rtl w:val="true"/>
        </w:rPr>
        <w:t xml:space="preserve">)), </w:t>
      </w:r>
      <w:r>
        <w:rPr>
          <w:rtl w:val="true"/>
        </w:rPr>
        <w:t xml:space="preserve">ובתווך נדחתה מבלי שנדונה לגופה במקרה נוסף </w:t>
      </w:r>
      <w:r>
        <w:rPr>
          <w:rtl w:val="true"/>
        </w:rPr>
        <w:t>(</w:t>
      </w:r>
      <w:hyperlink r:id="rId9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7097/20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25.12.2020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ולא בכדי</w:t>
      </w:r>
      <w:r>
        <w:rPr>
          <w:rtl w:val="true"/>
        </w:rPr>
        <w:t xml:space="preserve">: </w:t>
      </w:r>
      <w:r>
        <w:rPr>
          <w:rtl w:val="true"/>
        </w:rPr>
        <w:t>נדמה שאין גבול לחומרת עבירות המין</w:t>
      </w:r>
      <w:r>
        <w:rPr>
          <w:rtl w:val="true"/>
        </w:rPr>
        <w:t xml:space="preserve">, </w:t>
      </w:r>
      <w:r>
        <w:rPr>
          <w:rtl w:val="true"/>
        </w:rPr>
        <w:t>ולכן שימוש</w:t>
      </w:r>
      <w:r>
        <w:rPr>
          <w:rtl w:val="true"/>
        </w:rPr>
        <w:t>-</w:t>
      </w:r>
      <w:r>
        <w:rPr>
          <w:rtl w:val="true"/>
        </w:rPr>
        <w:t>יתר בעונש המרבי עלול להביא במהרה למיצוי מרחב שיקול הדעת השיפוטי בענישה</w:t>
      </w:r>
      <w:r>
        <w:rPr>
          <w:rtl w:val="true"/>
        </w:rPr>
        <w:t xml:space="preserve">, </w:t>
      </w:r>
      <w:r>
        <w:rPr>
          <w:rtl w:val="true"/>
        </w:rPr>
        <w:t>מבחינה פורמאלית ומהותית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גם בקרב עבירות המין החמורות ביותר קיימת שונות רבה</w:t>
      </w:r>
      <w:r>
        <w:rPr>
          <w:rtl w:val="true"/>
        </w:rPr>
        <w:t xml:space="preserve">, </w:t>
      </w:r>
      <w:r>
        <w:rPr>
          <w:rtl w:val="true"/>
        </w:rPr>
        <w:t xml:space="preserve">בשלל היבטים </w:t>
      </w:r>
      <w:r>
        <w:rPr>
          <w:rtl w:val="true"/>
        </w:rPr>
        <w:t>–</w:t>
      </w:r>
      <w:r>
        <w:rPr>
          <w:rtl w:val="true"/>
        </w:rPr>
        <w:t xml:space="preserve"> דבר המקשה על גיבוש הנחיות חדות וקשיחות למלאכת הענישה</w:t>
      </w:r>
      <w:r>
        <w:rPr>
          <w:rtl w:val="true"/>
        </w:rPr>
        <w:t xml:space="preserve">, </w:t>
      </w:r>
      <w:r>
        <w:rPr>
          <w:rtl w:val="true"/>
        </w:rPr>
        <w:t xml:space="preserve">ומחייב גמישות בהפעלת שיקול הדעת השיפוטי לאור העקרונות המנחים </w:t>
      </w:r>
      <w:r>
        <w:rPr>
          <w:rtl w:val="true"/>
        </w:rPr>
        <w:t>–</w:t>
      </w:r>
      <w:r>
        <w:rPr>
          <w:rtl w:val="true"/>
        </w:rPr>
        <w:t xml:space="preserve"> הלימה</w:t>
      </w:r>
      <w:r>
        <w:rPr>
          <w:rtl w:val="true"/>
        </w:rPr>
        <w:t xml:space="preserve">, </w:t>
      </w:r>
      <w:r>
        <w:rPr>
          <w:rtl w:val="true"/>
        </w:rPr>
        <w:t>אינדיבידואליות</w:t>
      </w:r>
      <w:r>
        <w:rPr>
          <w:rtl w:val="true"/>
        </w:rPr>
        <w:t xml:space="preserve">, </w:t>
      </w:r>
      <w:r>
        <w:rPr>
          <w:rtl w:val="true"/>
        </w:rPr>
        <w:t>ואחידות הענישה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חלק מתפקידה של ערכאת ערעור הוא להגן על גמישות זו</w:t>
      </w:r>
      <w:r>
        <w:rPr>
          <w:rtl w:val="true"/>
        </w:rPr>
        <w:t xml:space="preserve">, </w:t>
      </w:r>
      <w:r>
        <w:rPr>
          <w:rtl w:val="true"/>
        </w:rPr>
        <w:t xml:space="preserve">לרבות בעבודת הערכאות הדיוניות </w:t>
      </w:r>
      <w:r>
        <w:rPr>
          <w:rtl w:val="true"/>
        </w:rPr>
        <w:t>–</w:t>
      </w:r>
      <w:r>
        <w:rPr>
          <w:rtl w:val="true"/>
        </w:rPr>
        <w:t xml:space="preserve"> ולפיכך היישום העדכני של גישת </w:t>
      </w:r>
      <w:r>
        <w:rPr>
          <w:rtl w:val="true"/>
        </w:rPr>
        <w:t>"</w:t>
      </w:r>
      <w:r>
        <w:rPr>
          <w:rtl w:val="true"/>
        </w:rPr>
        <w:t>נקודת המוצא</w:t>
      </w:r>
      <w:r>
        <w:rPr>
          <w:rtl w:val="true"/>
        </w:rPr>
        <w:t xml:space="preserve">" </w:t>
      </w:r>
      <w:r>
        <w:rPr>
          <w:rtl w:val="true"/>
        </w:rPr>
        <w:t>בפסיקה מוקשה בעיניי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גם בהקשר זה עדיפה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ביניים</w:t>
      </w:r>
      <w:r>
        <w:rPr>
          <w:rtl w:val="true"/>
        </w:rPr>
        <w:t xml:space="preserve">, </w:t>
      </w:r>
      <w:r>
        <w:rPr>
          <w:rtl w:val="true"/>
        </w:rPr>
        <w:t xml:space="preserve">לפיה העונש המרבי על עבירות מין יהווה </w:t>
      </w:r>
      <w:r>
        <w:rPr>
          <w:rtl w:val="true"/>
        </w:rPr>
        <w:t>"</w:t>
      </w:r>
      <w:r>
        <w:rPr>
          <w:rtl w:val="true"/>
        </w:rPr>
        <w:t>נקודת מכוון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לא מוצא</w:t>
      </w:r>
      <w:r>
        <w:rPr>
          <w:rtl w:val="true"/>
        </w:rPr>
        <w:t xml:space="preserve">, </w:t>
      </w:r>
      <w:r>
        <w:rPr>
          <w:rtl w:val="true"/>
        </w:rPr>
        <w:t xml:space="preserve">ולא בהכרח סיום </w:t>
      </w:r>
      <w:r>
        <w:rPr>
          <w:rtl w:val="true"/>
        </w:rPr>
        <w:t>–</w:t>
      </w:r>
      <w:r>
        <w:rPr>
          <w:rtl w:val="true"/>
        </w:rPr>
        <w:t xml:space="preserve"> בכך שיסמן עבור בית המשפט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מבחינת סוג העבירה ודרך ביצועה</w:t>
      </w:r>
      <w:r>
        <w:rPr>
          <w:rtl w:val="true"/>
        </w:rPr>
        <w:t xml:space="preserve">, </w:t>
      </w:r>
      <w:r>
        <w:rPr>
          <w:rtl w:val="true"/>
        </w:rPr>
        <w:t>לרבות קיומן של נסיבות מחמירות ייחודיות</w:t>
      </w:r>
      <w:r>
        <w:rPr>
          <w:rtl w:val="true"/>
        </w:rPr>
        <w:t xml:space="preserve">, </w:t>
      </w:r>
      <w:r>
        <w:rPr>
          <w:rtl w:val="true"/>
        </w:rPr>
        <w:t>כגון קטינות וקרבת משפחה</w:t>
      </w:r>
      <w:r>
        <w:rPr>
          <w:rtl w:val="true"/>
        </w:rPr>
        <w:t xml:space="preserve">, </w:t>
      </w:r>
      <w:r>
        <w:rPr>
          <w:rtl w:val="true"/>
        </w:rPr>
        <w:t xml:space="preserve">וכן מבחינה כמותית </w:t>
      </w:r>
      <w:r>
        <w:rPr>
          <w:rtl w:val="true"/>
        </w:rPr>
        <w:t>(</w:t>
      </w:r>
      <w:r>
        <w:rPr>
          <w:rtl w:val="true"/>
        </w:rPr>
        <w:t>מספר מעשי העבירה</w:t>
      </w:r>
      <w:r>
        <w:rPr>
          <w:rtl w:val="true"/>
        </w:rPr>
        <w:t xml:space="preserve">, </w:t>
      </w:r>
      <w:r>
        <w:rPr>
          <w:rtl w:val="true"/>
        </w:rPr>
        <w:t>משך ותדירות ביצועם</w:t>
      </w:r>
      <w:r>
        <w:rPr>
          <w:rtl w:val="true"/>
        </w:rPr>
        <w:t xml:space="preserve">, </w:t>
      </w:r>
      <w:r>
        <w:rPr>
          <w:rtl w:val="true"/>
        </w:rPr>
        <w:t>ומספר הקורבנות</w:t>
      </w:r>
      <w:r>
        <w:rPr>
          <w:rtl w:val="true"/>
        </w:rPr>
        <w:t xml:space="preserve">).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>בהתאם לתפיסת העונש המרבי כ</w:t>
      </w:r>
      <w:r>
        <w:rPr>
          <w:rtl w:val="true"/>
        </w:rPr>
        <w:t>-"</w:t>
      </w:r>
      <w:r>
        <w:rPr>
          <w:rtl w:val="true"/>
        </w:rPr>
        <w:t>סימן דרך לענישה ראויה</w:t>
      </w:r>
      <w:r>
        <w:rPr>
          <w:rtl w:val="true"/>
        </w:rPr>
        <w:t>" (</w:t>
      </w:r>
      <w:hyperlink r:id="rId9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2505/07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(</w:t>
      </w:r>
      <w:r>
        <w:rPr/>
        <w:t>8.4.2008</w:t>
      </w:r>
      <w:r>
        <w:rPr>
          <w:rtl w:val="true"/>
        </w:rPr>
        <w:t xml:space="preserve">)), </w:t>
      </w:r>
      <w:r>
        <w:rPr>
          <w:rtl w:val="true"/>
        </w:rPr>
        <w:t>ומכאן לטעמי מקבלת משנה</w:t>
      </w:r>
      <w:r>
        <w:rPr>
          <w:rtl w:val="true"/>
        </w:rPr>
        <w:t>-</w:t>
      </w:r>
      <w:r>
        <w:rPr>
          <w:rtl w:val="true"/>
        </w:rPr>
        <w:t>תוקף במקרים אלה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חיוני בעיניי כי במקרים המתאימים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ימצא כראוי והולם להטיל את העונש המרבי על עבירת המין החמורה ביותר </w:t>
      </w:r>
      <w:r>
        <w:rPr>
          <w:rtl w:val="true"/>
        </w:rPr>
        <w:t>–</w:t>
      </w:r>
      <w:r>
        <w:rPr>
          <w:rtl w:val="true"/>
        </w:rPr>
        <w:t xml:space="preserve"> ולפיכך</w:t>
      </w:r>
      <w:r>
        <w:rPr>
          <w:rtl w:val="true"/>
        </w:rPr>
        <w:t xml:space="preserve">, </w:t>
      </w:r>
      <w:r>
        <w:rPr>
          <w:rtl w:val="true"/>
        </w:rPr>
        <w:t>אין לקבוע את מתחם העונש באופן הסותם מראש את הגולל על האפשרות שהעונש המרבי אכן יוטל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זוהי המשמעות של מיקום הרף העליון מתחת לעונש המרבי בהפרש ניכר</w:t>
      </w:r>
      <w:r>
        <w:rPr>
          <w:rtl w:val="true"/>
        </w:rPr>
        <w:t xml:space="preserve">, </w:t>
      </w:r>
      <w:r>
        <w:rPr>
          <w:rtl w:val="true"/>
        </w:rPr>
        <w:t xml:space="preserve">שכן חריגה לחומרה ממתחם העונש תתאפשר משיקולי הגנה על שלום הציבור </w:t>
      </w:r>
      <w:r>
        <w:rPr>
          <w:rtl w:val="true"/>
        </w:rPr>
        <w:t>(</w:t>
      </w:r>
      <w:hyperlink r:id="rId9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אשר לא בהכרח יתקיימו גם ביחס למי שהורשע בביצוע עבירות מין חמורות</w:t>
      </w:r>
      <w:r>
        <w:rPr>
          <w:rtl w:val="true"/>
        </w:rPr>
        <w:t xml:space="preserve">. </w:t>
      </w:r>
      <w:r>
        <w:rPr>
          <w:rtl w:val="true"/>
        </w:rPr>
        <w:t>כך גם בענייננו</w:t>
      </w:r>
      <w:r>
        <w:rPr>
          <w:rtl w:val="true"/>
        </w:rPr>
        <w:t xml:space="preserve">: </w:t>
      </w:r>
      <w:r>
        <w:rPr>
          <w:rtl w:val="true"/>
        </w:rPr>
        <w:t xml:space="preserve">אף שהערכת המסוכנות של המערער היא </w:t>
      </w:r>
      <w:r>
        <w:rPr>
          <w:rtl w:val="true"/>
        </w:rPr>
        <w:t>"</w:t>
      </w:r>
      <w:r>
        <w:rPr>
          <w:rtl w:val="true"/>
        </w:rPr>
        <w:t>בינונית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 xml:space="preserve">",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 כלל לא נדרש לאפשרות החריגה לחומרה משיקולים אלה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שבאישום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הגבול העליון של מתחם העונש צריך היה להיות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–</w:t>
      </w:r>
      <w:r>
        <w:rPr>
          <w:rtl w:val="true"/>
        </w:rPr>
        <w:t xml:space="preserve"> כעונש המרבי לצידה של עבירת המין החמורה ביותר באישום זה </w:t>
      </w:r>
      <w:r>
        <w:rPr>
          <w:rtl w:val="true"/>
        </w:rPr>
        <w:t>–</w:t>
      </w:r>
      <w:r>
        <w:rPr>
          <w:rtl w:val="true"/>
        </w:rPr>
        <w:t xml:space="preserve"> במקום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 בפועל</w:t>
      </w:r>
      <w:r>
        <w:rPr>
          <w:rtl w:val="true"/>
        </w:rPr>
        <w:t xml:space="preserve">, </w:t>
      </w:r>
      <w:r>
        <w:rPr>
          <w:rtl w:val="true"/>
        </w:rPr>
        <w:t>כפי שנקבע בגזר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 xml:space="preserve">הגבול העליון של המתחם באישום השני צריך היה להיות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חלף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 שנקבעו בפועל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 למתחם שנקבע באישום השלישי שבה ומתעוררת סוגיית התחולה למפרע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בעת שהמערער ביצע את עבירת המין בתו</w:t>
      </w:r>
      <w:r>
        <w:rPr>
          <w:rtl w:val="true"/>
        </w:rPr>
        <w:t xml:space="preserve">, </w:t>
      </w:r>
      <w:r>
        <w:rPr>
          <w:rtl w:val="true"/>
        </w:rPr>
        <w:t xml:space="preserve">עונשה המרבי היה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–</w:t>
      </w:r>
      <w:r>
        <w:rPr>
          <w:rtl w:val="true"/>
        </w:rPr>
        <w:t xml:space="preserve"> אולם מאז נחקקו סעיפי החמרה שונים</w:t>
      </w:r>
      <w:r>
        <w:rPr>
          <w:rtl w:val="true"/>
        </w:rPr>
        <w:t xml:space="preserve">, </w:t>
      </w:r>
      <w:r>
        <w:rPr>
          <w:rtl w:val="true"/>
        </w:rPr>
        <w:t>מכוחם עלה עונשן המרבי של עבירות המין</w:t>
      </w:r>
      <w:r>
        <w:rPr>
          <w:rtl w:val="true"/>
        </w:rPr>
        <w:t xml:space="preserve">, </w:t>
      </w:r>
      <w:r>
        <w:rPr>
          <w:rtl w:val="true"/>
        </w:rPr>
        <w:t>בפרט כאשר הן מבוצעות בקטינים על</w:t>
      </w:r>
      <w:r>
        <w:rPr>
          <w:rtl w:val="true"/>
        </w:rPr>
        <w:t>-</w:t>
      </w:r>
      <w:r>
        <w:rPr>
          <w:rtl w:val="true"/>
        </w:rPr>
        <w:t>ידי בן</w:t>
      </w:r>
      <w:r>
        <w:rPr>
          <w:rtl w:val="true"/>
        </w:rPr>
        <w:t>-</w:t>
      </w:r>
      <w:r>
        <w:rPr>
          <w:rtl w:val="true"/>
        </w:rPr>
        <w:t xml:space="preserve">משפחה </w:t>
      </w:r>
      <w:r>
        <w:rPr>
          <w:rtl w:val="true"/>
        </w:rPr>
        <w:t>(</w:t>
      </w:r>
      <w:hyperlink r:id="rId95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96"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97"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כמצוין לעניין הענישה המזערית</w:t>
      </w:r>
      <w:r>
        <w:rPr>
          <w:rtl w:val="true"/>
        </w:rPr>
        <w:t xml:space="preserve">, </w:t>
      </w:r>
      <w:r>
        <w:rPr>
          <w:rtl w:val="true"/>
        </w:rPr>
        <w:t xml:space="preserve">עסקינן ביישום הוראות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ולא בתחולת סעיפי ההחמרה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ניתן ואף נדרש יהיה להגביה את הרף העליון של מתחם העונש</w:t>
      </w:r>
      <w:r>
        <w:rPr>
          <w:rtl w:val="true"/>
        </w:rPr>
        <w:t xml:space="preserve">, </w:t>
      </w:r>
      <w:r>
        <w:rPr>
          <w:rtl w:val="true"/>
        </w:rPr>
        <w:t>בהתאם להחמרה המתמשכת בענישה על עבירות מין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לסיכום חלק זה</w:t>
      </w:r>
      <w:r>
        <w:rPr>
          <w:rtl w:val="true"/>
        </w:rPr>
        <w:t xml:space="preserve">, </w:t>
      </w:r>
      <w:r>
        <w:rPr>
          <w:rtl w:val="true"/>
        </w:rPr>
        <w:t>ולמען הסר ספק</w:t>
      </w:r>
      <w:r>
        <w:rPr>
          <w:rtl w:val="true"/>
        </w:rPr>
        <w:t xml:space="preserve">, </w:t>
      </w:r>
      <w:r>
        <w:rPr>
          <w:rtl w:val="true"/>
        </w:rPr>
        <w:t>אציין כי מיישום משולב של האמור לעיל עשויים להתקבל מתחמי ענישה רחבים</w:t>
      </w:r>
      <w:r>
        <w:rPr>
          <w:rtl w:val="true"/>
        </w:rPr>
        <w:t xml:space="preserve">, </w:t>
      </w:r>
      <w:r>
        <w:rPr>
          <w:rtl w:val="true"/>
        </w:rPr>
        <w:t xml:space="preserve">שעלולים לעורר קושי לאור הביקורת שנמתחת לעיתים בהקשר זה </w:t>
      </w:r>
      <w:r>
        <w:rPr>
          <w:rtl w:val="true"/>
        </w:rPr>
        <w:t>(</w:t>
      </w:r>
      <w:hyperlink r:id="rId9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1079/16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בפסקאות </w:t>
      </w:r>
      <w:r>
        <w:rPr/>
        <w:t>21-19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קיימים שלושה שיקולים מרכזיים התומכים בגישתו זו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גישות אלה מגלמות פרשנות אפקטיבית והרמונית למכלול הוראות החוק הרלוונטיות </w:t>
      </w:r>
      <w:r>
        <w:rPr>
          <w:rtl w:val="true"/>
        </w:rPr>
        <w:t>–</w:t>
      </w:r>
      <w:r>
        <w:rPr>
          <w:rtl w:val="true"/>
        </w:rPr>
        <w:t xml:space="preserve"> אלה שעניינן הבניית שיקול הדעת השיפוטי בענישה</w:t>
      </w:r>
      <w:r>
        <w:rPr>
          <w:rtl w:val="true"/>
        </w:rPr>
        <w:t xml:space="preserve">, </w:t>
      </w:r>
      <w:r>
        <w:rPr>
          <w:rtl w:val="true"/>
        </w:rPr>
        <w:t>ובפרט אלה הקובעות עונשים מזעריים ומרביים לעבירות מין</w:t>
      </w:r>
      <w:r>
        <w:rPr>
          <w:rtl w:val="true"/>
        </w:rPr>
        <w:t xml:space="preserve">; </w:t>
      </w:r>
      <w:r>
        <w:rPr>
          <w:rtl w:val="true"/>
        </w:rPr>
        <w:t>וביחס לאלה האחרונות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נקבע זה מכבר כי הן מהוות אמירה נורמטיבית של המחוקק אשר בית המשפט נדרש לתת לה תוקף בענישה מחמירה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שתי הגישות מגשימות את כוונת המחוקק מבלי לפגוע בגמישות הנחוצה לבית המשפט</w:t>
      </w:r>
      <w:r>
        <w:rPr>
          <w:rtl w:val="true"/>
        </w:rPr>
        <w:t xml:space="preserve">, </w:t>
      </w:r>
      <w:r>
        <w:rPr>
          <w:rtl w:val="true"/>
        </w:rPr>
        <w:t>לנוכח המגוון הרחב של נסיבות ומאפיינים אפשריים</w:t>
      </w:r>
      <w:r>
        <w:rPr>
          <w:rtl w:val="true"/>
        </w:rPr>
        <w:t xml:space="preserve">, </w:t>
      </w:r>
      <w:r>
        <w:rPr>
          <w:rtl w:val="true"/>
        </w:rPr>
        <w:t>אפילו במקרים החמורים ביותר של עבירות מין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אימוצן המשולב יאפשר החמרה מערכתית ומשמעותית כאחד של הענישה במקרים אלה</w:t>
      </w:r>
      <w:r>
        <w:rPr>
          <w:rtl w:val="true"/>
        </w:rPr>
        <w:t xml:space="preserve">: </w:t>
      </w:r>
      <w:r>
        <w:rPr>
          <w:rtl w:val="true"/>
        </w:rPr>
        <w:t>מתחמי הענישה שיתקבלו מכך</w:t>
      </w:r>
      <w:r>
        <w:rPr>
          <w:rtl w:val="true"/>
        </w:rPr>
        <w:t xml:space="preserve">, </w:t>
      </w:r>
      <w:r>
        <w:rPr>
          <w:rtl w:val="true"/>
        </w:rPr>
        <w:t>כשמם כן הם</w:t>
      </w:r>
      <w:r>
        <w:rPr>
          <w:rtl w:val="true"/>
        </w:rPr>
        <w:t xml:space="preserve">, </w:t>
      </w:r>
      <w:r>
        <w:rPr>
          <w:rtl w:val="true"/>
        </w:rPr>
        <w:t xml:space="preserve">יתחמו את הדיונים המתנהלים בעניין </w:t>
      </w:r>
      <w:r>
        <w:rPr>
          <w:rtl w:val="true"/>
        </w:rPr>
        <w:t>–</w:t>
      </w:r>
      <w:r>
        <w:rPr>
          <w:rtl w:val="true"/>
        </w:rPr>
        <w:t xml:space="preserve"> בין ערכאת הערעור לערכאות הדיוניות</w:t>
      </w:r>
      <w:r>
        <w:rPr>
          <w:rtl w:val="true"/>
        </w:rPr>
        <w:t xml:space="preserve">, </w:t>
      </w:r>
      <w:r>
        <w:rPr>
          <w:rtl w:val="true"/>
        </w:rPr>
        <w:t>בינן לבין הצדדים</w:t>
      </w:r>
      <w:r>
        <w:rPr>
          <w:rtl w:val="true"/>
        </w:rPr>
        <w:t xml:space="preserve">, </w:t>
      </w:r>
      <w:r>
        <w:rPr>
          <w:rtl w:val="true"/>
        </w:rPr>
        <w:t xml:space="preserve">ואולי אף בין הצדדים לבין עצמם </w:t>
      </w:r>
      <w:r>
        <w:rPr>
          <w:rtl w:val="true"/>
        </w:rPr>
        <w:t>–</w:t>
      </w:r>
      <w:r>
        <w:rPr>
          <w:rtl w:val="true"/>
        </w:rPr>
        <w:t xml:space="preserve"> לטווח הולם של עונשי מאסר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ומעל הכל</w:t>
      </w:r>
      <w:r>
        <w:rPr>
          <w:rtl w:val="true"/>
        </w:rPr>
        <w:t xml:space="preserve">, </w:t>
      </w:r>
      <w:r>
        <w:rPr>
          <w:rtl w:val="true"/>
        </w:rPr>
        <w:t xml:space="preserve">שילוב הגישות המוצעות הכרחי למימוש דבריו הנחרצים והנוקבים </w:t>
      </w:r>
      <w:r>
        <w:rPr>
          <w:rtl w:val="true"/>
        </w:rPr>
        <w:t>–</w:t>
      </w:r>
      <w:r>
        <w:rPr>
          <w:rtl w:val="true"/>
        </w:rPr>
        <w:t xml:space="preserve"> וכן החוזרים והנשנים </w:t>
      </w:r>
      <w:r>
        <w:rPr>
          <w:rtl w:val="true"/>
        </w:rPr>
        <w:t>–</w:t>
      </w:r>
      <w:r>
        <w:rPr>
          <w:rtl w:val="true"/>
        </w:rPr>
        <w:t xml:space="preserve"> של בית משפט זה ביחס לענישה על עבירות מין </w:t>
      </w:r>
      <w:r>
        <w:rPr>
          <w:rtl w:val="true"/>
        </w:rPr>
        <w:t>(</w:t>
      </w:r>
      <w:hyperlink r:id="rId10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tl w:val="true"/>
        </w:rPr>
        <w:t>(</w:t>
      </w:r>
      <w:r>
        <w:rPr/>
        <w:t>24.7.2018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ענישה זו אמורה לבטא סלידה עמוקה והוקעה חברתית</w:t>
      </w:r>
      <w:r>
        <w:rPr>
          <w:rtl w:val="true"/>
        </w:rPr>
        <w:t xml:space="preserve">, </w:t>
      </w:r>
      <w:r>
        <w:rPr>
          <w:rtl w:val="true"/>
        </w:rPr>
        <w:t>לזעוק את זעקת הקורבנות</w:t>
      </w:r>
      <w:r>
        <w:rPr>
          <w:rtl w:val="true"/>
        </w:rPr>
        <w:t xml:space="preserve">, </w:t>
      </w:r>
      <w:r>
        <w:rPr>
          <w:rtl w:val="true"/>
        </w:rPr>
        <w:t xml:space="preserve">לייצר תיקון מוסרי </w:t>
      </w:r>
      <w:r>
        <w:rPr>
          <w:rtl w:val="true"/>
        </w:rPr>
        <w:t>–</w:t>
      </w:r>
      <w:r>
        <w:rPr>
          <w:rtl w:val="true"/>
        </w:rPr>
        <w:t xml:space="preserve"> ובעיקר לבודד ולהרתיע עבריינים פוטנציאליים</w:t>
      </w:r>
      <w:r>
        <w:rPr>
          <w:rtl w:val="true"/>
        </w:rPr>
        <w:t xml:space="preserve">, </w:t>
      </w:r>
      <w:r>
        <w:rPr>
          <w:rtl w:val="true"/>
        </w:rPr>
        <w:t>בפרט אלה הפוגעים בקטינים בתוך המשפחה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לצד כל האמור</w:t>
      </w:r>
      <w:r>
        <w:rPr>
          <w:rtl w:val="true"/>
        </w:rPr>
        <w:t xml:space="preserve">, </w:t>
      </w:r>
      <w:r>
        <w:rPr>
          <w:rtl w:val="true"/>
        </w:rPr>
        <w:t>ראוי היה לטעמי שבית המשפט המחוזי ינמק את שיקוליו בגזר דינו באופן נרחב משנעשה בפועל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בפרט ביחס להחלטתו לגזור על המערער 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כולל</w:t>
      </w:r>
      <w:r>
        <w:rPr>
          <w:rtl w:val="true"/>
        </w:rPr>
        <w:t xml:space="preserve"> לארבעת האישומים</w:t>
      </w:r>
      <w:r>
        <w:rPr>
          <w:rtl w:val="true"/>
        </w:rPr>
        <w:t xml:space="preserve">, </w:t>
      </w:r>
      <w:r>
        <w:rPr>
          <w:rtl w:val="true"/>
        </w:rPr>
        <w:t xml:space="preserve">חלף עונשים נפרדים </w:t>
      </w:r>
      <w:r>
        <w:rPr>
          <w:rtl w:val="true"/>
        </w:rPr>
        <w:t>(</w:t>
      </w:r>
      <w:r>
        <w:rPr>
          <w:rtl w:val="true"/>
        </w:rPr>
        <w:t>תוך התייחסות לחפיפתם או הצטברותם</w:t>
      </w:r>
      <w:r>
        <w:rPr>
          <w:rtl w:val="true"/>
        </w:rPr>
        <w:t xml:space="preserve">); </w:t>
      </w:r>
      <w:r>
        <w:rPr>
          <w:rtl w:val="true"/>
        </w:rPr>
        <w:t>ביחס לקביעת עונשו של המערער בכל אחד מהמתחמים שנקבעו בעניינו</w:t>
      </w:r>
      <w:r>
        <w:rPr>
          <w:rtl w:val="true"/>
        </w:rPr>
        <w:t xml:space="preserve">; </w:t>
      </w:r>
      <w:r>
        <w:rPr>
          <w:rtl w:val="true"/>
        </w:rPr>
        <w:t xml:space="preserve">וכן ביחס לרלוונטיות של גזרי הדין שנסקרו לשם בחינת הענישה הנוהגת לעניינו של המערער </w:t>
      </w:r>
      <w:r>
        <w:rPr>
          <w:rtl w:val="true"/>
        </w:rPr>
        <w:t>(</w:t>
      </w:r>
      <w:hyperlink r:id="rId10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32-31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מזוז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3.9.2015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אחרון זה</w:t>
      </w:r>
      <w:r>
        <w:rPr>
          <w:rtl w:val="true"/>
        </w:rPr>
        <w:t xml:space="preserve">, </w:t>
      </w:r>
      <w:r>
        <w:rPr>
          <w:rtl w:val="true"/>
        </w:rPr>
        <w:t>אין לי אלא להסכים עם המדינה</w:t>
      </w:r>
      <w:r>
        <w:rPr>
          <w:rtl w:val="true"/>
        </w:rPr>
        <w:t xml:space="preserve">, </w:t>
      </w:r>
      <w:r>
        <w:rPr>
          <w:rtl w:val="true"/>
        </w:rPr>
        <w:t>כי נכון היה להתאים את רף הענישה הנהוג שנקבע למספר המתלוננות בענייננו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הן מהטעם העקרוני של מתן משקל לאינטרס העצמאי של כל קורבן </w:t>
      </w:r>
      <w:r>
        <w:rPr>
          <w:rtl w:val="true"/>
        </w:rPr>
        <w:t>(</w:t>
      </w:r>
      <w:hyperlink r:id="rId10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1899/04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שם</w:t>
      </w:r>
      <w:r>
        <w:rPr>
          <w:rtl w:val="true"/>
        </w:rPr>
        <w:t xml:space="preserve">); </w:t>
      </w:r>
      <w:r>
        <w:rPr>
          <w:rtl w:val="true"/>
        </w:rPr>
        <w:t xml:space="preserve">והן כעניין מעשי </w:t>
      </w:r>
      <w:r>
        <w:rPr>
          <w:rtl w:val="true"/>
        </w:rPr>
        <w:t>–</w:t>
      </w:r>
      <w:r>
        <w:rPr>
          <w:rtl w:val="true"/>
        </w:rPr>
        <w:t xml:space="preserve"> כשם שלצורך האישומים השלישי והרביעי</w:t>
      </w:r>
      <w:r>
        <w:rPr>
          <w:rtl w:val="true"/>
        </w:rPr>
        <w:t xml:space="preserve">, </w:t>
      </w:r>
      <w:r>
        <w:rPr>
          <w:rtl w:val="true"/>
        </w:rPr>
        <w:t>בית המשפט המחוזי גזר את רף הענישה הנהוג באופן יחסי ממקרים של ריבוי עבירות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ספק בעיניי אם גזר</w:t>
      </w:r>
      <w:r>
        <w:rPr>
          <w:rtl w:val="true"/>
        </w:rPr>
        <w:t>-</w:t>
      </w:r>
      <w:r>
        <w:rPr>
          <w:rtl w:val="true"/>
        </w:rPr>
        <w:t>הדין משקף את 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 xml:space="preserve">ובפרט את מגמתה העכשווית במקרים של ריבוי קורבנות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10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6390/20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10.2.2021</w:t>
      </w:r>
      <w:r>
        <w:rPr>
          <w:rtl w:val="true"/>
        </w:rPr>
        <w:t xml:space="preserve">); </w:t>
      </w:r>
      <w:hyperlink r:id="rId10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22.3.2021</w:t>
      </w:r>
      <w:r>
        <w:rPr>
          <w:rtl w:val="true"/>
        </w:rPr>
        <w:t xml:space="preserve">); </w:t>
      </w:r>
      <w:hyperlink r:id="rId10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27.2.2019</w:t>
      </w:r>
      <w:r>
        <w:rPr>
          <w:rtl w:val="true"/>
        </w:rPr>
        <w:t xml:space="preserve">); </w:t>
      </w:r>
      <w:hyperlink r:id="rId10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9058/16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7.3.2018</w:t>
      </w:r>
      <w:r>
        <w:rPr>
          <w:rtl w:val="true"/>
        </w:rPr>
        <w:t xml:space="preserve">); </w:t>
      </w:r>
      <w:hyperlink r:id="rId10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1605/13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hyperlink r:id="rId10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9155/12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>ו</w:t>
      </w:r>
      <w:hyperlink r:id="rId10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6092/10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18.7.2012</w:t>
      </w:r>
      <w:r>
        <w:rPr>
          <w:rtl w:val="true"/>
        </w:rPr>
        <w:t>)).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ובפרט לאור מהלך הדיון 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אבהיר כי אין בידי לקבל את טענת המערער כי יש לזקוף לזכותו את השינוי שהתחולל בו מאז ניתן 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>לא ניתן להעריך את כנותה של חרטה על</w:t>
      </w:r>
      <w:r>
        <w:rPr>
          <w:rtl w:val="true"/>
        </w:rPr>
        <w:t>-</w:t>
      </w:r>
      <w:r>
        <w:rPr>
          <w:rtl w:val="true"/>
        </w:rPr>
        <w:t>סמך המשפט הבודד שאמר המערער בדיון שקיימנו</w:t>
      </w:r>
      <w:r>
        <w:rPr>
          <w:rtl w:val="true"/>
        </w:rPr>
        <w:t xml:space="preserve">; </w:t>
      </w:r>
      <w:r>
        <w:rPr>
          <w:rtl w:val="true"/>
        </w:rPr>
        <w:t>כפי שציינתי בהקשר אחר</w:t>
      </w:r>
      <w:r>
        <w:rPr>
          <w:rtl w:val="true"/>
        </w:rPr>
        <w:t xml:space="preserve">, </w:t>
      </w:r>
      <w:r>
        <w:rPr>
          <w:rtl w:val="true"/>
        </w:rPr>
        <w:t>זהו יתרונה המובהק של הערכאה הדיונית</w:t>
      </w:r>
      <w:r>
        <w:rPr>
          <w:rtl w:val="true"/>
        </w:rPr>
        <w:t xml:space="preserve">, </w:t>
      </w:r>
      <w:r>
        <w:rPr>
          <w:rtl w:val="true"/>
        </w:rPr>
        <w:t>שהתרשמה מהמערער באופן בלתי</w:t>
      </w:r>
      <w:r>
        <w:rPr>
          <w:rtl w:val="true"/>
        </w:rPr>
        <w:t>-</w:t>
      </w:r>
      <w:r>
        <w:rPr>
          <w:rtl w:val="true"/>
        </w:rPr>
        <w:t xml:space="preserve">אמצעי וממושך </w:t>
      </w:r>
      <w:r>
        <w:rPr>
          <w:rtl w:val="true"/>
        </w:rPr>
        <w:t>(</w:t>
      </w:r>
      <w:hyperlink r:id="rId1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6193/20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זכאי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tl w:val="true"/>
        </w:rPr>
        <w:t>(</w:t>
      </w:r>
      <w:r>
        <w:rPr/>
        <w:t>25.3.2021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 התרשמות זו</w:t>
      </w:r>
      <w:r>
        <w:rPr>
          <w:rtl w:val="true"/>
        </w:rPr>
        <w:t xml:space="preserve">, </w:t>
      </w:r>
      <w:r>
        <w:rPr>
          <w:rtl w:val="true"/>
        </w:rPr>
        <w:t>כאמור בגזר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מקובלת עליי טענת באת</w:t>
      </w:r>
      <w:r>
        <w:rPr>
          <w:rtl w:val="true"/>
        </w:rPr>
        <w:t>-</w:t>
      </w:r>
      <w:r>
        <w:rPr>
          <w:rtl w:val="true"/>
        </w:rPr>
        <w:t>כוח המדינה</w:t>
      </w:r>
      <w:r>
        <w:rPr>
          <w:rtl w:val="true"/>
        </w:rPr>
        <w:t xml:space="preserve">, </w:t>
      </w:r>
      <w:r>
        <w:rPr>
          <w:rtl w:val="true"/>
        </w:rPr>
        <w:t>כי דרוש חיווי חיצוני כלשהו לחרטה הנטענת על</w:t>
      </w:r>
      <w:r>
        <w:rPr>
          <w:rtl w:val="true"/>
        </w:rPr>
        <w:t>-</w:t>
      </w:r>
      <w:r>
        <w:rPr>
          <w:rtl w:val="true"/>
        </w:rPr>
        <w:t>מנת שיינתן לה משקל לקולה</w:t>
      </w:r>
      <w:r>
        <w:rPr>
          <w:rtl w:val="true"/>
        </w:rPr>
        <w:t xml:space="preserve">.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בתשלום מלוא הפיצויים שפסק בית המשפט המחוזי אין די לעניין זה</w:t>
      </w:r>
      <w:r>
        <w:rPr>
          <w:rtl w:val="true"/>
        </w:rPr>
        <w:t xml:space="preserve">, </w:t>
      </w:r>
      <w:r>
        <w:rPr>
          <w:rtl w:val="true"/>
        </w:rPr>
        <w:t>וגם לא בהימנעות מלערער על הכרעת הדין המרשיעה</w:t>
      </w:r>
      <w:r>
        <w:rPr>
          <w:rtl w:val="true"/>
        </w:rPr>
        <w:t>.</w:t>
      </w:r>
    </w:p>
    <w:p>
      <w:pPr>
        <w:pStyle w:val="Ruller4"/>
        <w:spacing w:before="0" w:after="42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שאפשרויות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9603/09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רובינשטיין</w:t>
      </w:r>
      <w:r>
        <w:rPr>
          <w:rtl w:val="true"/>
        </w:rPr>
        <w:t xml:space="preserve">),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לנוכח מיעוט הנסיבות המקלות והצורך בהרתעת הרבים</w:t>
      </w:r>
      <w:r>
        <w:rPr>
          <w:rtl w:val="true"/>
        </w:rPr>
        <w:t xml:space="preserve">, </w:t>
      </w:r>
      <w:r>
        <w:rPr>
          <w:rtl w:val="true"/>
        </w:rPr>
        <w:t>יוצא כי ראוי היה לגזור את עונשו של המערער מעל לרף האמצע</w:t>
      </w:r>
      <w:r>
        <w:rPr>
          <w:rtl w:val="true"/>
        </w:rPr>
        <w:t xml:space="preserve">, </w:t>
      </w:r>
      <w:r>
        <w:rPr>
          <w:rtl w:val="true"/>
        </w:rPr>
        <w:t xml:space="preserve">בכל האישומים </w:t>
      </w:r>
      <w:r>
        <w:rPr>
          <w:rtl w:val="true"/>
        </w:rPr>
        <w:t>–</w:t>
      </w:r>
      <w:r>
        <w:rPr>
          <w:rtl w:val="true"/>
        </w:rPr>
        <w:t xml:space="preserve"> ובשלושת העיקריים</w:t>
      </w:r>
      <w:r>
        <w:rPr>
          <w:rtl w:val="true"/>
        </w:rPr>
        <w:t xml:space="preserve">, </w:t>
      </w:r>
      <w:r>
        <w:rPr>
          <w:rtl w:val="true"/>
        </w:rPr>
        <w:t>לפי המתחמים הבאים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</w:rPr>
        <w:t>10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20</w:t>
      </w:r>
      <w:r>
        <w:rPr>
          <w:rFonts w:cs="Century" w:ascii="Century" w:hAnsi="Century"/>
          <w:b/>
          <w:spacing w:val="0"/>
          <w:sz w:val="22"/>
          <w:rtl w:val="true"/>
        </w:rPr>
        <w:t xml:space="preserve"> </w:t>
      </w:r>
      <w:r>
        <w:rPr>
          <w:rFonts w:ascii="Century" w:hAnsi="Century" w:cs="Century"/>
          <w:b/>
          <w:b/>
          <w:spacing w:val="0"/>
          <w:sz w:val="22"/>
          <w:sz w:val="22"/>
          <w:rtl w:val="true"/>
        </w:rPr>
        <w:t>שנות מאסר</w:t>
      </w:r>
      <w:r>
        <w:rPr>
          <w:rtl w:val="true"/>
        </w:rPr>
        <w:t xml:space="preserve"> לאישום </w:t>
      </w:r>
      <w:r>
        <w:rPr>
          <w:rFonts w:ascii="Century" w:hAnsi="Century" w:cs="Century"/>
          <w:sz w:val="22"/>
          <w:sz w:val="22"/>
          <w:rtl w:val="true"/>
        </w:rPr>
        <w:t>הראשון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</w:rPr>
        <w:t>7.5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לאישום </w:t>
      </w:r>
      <w:r>
        <w:rPr>
          <w:rFonts w:ascii="Century" w:hAnsi="Century" w:cs="Century"/>
          <w:sz w:val="22"/>
          <w:sz w:val="22"/>
          <w:rtl w:val="true"/>
        </w:rPr>
        <w:t>השני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ושלושה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חודשים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5</w:t>
      </w:r>
      <w:r>
        <w:rPr>
          <w:rtl w:val="true"/>
        </w:rPr>
        <w:t xml:space="preserve"> </w:t>
      </w:r>
      <w:r>
        <w:rPr>
          <w:rtl w:val="true"/>
        </w:rPr>
        <w:t>שנים לאישום השלישי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אף שלטעמי ראוי היה</w:t>
      </w:r>
      <w:r>
        <w:rPr>
          <w:rtl w:val="true"/>
        </w:rPr>
        <w:t xml:space="preserve">, </w:t>
      </w:r>
      <w:r>
        <w:rPr>
          <w:rtl w:val="true"/>
        </w:rPr>
        <w:t>לכל הפחות</w:t>
      </w:r>
      <w:r>
        <w:rPr>
          <w:rtl w:val="true"/>
        </w:rPr>
        <w:t xml:space="preserve">, </w:t>
      </w:r>
      <w:r>
        <w:rPr>
          <w:rtl w:val="true"/>
        </w:rPr>
        <w:t>לגזור בנפרד את עונש המאסר בפועל לאישום הרביעי ולהורות כי ירוצה במצטבר</w:t>
      </w:r>
      <w:r>
        <w:rPr>
          <w:rtl w:val="true"/>
        </w:rPr>
        <w:t xml:space="preserve">, </w:t>
      </w:r>
      <w:r>
        <w:rPr>
          <w:rtl w:val="true"/>
        </w:rPr>
        <w:t>הרי שבשל אי</w:t>
      </w:r>
      <w:r>
        <w:rPr>
          <w:rtl w:val="true"/>
        </w:rPr>
        <w:t>-</w:t>
      </w:r>
      <w:r>
        <w:rPr>
          <w:rtl w:val="true"/>
        </w:rPr>
        <w:t>מיצוי הדין עם המערער אציע כי עונש המאסר בפועל ייגזר באופן כולל לארבעת האישומים</w:t>
      </w:r>
      <w:r>
        <w:rPr>
          <w:rtl w:val="true"/>
        </w:rPr>
        <w:t xml:space="preserve">, </w:t>
      </w:r>
      <w:r>
        <w:rPr>
          <w:rtl w:val="true"/>
        </w:rPr>
        <w:t xml:space="preserve">וייקבע על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 xml:space="preserve">הפיצוי לטובת הנכדה יועלה לסך של </w:t>
      </w:r>
      <w:r>
        <w:rPr/>
        <w:t>120,000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 xml:space="preserve">לטובת האחיינית </w:t>
      </w:r>
      <w:r>
        <w:rPr>
          <w:rtl w:val="true"/>
        </w:rPr>
        <w:t>–</w:t>
      </w:r>
      <w:r>
        <w:rPr>
          <w:rtl w:val="true"/>
        </w:rPr>
        <w:t xml:space="preserve"> לסך של </w:t>
      </w:r>
      <w:r>
        <w:rPr/>
        <w:t>70,000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 xml:space="preserve">ולטובת הבת </w:t>
      </w:r>
      <w:r>
        <w:rPr>
          <w:rtl w:val="true"/>
        </w:rPr>
        <w:t>–</w:t>
      </w:r>
      <w:r>
        <w:rPr>
          <w:rtl w:val="true"/>
        </w:rPr>
        <w:t xml:space="preserve"> לסך של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5668/19</w:t>
      </w:r>
      <w:r>
        <w:rPr>
          <w:rtl w:val="true"/>
        </w:rPr>
        <w:t xml:space="preserve"> </w:t>
      </w:r>
      <w:r>
        <w:rPr>
          <w:rtl w:val="true"/>
        </w:rPr>
        <w:t>והמשיב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5617/19</w:t>
      </w:r>
      <w:r>
        <w:rPr>
          <w:rtl w:val="true"/>
        </w:rPr>
        <w:t xml:space="preserve"> (</w:t>
      </w:r>
      <w:r>
        <w:rPr>
          <w:rtl w:val="true"/>
        </w:rPr>
        <w:t>שכונה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מטעמי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נוחות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tl w:val="true"/>
        </w:rPr>
        <w:t xml:space="preserve">).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בנכדתו</w:t>
      </w:r>
      <w:r>
        <w:rPr>
          <w:rtl w:val="true"/>
        </w:rPr>
        <w:t xml:space="preserve">, </w:t>
      </w:r>
      <w:r>
        <w:rPr>
          <w:rtl w:val="true"/>
        </w:rPr>
        <w:t>באחייניתו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ובבתו</w:t>
      </w:r>
      <w:r>
        <w:rPr>
          <w:rtl w:val="true"/>
        </w:rPr>
        <w:t xml:space="preserve">, </w:t>
      </w:r>
      <w:r>
        <w:rPr>
          <w:rtl w:val="true"/>
        </w:rPr>
        <w:t>בעשרות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שנמשכו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עשורים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והימנעותו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,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שהתמקדו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ביישומן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מצטברת</w:t>
      </w:r>
      <w:r>
        <w:rPr>
          <w:rtl w:val="true"/>
        </w:rPr>
        <w:t xml:space="preserve">"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מינימום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סוגיות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לדברים</w:t>
      </w:r>
      <w:r>
        <w:rPr>
          <w:rtl w:val="true"/>
        </w:rPr>
        <w:t xml:space="preserve">, </w:t>
      </w:r>
      <w:r>
        <w:rPr>
          <w:rtl w:val="true"/>
        </w:rPr>
        <w:t>אסתפק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קצרות</w:t>
      </w:r>
      <w:r>
        <w:rPr>
          <w:rtl w:val="true"/>
        </w:rPr>
        <w:t xml:space="preserve">, </w:t>
      </w:r>
      <w:r>
        <w:rPr>
          <w:rtl w:val="true"/>
        </w:rPr>
        <w:t>שלשיטתי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המצטברת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התחתון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צבירה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המזעריים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ואירוע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כצבירה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מטרמינולוגיה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צבירה</w:t>
      </w:r>
      <w:r>
        <w:rPr>
          <w:rtl w:val="true"/>
        </w:rPr>
        <w:t xml:space="preserve">, </w:t>
      </w:r>
      <w:r>
        <w:rPr>
          <w:rtl w:val="true"/>
        </w:rPr>
        <w:t>ולהסתפק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העליון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לאימוצו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".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למצער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המקסימום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לזיהויו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המקסימום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דבריי</w:t>
      </w:r>
      <w:r>
        <w:rPr>
          <w:rtl w:val="true"/>
        </w:rPr>
        <w:t xml:space="preserve">, </w:t>
      </w:r>
      <w:r>
        <w:rPr>
          <w:rtl w:val="true"/>
        </w:rPr>
        <w:t>מבחינתי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נכדתו</w:t>
      </w:r>
      <w:r>
        <w:rPr>
          <w:rtl w:val="true"/>
        </w:rPr>
        <w:t xml:space="preserve">, </w:t>
      </w:r>
      <w:r>
        <w:rPr>
          <w:rtl w:val="true"/>
        </w:rPr>
        <w:t>אחייניתו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szCs w:val="22"/>
        </w:rPr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מנימוקיו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והעקרוניים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והסתפקה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קצרות</w:t>
      </w:r>
      <w:r>
        <w:rPr>
          <w:rtl w:val="true"/>
        </w:rPr>
        <w:t xml:space="preserve">. 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להרחיב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להיבטים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הכלליים</w:t>
      </w:r>
      <w:r>
        <w:rPr>
          <w:rtl w:val="true"/>
        </w:rPr>
        <w:t xml:space="preserve">. </w:t>
      </w:r>
      <w:r>
        <w:rPr>
          <w:rtl w:val="true"/>
        </w:rPr>
        <w:t>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מצוא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26.8.2021</w:t>
      </w:r>
      <w:r>
        <w:rPr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19056170</w:t>
      </w:r>
      <w:r>
        <w:rPr>
          <w:sz w:val="16"/>
          <w:rtl w:val="true"/>
        </w:rPr>
        <w:t>_</w:t>
      </w:r>
      <w:r>
        <w:rPr>
          <w:sz w:val="16"/>
        </w:rPr>
        <w:t>J10.docx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1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54678313-5617/19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1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14"/>
      <w:footerReference w:type="default" r:id="rId11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5617/19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overflowPunct w:val="true"/>
      <w:autoSpaceDE w:val="true"/>
      <w:spacing w:before="0" w:after="420"/>
      <w:textAlignment w:val="auto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81926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27" TargetMode="External"/><Relationship Id="rId6" Type="http://schemas.openxmlformats.org/officeDocument/2006/relationships/hyperlink" Target="http://www.nevo.co.il/law/70301/40d.a" TargetMode="External"/><Relationship Id="rId7" Type="http://schemas.openxmlformats.org/officeDocument/2006/relationships/hyperlink" Target="http://www.nevo.co.il/law/70301/40d.b" TargetMode="External"/><Relationship Id="rId8" Type="http://schemas.openxmlformats.org/officeDocument/2006/relationships/hyperlink" Target="http://www.nevo.co.il/law/70301/45.a" TargetMode="External"/><Relationship Id="rId9" Type="http://schemas.openxmlformats.org/officeDocument/2006/relationships/hyperlink" Target="http://www.nevo.co.il/law/70301/214.b3" TargetMode="External"/><Relationship Id="rId10" Type="http://schemas.openxmlformats.org/officeDocument/2006/relationships/hyperlink" Target="http://www.nevo.co.il/law/70301/345.a.1" TargetMode="External"/><Relationship Id="rId11" Type="http://schemas.openxmlformats.org/officeDocument/2006/relationships/hyperlink" Target="http://www.nevo.co.il/law/70301/345.a.3" TargetMode="External"/><Relationship Id="rId12" Type="http://schemas.openxmlformats.org/officeDocument/2006/relationships/hyperlink" Target="http://www.nevo.co.il/law/70301/345.b.1" TargetMode="External"/><Relationship Id="rId13" Type="http://schemas.openxmlformats.org/officeDocument/2006/relationships/hyperlink" Target="http://www.nevo.co.il/law/70301/347.b" TargetMode="External"/><Relationship Id="rId14" Type="http://schemas.openxmlformats.org/officeDocument/2006/relationships/hyperlink" Target="http://www.nevo.co.il/law/70301/348.a" TargetMode="External"/><Relationship Id="rId15" Type="http://schemas.openxmlformats.org/officeDocument/2006/relationships/hyperlink" Target="http://www.nevo.co.il/law/70301/348.b" TargetMode="External"/><Relationship Id="rId16" Type="http://schemas.openxmlformats.org/officeDocument/2006/relationships/hyperlink" Target="http://www.nevo.co.il/law/70301/350" TargetMode="External"/><Relationship Id="rId17" Type="http://schemas.openxmlformats.org/officeDocument/2006/relationships/hyperlink" Target="http://www.nevo.co.il/law/70301/351.a" TargetMode="External"/><Relationship Id="rId18" Type="http://schemas.openxmlformats.org/officeDocument/2006/relationships/hyperlink" Target="http://www.nevo.co.il/law/70301/351.c.1" TargetMode="External"/><Relationship Id="rId19" Type="http://schemas.openxmlformats.org/officeDocument/2006/relationships/hyperlink" Target="http://www.nevo.co.il/law/70301/351.c.2" TargetMode="External"/><Relationship Id="rId20" Type="http://schemas.openxmlformats.org/officeDocument/2006/relationships/hyperlink" Target="http://www.nevo.co.il/law/70301/355.a" TargetMode="External"/><Relationship Id="rId21" Type="http://schemas.openxmlformats.org/officeDocument/2006/relationships/hyperlink" Target="http://www.nevo.co.il/law/70301/40ja.e" TargetMode="External"/><Relationship Id="rId22" Type="http://schemas.openxmlformats.org/officeDocument/2006/relationships/hyperlink" Target="http://www.nevo.co.il/law/70301/40jc.a" TargetMode="External"/><Relationship Id="rId23" Type="http://schemas.openxmlformats.org/officeDocument/2006/relationships/hyperlink" Target="http://www.nevo.co.il/law/70301/40jc.b" TargetMode="External"/><Relationship Id="rId24" Type="http://schemas.openxmlformats.org/officeDocument/2006/relationships/hyperlink" Target="http://www.nevo.co.il/law/72507" TargetMode="External"/><Relationship Id="rId25" Type="http://schemas.openxmlformats.org/officeDocument/2006/relationships/hyperlink" Target="http://www.nevo.co.il/law/72507/3.a.4" TargetMode="External"/><Relationship Id="rId26" Type="http://schemas.openxmlformats.org/officeDocument/2006/relationships/hyperlink" Target="http://www.nevo.co.il/law/72507/3.a.6.a" TargetMode="External"/><Relationship Id="rId27" Type="http://schemas.openxmlformats.org/officeDocument/2006/relationships/hyperlink" Target="http://www.nevo.co.il/law/71631" TargetMode="External"/><Relationship Id="rId28" Type="http://schemas.openxmlformats.org/officeDocument/2006/relationships/hyperlink" Target="http://www.nevo.co.il/law/71631/2.3" TargetMode="External"/><Relationship Id="rId29" Type="http://schemas.openxmlformats.org/officeDocument/2006/relationships/hyperlink" Target="http://www.nevo.co.il/law/71631/5" TargetMode="External"/><Relationship Id="rId30" Type="http://schemas.openxmlformats.org/officeDocument/2006/relationships/hyperlink" Target="http://www.nevo.co.il/case/22819265" TargetMode="External"/><Relationship Id="rId31" Type="http://schemas.openxmlformats.org/officeDocument/2006/relationships/hyperlink" Target="http://www.nevo.co.il/law/70301/351.a" TargetMode="External"/><Relationship Id="rId32" Type="http://schemas.openxmlformats.org/officeDocument/2006/relationships/hyperlink" Target="http://www.nevo.co.il/law/70301/347.b" TargetMode="External"/><Relationship Id="rId33" Type="http://schemas.openxmlformats.org/officeDocument/2006/relationships/hyperlink" Target="http://www.nevo.co.il/law/70301/345.a.3" TargetMode="External"/><Relationship Id="rId34" Type="http://schemas.openxmlformats.org/officeDocument/2006/relationships/hyperlink" Target="http://www.nevo.co.il/law/70301/351.c.1" TargetMode="External"/><Relationship Id="rId35" Type="http://schemas.openxmlformats.org/officeDocument/2006/relationships/hyperlink" Target="http://www.nevo.co.il/law/70301/348.a" TargetMode="External"/><Relationship Id="rId36" Type="http://schemas.openxmlformats.org/officeDocument/2006/relationships/hyperlink" Target="http://www.nevo.co.il/law/70301/345.a.3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351.c.2" TargetMode="External"/><Relationship Id="rId39" Type="http://schemas.openxmlformats.org/officeDocument/2006/relationships/hyperlink" Target="http://www.nevo.co.il/law/70301/348.b" TargetMode="External"/><Relationship Id="rId40" Type="http://schemas.openxmlformats.org/officeDocument/2006/relationships/hyperlink" Target="http://www.nevo.co.il/law/70301/345.b.1" TargetMode="External"/><Relationship Id="rId41" Type="http://schemas.openxmlformats.org/officeDocument/2006/relationships/hyperlink" Target="http://www.nevo.co.il/law/70301/345.a.1" TargetMode="External"/><Relationship Id="rId42" Type="http://schemas.openxmlformats.org/officeDocument/2006/relationships/hyperlink" Target="http://www.nevo.co.il/law/70301/25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2507/3.a.6.a" TargetMode="External"/><Relationship Id="rId45" Type="http://schemas.openxmlformats.org/officeDocument/2006/relationships/hyperlink" Target="http://www.nevo.co.il/law/72507/3.a.4" TargetMode="External"/><Relationship Id="rId46" Type="http://schemas.openxmlformats.org/officeDocument/2006/relationships/hyperlink" Target="http://www.nevo.co.il/law/72507" TargetMode="External"/><Relationship Id="rId47" Type="http://schemas.openxmlformats.org/officeDocument/2006/relationships/hyperlink" Target="http://www.nevo.co.il/law/71631/2.3" TargetMode="External"/><Relationship Id="rId48" Type="http://schemas.openxmlformats.org/officeDocument/2006/relationships/hyperlink" Target="http://www.nevo.co.il/law/71631/5" TargetMode="External"/><Relationship Id="rId49" Type="http://schemas.openxmlformats.org/officeDocument/2006/relationships/hyperlink" Target="http://www.nevo.co.il/law/70301/348.b" TargetMode="External"/><Relationship Id="rId50" Type="http://schemas.openxmlformats.org/officeDocument/2006/relationships/hyperlink" Target="http://www.nevo.co.il/law/70301/350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214.b3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case/26272196" TargetMode="External"/><Relationship Id="rId55" Type="http://schemas.openxmlformats.org/officeDocument/2006/relationships/hyperlink" Target="http://www.nevo.co.il/law/70301/355.a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20513526" TargetMode="External"/><Relationship Id="rId58" Type="http://schemas.openxmlformats.org/officeDocument/2006/relationships/hyperlink" Target="http://www.nevo.co.il/law/70301/40d.a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40d.b" TargetMode="External"/><Relationship Id="rId61" Type="http://schemas.openxmlformats.org/officeDocument/2006/relationships/hyperlink" Target="http://www.nevo.co.il/case/20952936" TargetMode="External"/><Relationship Id="rId62" Type="http://schemas.openxmlformats.org/officeDocument/2006/relationships/hyperlink" Target="http://www.nevo.co.il/case/26272196" TargetMode="External"/><Relationship Id="rId63" Type="http://schemas.openxmlformats.org/officeDocument/2006/relationships/hyperlink" Target="http://www.nevo.co.il/law/70301/40jc.a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law/70301/355.a" TargetMode="External"/><Relationship Id="rId66" Type="http://schemas.openxmlformats.org/officeDocument/2006/relationships/hyperlink" Target="http://www.nevo.co.il/law/70301/355.a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case/6249234" TargetMode="External"/><Relationship Id="rId69" Type="http://schemas.openxmlformats.org/officeDocument/2006/relationships/hyperlink" Target="http://www.nevo.co.il/case/10442754" TargetMode="External"/><Relationship Id="rId70" Type="http://schemas.openxmlformats.org/officeDocument/2006/relationships/hyperlink" Target="http://www.nevo.co.il/law/70301/45.a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0301/40jc.b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law/70301/45.a" TargetMode="External"/><Relationship Id="rId75" Type="http://schemas.openxmlformats.org/officeDocument/2006/relationships/hyperlink" Target="http://www.nevo.co.il/case/5779713" TargetMode="External"/><Relationship Id="rId76" Type="http://schemas.openxmlformats.org/officeDocument/2006/relationships/hyperlink" Target="http://www.nevo.co.il/case/5799039" TargetMode="External"/><Relationship Id="rId77" Type="http://schemas.openxmlformats.org/officeDocument/2006/relationships/hyperlink" Target="http://www.nevo.co.il/law/70301/351.a" TargetMode="External"/><Relationship Id="rId78" Type="http://schemas.openxmlformats.org/officeDocument/2006/relationships/hyperlink" Target="http://www.nevo.co.il/law/70301/351.c.1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/27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law/70301/351.c.2" TargetMode="External"/><Relationship Id="rId83" Type="http://schemas.openxmlformats.org/officeDocument/2006/relationships/hyperlink" Target="http://www.nevo.co.il/case/20588747" TargetMode="External"/><Relationship Id="rId84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law/70301/355.a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case/6248957" TargetMode="External"/><Relationship Id="rId88" Type="http://schemas.openxmlformats.org/officeDocument/2006/relationships/hyperlink" Target="http://www.nevo.co.il/case/6207967" TargetMode="External"/><Relationship Id="rId89" Type="http://schemas.openxmlformats.org/officeDocument/2006/relationships/hyperlink" Target="http://www.nevo.co.il/case/24140670" TargetMode="External"/><Relationship Id="rId90" Type="http://schemas.openxmlformats.org/officeDocument/2006/relationships/hyperlink" Target="http://www.nevo.co.il/case/27309272" TargetMode="External"/><Relationship Id="rId91" Type="http://schemas.openxmlformats.org/officeDocument/2006/relationships/hyperlink" Target="http://www.nevo.co.il/case/27078636" TargetMode="External"/><Relationship Id="rId92" Type="http://schemas.openxmlformats.org/officeDocument/2006/relationships/hyperlink" Target="http://www.nevo.co.il/case/6207199" TargetMode="External"/><Relationship Id="rId93" Type="http://schemas.openxmlformats.org/officeDocument/2006/relationships/hyperlink" Target="http://www.nevo.co.il/law/70301/40ja.e" TargetMode="External"/><Relationship Id="rId94" Type="http://schemas.openxmlformats.org/officeDocument/2006/relationships/hyperlink" Target="http://www.nevo.co.il/law/70301" TargetMode="External"/><Relationship Id="rId95" Type="http://schemas.openxmlformats.org/officeDocument/2006/relationships/hyperlink" Target="http://www.nevo.co.il/law/70301/345.b.1" TargetMode="External"/><Relationship Id="rId96" Type="http://schemas.openxmlformats.org/officeDocument/2006/relationships/hyperlink" Target="http://www.nevo.co.il/law/70301/348.b" TargetMode="External"/><Relationship Id="rId97" Type="http://schemas.openxmlformats.org/officeDocument/2006/relationships/hyperlink" Target="http://www.nevo.co.il/law/70301/351.c.2" TargetMode="External"/><Relationship Id="rId98" Type="http://schemas.openxmlformats.org/officeDocument/2006/relationships/hyperlink" Target="http://www.nevo.co.il/law/70301" TargetMode="External"/><Relationship Id="rId99" Type="http://schemas.openxmlformats.org/officeDocument/2006/relationships/hyperlink" Target="http://www.nevo.co.il/case/20952936" TargetMode="External"/><Relationship Id="rId100" Type="http://schemas.openxmlformats.org/officeDocument/2006/relationships/hyperlink" Target="http://www.nevo.co.il/case/22899443" TargetMode="External"/><Relationship Id="rId101" Type="http://schemas.openxmlformats.org/officeDocument/2006/relationships/hyperlink" Target="http://www.nevo.co.il/case/16948372" TargetMode="External"/><Relationship Id="rId102" Type="http://schemas.openxmlformats.org/officeDocument/2006/relationships/hyperlink" Target="http://www.nevo.co.il/case/5799039" TargetMode="External"/><Relationship Id="rId103" Type="http://schemas.openxmlformats.org/officeDocument/2006/relationships/hyperlink" Target="http://www.nevo.co.il/case/27000398" TargetMode="External"/><Relationship Id="rId104" Type="http://schemas.openxmlformats.org/officeDocument/2006/relationships/hyperlink" Target="http://www.nevo.co.il/case/26430898" TargetMode="External"/><Relationship Id="rId105" Type="http://schemas.openxmlformats.org/officeDocument/2006/relationships/hyperlink" Target="http://www.nevo.co.il/case/22303308" TargetMode="External"/><Relationship Id="rId106" Type="http://schemas.openxmlformats.org/officeDocument/2006/relationships/hyperlink" Target="http://www.nevo.co.il/case/23613030" TargetMode="External"/><Relationship Id="rId107" Type="http://schemas.openxmlformats.org/officeDocument/2006/relationships/hyperlink" Target="http://www.nevo.co.il/case/6708658" TargetMode="External"/><Relationship Id="rId108" Type="http://schemas.openxmlformats.org/officeDocument/2006/relationships/hyperlink" Target="http://www.nevo.co.il/case/6248957" TargetMode="External"/><Relationship Id="rId109" Type="http://schemas.openxmlformats.org/officeDocument/2006/relationships/hyperlink" Target="http://www.nevo.co.il/case/6246845" TargetMode="External"/><Relationship Id="rId110" Type="http://schemas.openxmlformats.org/officeDocument/2006/relationships/hyperlink" Target="http://www.nevo.co.il/case/26978057" TargetMode="External"/><Relationship Id="rId111" Type="http://schemas.openxmlformats.org/officeDocument/2006/relationships/hyperlink" Target="http://www.nevo.co.il/case/6249234" TargetMode="External"/><Relationship Id="rId112" Type="http://schemas.openxmlformats.org/officeDocument/2006/relationships/hyperlink" Target="https://supreme.court.gov.il/" TargetMode="External"/><Relationship Id="rId113" Type="http://schemas.openxmlformats.org/officeDocument/2006/relationships/hyperlink" Target="http://www.nevo.co.il/advertisements/nevo-100.doc" TargetMode="External"/><Relationship Id="rId114" Type="http://schemas.openxmlformats.org/officeDocument/2006/relationships/header" Target="header1.xml"/><Relationship Id="rId115" Type="http://schemas.openxmlformats.org/officeDocument/2006/relationships/footer" Target="footer1.xml"/><Relationship Id="rId116" Type="http://schemas.openxmlformats.org/officeDocument/2006/relationships/numbering" Target="numbering.xml"/><Relationship Id="rId117" Type="http://schemas.openxmlformats.org/officeDocument/2006/relationships/fontTable" Target="fontTable.xml"/><Relationship Id="rId118" Type="http://schemas.openxmlformats.org/officeDocument/2006/relationships/settings" Target="settings.xml"/><Relationship Id="rId1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2021-08-29T08:31:00Z</dcterms:created>
  <dc:creator>h4</dc:creator>
  <dc:description/>
  <cp:keywords/>
  <dc:language>en-IL</dc:language>
  <cp:lastModifiedBy>orly</cp:lastModifiedBy>
  <cp:lastPrinted>2021-08-26T09:02:00Z</cp:lastPrinted>
  <dcterms:modified xsi:type="dcterms:W3CDTF">2021-08-29T08:31:00Z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22819265:2;26272196:2;20513526;20952936:2;6249234:2;10442754;5779713;5799039:2;20588747;6248957:2;6207967;24140670;27309272;27078636;6207199;22899443;16948372;27000398;26430898;22303308;23613030;6708658;6246845;26978057</vt:lpwstr>
  </property>
  <property fmtid="{D5CDD505-2E9C-101B-9397-08002B2CF9AE}" pid="9" name="CITY">
    <vt:lpwstr/>
  </property>
  <property fmtid="{D5CDD505-2E9C-101B-9397-08002B2CF9AE}" pid="10" name="DATE">
    <vt:lpwstr>20210826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ברק ארז;י' אלרון;ה נ' הנדל</vt:lpwstr>
  </property>
  <property fmtid="{D5CDD505-2E9C-101B-9397-08002B2CF9AE}" pid="14" name="LAWLISTTMP1">
    <vt:lpwstr>70301/351.a:2;347.b;345.a.3:2;351.c.1:2;348.a;351.c.2:3;348.b:3;345.b.1:2;345.a.1;025;350;214.b3;355.a:4;040d.a;040d.b;40jc.a;045.a:2;40jc.b;027;40ja.e</vt:lpwstr>
  </property>
  <property fmtid="{D5CDD505-2E9C-101B-9397-08002B2CF9AE}" pid="15" name="LAWLISTTMP2">
    <vt:lpwstr>72507/003.a.6.a;003.a.4</vt:lpwstr>
  </property>
  <property fmtid="{D5CDD505-2E9C-101B-9397-08002B2CF9AE}" pid="16" name="LAWLISTTMP3">
    <vt:lpwstr>71631/002.3;005</vt:lpwstr>
  </property>
  <property fmtid="{D5CDD505-2E9C-101B-9397-08002B2CF9AE}" pid="17" name="LAWYER">
    <vt:lpwstr>שלומציון גבאי מנדלמן;ורד חלאוה;טלי איזנברג;ברכה וייס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בתי-משפט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77;77;77;14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ערעור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1446;1446;1446;333</vt:lpwstr>
  </property>
  <property fmtid="{D5CDD505-2E9C-101B-9397-08002B2CF9AE}" pid="50" name="NOSE31">
    <vt:lpwstr>מתחם הענישה</vt:lpwstr>
  </property>
  <property fmtid="{D5CDD505-2E9C-101B-9397-08002B2CF9AE}" pid="51" name="NOSE310">
    <vt:lpwstr/>
  </property>
  <property fmtid="{D5CDD505-2E9C-101B-9397-08002B2CF9AE}" pid="52" name="NOSE32">
    <vt:lpwstr>מדיניות ענישה: עבירות מין</vt:lpwstr>
  </property>
  <property fmtid="{D5CDD505-2E9C-101B-9397-08002B2CF9AE}" pid="53" name="NOSE33">
    <vt:lpwstr>דרכי ענישה: פיצויים</vt:lpwstr>
  </property>
  <property fmtid="{D5CDD505-2E9C-101B-9397-08002B2CF9AE}" pid="54" name="NOSE34">
    <vt:lpwstr>התערבות בעונש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14985;8988;8968;13372</vt:lpwstr>
  </property>
  <property fmtid="{D5CDD505-2E9C-101B-9397-08002B2CF9AE}" pid="61" name="PADIDATE">
    <vt:lpwstr>20210829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עפ;עפ</vt:lpwstr>
  </property>
  <property fmtid="{D5CDD505-2E9C-101B-9397-08002B2CF9AE}" pid="66" name="PROCNUM">
    <vt:lpwstr>5617;5668</vt:lpwstr>
  </property>
  <property fmtid="{D5CDD505-2E9C-101B-9397-08002B2CF9AE}" pid="67" name="PROCYEAR">
    <vt:lpwstr>19;19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410120210826</vt:lpwstr>
  </property>
  <property fmtid="{D5CDD505-2E9C-101B-9397-08002B2CF9AE}" pid="71" name="TYPE_N_DATE">
    <vt:lpwstr>41020210826</vt:lpwstr>
  </property>
  <property fmtid="{D5CDD505-2E9C-101B-9397-08002B2CF9AE}" pid="72" name="VOLUME">
    <vt:lpwstr/>
  </property>
  <property fmtid="{D5CDD505-2E9C-101B-9397-08002B2CF9AE}" pid="73" name="WORDNUMPAGES">
    <vt:lpwstr>19</vt:lpwstr>
  </property>
</Properties>
</file>