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5626/19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5756/19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5815/19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5857/19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both"/>
              <w:rPr/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5626/19</w:t>
            </w:r>
          </w:p>
          <w:p>
            <w:pPr>
              <w:pStyle w:val="BodyRuller1"/>
              <w:ind w:end="0"/>
              <w:jc w:val="both"/>
              <w:rPr>
                <w:rFonts w:ascii="David;Times New Roman" w:hAnsi="David;Times New Roman" w:cs="David;Times New Roman"/>
              </w:rPr>
            </w:pPr>
            <w:r>
              <w:rPr>
                <w:rFonts w:eastAsia="David;Times New Roman"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 xml:space="preserve">והמשיב </w:t>
            </w:r>
            <w:r>
              <w:rPr>
                <w:rFonts w:cs="David;Times New Roman" w:ascii="David;Times New Roman" w:hAnsi="David;Times New Roman"/>
              </w:rPr>
              <w:t>3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5857/19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both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אטקלה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אבטרמרים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  <w:tab/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both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5756/19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 xml:space="preserve">והמשיב </w:t>
            </w:r>
            <w:r>
              <w:rPr>
                <w:rFonts w:cs="David;Times New Roman" w:ascii="David;Times New Roman" w:hAnsi="David;Times New Roman"/>
              </w:rPr>
              <w:t>1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5857/19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both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אמנאל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טקיה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5815/19</w:t>
            </w:r>
          </w:p>
          <w:p>
            <w:pPr>
              <w:pStyle w:val="BodyRuller1"/>
              <w:ind w:end="0"/>
              <w:jc w:val="both"/>
              <w:rPr>
                <w:rFonts w:ascii="David;Times New Roman" w:hAnsi="David;Times New Roman" w:cs="David;Times New Roman"/>
              </w:rPr>
            </w:pPr>
            <w:r>
              <w:rPr>
                <w:rFonts w:eastAsia="David;Times New Roman"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 xml:space="preserve">והמשיב </w:t>
            </w:r>
            <w:r>
              <w:rPr>
                <w:rFonts w:cs="David;Times New Roman" w:ascii="David;Times New Roman" w:hAnsi="David;Times New Roman"/>
              </w:rPr>
              <w:t>2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5857/19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both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גברו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טקאלי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58"/>
        <w:gridCol w:w="4906"/>
      </w:tblGrid>
      <w:tr>
        <w:trPr>
          <w:trHeight w:val="287" w:hRule="atLeast"/>
        </w:trPr>
        <w:tc>
          <w:tcPr>
            <w:tcW w:w="3458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5626/19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, 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5756/19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5815/19</w:t>
            </w:r>
            <w:r>
              <w:rPr>
                <w:rFonts w:cs="David;Times New Roman" w:ascii="David;Times New Roman" w:hAnsi="David;Times New Roman"/>
                <w:rtl w:val="true"/>
              </w:rPr>
              <w:t>;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והמערערת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5857/19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490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22.7.2019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15252-08-15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רות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צבי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ודבורה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285"/>
        <w:gridCol w:w="848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28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20.12.2020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8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5626/19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והמשיב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5957/19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שלומציון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גבאי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מנדלמן</w:t>
            </w:r>
          </w:p>
        </w:tc>
      </w:tr>
    </w:tbl>
    <w:p>
      <w:pPr>
        <w:pStyle w:val="Normal"/>
        <w:overflowPunct w:val="true"/>
        <w:autoSpaceDE w:val="true"/>
        <w:bidi w:val="0"/>
        <w:jc w:val="start"/>
        <w:textAlignment w:val="auto"/>
        <w:rPr>
          <w:rFonts w:cs="FrankRuehl;Times New Roman"/>
          <w:spacing w:val="10"/>
          <w:sz w:val="22"/>
          <w:szCs w:val="28"/>
        </w:rPr>
      </w:pPr>
      <w:r>
        <w:rPr>
          <w:rFonts w:cs="FrankRuehl;Times New Roman"/>
          <w:spacing w:val="10"/>
          <w:sz w:val="22"/>
          <w:szCs w:val="28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5756/19</w:t>
            </w:r>
            <w:r>
              <w:rPr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והמשיב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5857/19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זילברשלג</w:t>
            </w:r>
            <w:r>
              <w:rPr>
                <w:sz w:val="26"/>
                <w:szCs w:val="26"/>
                <w:rtl w:val="true"/>
              </w:rPr>
              <w:t xml:space="preserve">;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ליאור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ברניר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5815/19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והמשיב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5857/19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דוד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ברהום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bookmarkStart w:id="4" w:name="FirstLawyer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>ה ב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  <w:sz w:val="26"/>
                <w:szCs w:val="26"/>
              </w:rPr>
              <w:t>5626/19</w:t>
            </w:r>
            <w:r>
              <w:rPr>
                <w:rFonts w:cs="David;Times New Roman" w:ascii="David;Times New Roman" w:hAnsi="David;Times New Roman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  <w:sz w:val="26"/>
                <w:szCs w:val="26"/>
              </w:rPr>
              <w:t>5756/19</w:t>
            </w:r>
            <w:r>
              <w:rPr>
                <w:rFonts w:cs="David;Times New Roman" w:ascii="David;Times New Roman" w:hAnsi="David;Times New Roman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>וב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  <w:sz w:val="26"/>
                <w:szCs w:val="26"/>
              </w:rPr>
              <w:t>5815/19</w:t>
            </w:r>
            <w:r>
              <w:rPr>
                <w:rFonts w:cs="David;Times New Roman" w:ascii="David;Times New Roman" w:hAnsi="David;Times New Roman"/>
                <w:sz w:val="26"/>
                <w:szCs w:val="26"/>
                <w:rtl w:val="true"/>
              </w:rPr>
              <w:t>;</w:t>
            </w:r>
            <w:r>
              <w:rPr>
                <w:rFonts w:cs="David;Times New Roman" w:ascii="David;Times New Roman" w:hAnsi="David;Times New Roman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>והמערערת ב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  <w:sz w:val="26"/>
                <w:szCs w:val="26"/>
              </w:rPr>
              <w:t>5857/19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ענת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גרינבאום</w:t>
            </w:r>
            <w:r>
              <w:rPr>
                <w:sz w:val="26"/>
                <w:szCs w:val="26"/>
                <w:rtl w:val="true"/>
              </w:rPr>
              <w:t xml:space="preserve">;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שרה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3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5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369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499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30"/>
          <w:szCs w:val="34"/>
        </w:rPr>
      </w:pPr>
      <w:r>
        <w:rPr>
          <w:rFonts w:cs="FrankRuehl;Times New Roman" w:ascii="FrankRuehl;Times New Roman" w:hAnsi="FrankRuehl;Times New Roman"/>
          <w:color w:val="0000FF"/>
          <w:sz w:val="30"/>
          <w:szCs w:val="3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8" w:name="ABSTRACT_START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דן בעניינם של המערערים אשר הורשעו בפרשת אונס קבוצתי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לא מצא מקום להתערב בהרשעת המערער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ואף לא בגזר הדין שהושת על המערערים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3-1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בגין מעורבותם בפרשה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שכן העונשים שנגזרו הולמים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17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קיבל את ערעור המדינה על החלטת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קמא לפיה אם המתלוננת לא תימצא עד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ימים לפני המועד שנקבע לתשלום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יבוטל החיוב בפיצוי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והורה כי החיוב בפיצוי למתלוננת יעמוד בעינו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פיצויים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ערעור – 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בממצאים עובדתיים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עניינם של הערעורים בפרשת אונס קבוצתי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במסגרתה הועמדו לדין חמישה מעורבים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-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מערערים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נאשם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ומעורב נוסף בשם קידנה טדסה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כל המעורבים הם נתינים זרים מאריתריאה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5626/19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נסב על ערעור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הכרעת דינו ועל גזר דינו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המחוזי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-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מאסרים מותנים ופיצוי למתלוננת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80,000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5756/19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נסב על ערעור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על גזר הדין בו הוטלו עליו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17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מאסרים מותנים ופיצוי למתלוננת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80,000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5815/19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הנו ערעור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על גזר הדין בו הוטלו עליו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15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מאסרים מותנים ופיצוי למתלוננת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80,000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המדינה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5857/19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על קולת עונש המאסר שהוטל על מערערים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2-1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ועל החלטת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המחוזי לפיה אם לא תאותר המתלוננת עד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יום לפני המועד שנקבע לתשלום הפיצוי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יבוטל החיוב בפיצוי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קרא ובהסכמת השופטים פוגלמן ושטיין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הערעורים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5626/19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5815/19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5756/19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קיבל בחלקו את הערעור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5857/19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הלכה היא כי ערכאת הערעור אינה נוטה להתערב בממצאי עובדה וקביעות מהימנות של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משלזו היתרון על פני ערכאת הערעור בהתרשמות הבלתי אמצעית מן העדויות ובשל היתרון המוקנה לה עקב כך בקביעת ממצאים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להלכה זו שלושה חריגים אשר מאפשרים את התערבותה של ערכאת הערעור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כאשר מדובר בממצאים המתבססים על ראיות בכתב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כאשר מסקנות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מתבססות על שיקולים שבהיגיון וניסיון החיים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וכאשר נפלה טעות ממשית ומהותית בהערכת הראיות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במקרה זה הכרעת דינו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התבססה על סרטוני מצלמות אבטחה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המהווים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ראיות בכתב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ועל הסקת מסקנות שבהיגיון מהנראה בהם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באופן המאפשר לערכאת הערעור לבחון את ממצאי ומסקנות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ובמידת הצורך אף להתערב בהם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 לצד קביעות המהימנות של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בהן לא ניתן להתערב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לאחר ששמעה את עדויות עדי התביעה והתרשמה מהן לחיוב ודחתה את גרסת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כגרסה שקרית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מסקנת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קמא כי 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ולמצער עצם את עיניו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כי מערערים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2-1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אונסים את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התבססה על מראה עיניו והתרשמותו מצפייה בסרטונים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ועל ראיות נוספות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בהן הודאת 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בחטיפת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עדויות המתלוננת ועדים נוספים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שקרי 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ואי מתן אמון בגרסתו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מסרטון מצלמת האבטחה עולה כי 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ידע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ולמצער עצם את עיניו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כי מערערים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2-1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אונסים את המתלוננת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ולא ניתן לקבל את טענתו של 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בדבר היותו שיכור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חלקו של 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אינו דומה לחלקו של נאשם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שלא היה שותף לחטיפת המתלוננת והבאתה לחדר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והלך לישון בשלב מסוים במהלך האירוע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באופן המצביע על רמת עניין נמוכה בתוכנית העבריינית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כל האמור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ממצאי העובדה והמהימנות שקבע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מבססים היטב את המסקנה המרשיעה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הערעור על הכרעת הדין נדחה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לערעורים על 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ערכאת הערעור לא תתערב בעונש שגזרה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במקרים חריגים שבהם העונש חורג באופן קיצוני ממדיניות הענישה הנוהגת או הראויה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במקרים שבהם נפלה טעות מהותית בגזירת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עניינם של מערערים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אינו נופל בגדר החריגים האמורים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גזר הדין מנומק ומפורט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ונשקלו בו מכלול השיקולים הרלוונטיים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העונשים שנגזרו על המערערים הולמים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ולא נמצא כי יש מקום להתערב בהם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עונשם של מערערים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2-1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חורג ממדיניות הענישה הנוהגת או הראויה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וממילא אינו חורג באופן קיצוני המצדיק התערבות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עונשו של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דומה לעונשו של טדסה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חלקם היה דומה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כאשר עונשו של טדסה הוחמר 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שהובהר כי ערכאת הערעור אינה ממצה את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לערעור המדינה על החלטת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קמא במסגרתה נקבע כי אם המתלוננת לא תימצא עד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ימים לפני המועד שנקבע לתשלום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יבוטל החיוב בפיצוי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הרי שכפי שנפסק בעניין טקיה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החיוב בפיצוי למתלוננת יעמוד בעינו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 w:val="30"/>
          <w:szCs w:val="34"/>
        </w:rPr>
      </w:pPr>
      <w:r>
        <w:rPr>
          <w:rFonts w:cs="Times New Roman;Times New Roman"/>
          <w:spacing w:val="0"/>
          <w:sz w:val="30"/>
          <w:szCs w:val="34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אטקלה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אבטרמרים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5626/19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15252-08-15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עטר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שנית</w:t>
      </w:r>
      <w:r>
        <w:rPr>
          <w:rtl w:val="true"/>
        </w:rPr>
        <w:t>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/>
        <w:t>25.2.2019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22.7.2019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caps/>
          <w:rtl w:val="true"/>
        </w:rPr>
        <w:t>מאסרים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מותנים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ופיצוי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למתלוננת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בסך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</w:rPr>
        <w:t>80,000</w:t>
      </w:r>
      <w:r>
        <w:rPr>
          <w:caps/>
          <w:rtl w:val="true"/>
        </w:rPr>
        <w:t xml:space="preserve"> </w:t>
      </w:r>
      <w:r>
        <w:rPr>
          <w:caps/>
          <w:rtl w:val="true"/>
        </w:rPr>
        <w:t>ש</w:t>
      </w:r>
      <w:r>
        <w:rPr>
          <w:caps/>
          <w:rtl w:val="true"/>
        </w:rPr>
        <w:t>"</w:t>
      </w:r>
      <w:r>
        <w:rPr>
          <w:caps/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טקיה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5756/19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</w:t>
      </w:r>
      <w:r>
        <w:rPr>
          <w:caps/>
          <w:rtl w:val="true"/>
        </w:rPr>
        <w:t>סר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בפועל</w:t>
      </w:r>
      <w:r>
        <w:rPr>
          <w:caps/>
          <w:rtl w:val="true"/>
        </w:rPr>
        <w:t xml:space="preserve">, </w:t>
      </w:r>
      <w:r>
        <w:rPr>
          <w:caps/>
          <w:rtl w:val="true"/>
        </w:rPr>
        <w:t>מאסרים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מותנים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ופיצוי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למתלוננת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בסך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</w:rPr>
        <w:t>80,000</w:t>
      </w:r>
      <w:r>
        <w:rPr>
          <w:caps/>
          <w:rtl w:val="true"/>
        </w:rPr>
        <w:t xml:space="preserve"> </w:t>
      </w:r>
      <w:r>
        <w:rPr>
          <w:caps/>
          <w:rtl w:val="true"/>
        </w:rPr>
        <w:t>ש</w:t>
      </w:r>
      <w:r>
        <w:rPr>
          <w:caps/>
          <w:rtl w:val="true"/>
        </w:rPr>
        <w:t>"</w:t>
      </w:r>
      <w:r>
        <w:rPr>
          <w:caps/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טקאלי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5815/19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</w:t>
      </w:r>
      <w:r>
        <w:rPr>
          <w:caps/>
          <w:rtl w:val="true"/>
        </w:rPr>
        <w:t>סר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בפועל</w:t>
      </w:r>
      <w:r>
        <w:rPr>
          <w:caps/>
          <w:rtl w:val="true"/>
        </w:rPr>
        <w:t xml:space="preserve">, </w:t>
      </w:r>
      <w:r>
        <w:rPr>
          <w:caps/>
          <w:rtl w:val="true"/>
        </w:rPr>
        <w:t>מאסרים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מותנים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ופיצוי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למתלוננת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  <w:rtl w:val="true"/>
        </w:rPr>
        <w:t>בסך</w:t>
      </w:r>
      <w:r>
        <w:rPr>
          <w:rFonts w:eastAsia="Arial TUR;Arial" w:cs="Arial TUR;Arial"/>
          <w:caps/>
          <w:rtl w:val="true"/>
        </w:rPr>
        <w:t xml:space="preserve"> </w:t>
      </w:r>
      <w:r>
        <w:rPr>
          <w:caps/>
        </w:rPr>
        <w:t>80,000</w:t>
      </w:r>
      <w:r>
        <w:rPr>
          <w:caps/>
          <w:rtl w:val="true"/>
        </w:rPr>
        <w:t xml:space="preserve"> </w:t>
      </w:r>
      <w:r>
        <w:rPr>
          <w:caps/>
          <w:rtl w:val="true"/>
        </w:rPr>
        <w:t>ש</w:t>
      </w:r>
      <w:r>
        <w:rPr>
          <w:caps/>
          <w:rtl w:val="true"/>
        </w:rPr>
        <w:t>"</w:t>
      </w:r>
      <w:r>
        <w:rPr>
          <w:caps/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5857/19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22.7.2019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1.10.2019</w:t>
      </w:r>
      <w:r>
        <w:rPr>
          <w:rtl w:val="true"/>
        </w:rPr>
        <w:t xml:space="preserve">), </w:t>
      </w:r>
      <w:r>
        <w:rPr>
          <w:rtl w:val="true"/>
        </w:rPr>
        <w:t>יבוטל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pacing w:val="0"/>
          <w:sz w:val="20"/>
          <w:sz w:val="20"/>
          <w:szCs w:val="24"/>
          <w:rtl w:val="true"/>
        </w:rPr>
        <w:t>החלטתו של בית המשפט קמא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5966/19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25.1.2021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מערעורם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ומיקדו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עובדות כתב האישום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עניינם של הערעורים שלפנינו בפרשת אונס קבוצתי</w:t>
      </w:r>
      <w:r>
        <w:rPr>
          <w:rtl w:val="true"/>
        </w:rPr>
        <w:t xml:space="preserve">, </w:t>
      </w:r>
      <w:r>
        <w:rPr>
          <w:rtl w:val="true"/>
        </w:rPr>
        <w:t xml:space="preserve">במסגרתה הועמדו לדין חמישה מעורבים </w:t>
      </w:r>
      <w:r>
        <w:rPr>
          <w:rtl w:val="true"/>
        </w:rPr>
        <w:t>–</w:t>
      </w:r>
      <w:r>
        <w:rPr>
          <w:rtl w:val="true"/>
        </w:rPr>
        <w:t xml:space="preserve"> מערערים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ומעורב נוסף בשם קידנה טדסה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טדסה</w:t>
      </w:r>
      <w:r>
        <w:rPr>
          <w:rtl w:val="true"/>
        </w:rPr>
        <w:t xml:space="preserve">). </w:t>
      </w:r>
      <w:r>
        <w:rPr>
          <w:rtl w:val="true"/>
        </w:rPr>
        <w:t>כל המעורבים הינם נתינים זרים מאריתריאה שאין להם היכרות קודמת עם 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בלילה שבין ה</w:t>
      </w:r>
      <w:r>
        <w:rPr>
          <w:rtl w:val="true"/>
        </w:rPr>
        <w:t>-</w:t>
      </w:r>
      <w:r>
        <w:rPr/>
        <w:t>24.6.2015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25.6.2015</w:t>
      </w:r>
      <w:r>
        <w:rPr>
          <w:rtl w:val="true"/>
        </w:rPr>
        <w:t xml:space="preserve">, </w:t>
      </w:r>
      <w:r>
        <w:rPr>
          <w:rtl w:val="true"/>
        </w:rPr>
        <w:t>בילתה המתלוננת במועדון סנוקר ושתתה משקאות אלכוהוליים שפגעו ביכולתה לתפקד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ומערער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התיישבו בסמוך למתלוננת</w:t>
      </w:r>
      <w:r>
        <w:rPr>
          <w:rtl w:val="true"/>
        </w:rPr>
        <w:t xml:space="preserve">. </w:t>
      </w:r>
      <w:r>
        <w:rPr>
          <w:rtl w:val="true"/>
        </w:rPr>
        <w:t>עם סגירת המועדון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הלכה למסעדת שווארמה שנמצאת בסמיכות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השווארמה</w:t>
      </w:r>
      <w:r>
        <w:rPr>
          <w:rtl w:val="true"/>
        </w:rPr>
        <w:t xml:space="preserve">), </w:t>
      </w:r>
      <w:r>
        <w:rPr>
          <w:rtl w:val="true"/>
        </w:rPr>
        <w:t>שם שהתה יחד עם איציק שדה</w:t>
      </w:r>
      <w:r>
        <w:rPr>
          <w:rtl w:val="true"/>
        </w:rPr>
        <w:t xml:space="preserve">, </w:t>
      </w:r>
      <w:r>
        <w:rPr>
          <w:rtl w:val="true"/>
        </w:rPr>
        <w:t xml:space="preserve">איתו יש לה היכרות מוקדמת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שדה</w:t>
      </w:r>
      <w:r>
        <w:rPr>
          <w:rtl w:val="true"/>
        </w:rPr>
        <w:t xml:space="preserve">). </w:t>
      </w:r>
      <w:r>
        <w:rPr>
          <w:rtl w:val="true"/>
        </w:rPr>
        <w:t xml:space="preserve">מערערים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וטדסה </w:t>
      </w:r>
      <w:r>
        <w:rPr>
          <w:rtl w:val="true"/>
        </w:rPr>
        <w:t>(</w:t>
      </w:r>
      <w:r>
        <w:rPr>
          <w:rtl w:val="true"/>
        </w:rPr>
        <w:t>להלן 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החבורה</w:t>
      </w:r>
      <w:r>
        <w:rPr>
          <w:rtl w:val="true"/>
        </w:rPr>
        <w:t xml:space="preserve">), </w:t>
      </w:r>
      <w:r>
        <w:rPr>
          <w:rtl w:val="true"/>
        </w:rPr>
        <w:t>התקהלו סביב המתלוננת</w:t>
      </w:r>
      <w:r>
        <w:rPr>
          <w:rtl w:val="true"/>
        </w:rPr>
        <w:t xml:space="preserve">, </w:t>
      </w:r>
      <w:r>
        <w:rPr>
          <w:rtl w:val="true"/>
        </w:rPr>
        <w:t>רכנו לעברה ואמרו לה להתלוות אליהם</w:t>
      </w:r>
      <w:r>
        <w:rPr>
          <w:rtl w:val="true"/>
        </w:rPr>
        <w:t xml:space="preserve">. </w:t>
      </w:r>
      <w:r>
        <w:rPr>
          <w:rtl w:val="true"/>
        </w:rPr>
        <w:t>בעת שהוסחה דעתו של שדה מהמתלוננת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משך בזרועה השמאלית של המתלוננת והרים אותה מהכיסא עליו ישבה</w:t>
      </w:r>
      <w:r>
        <w:rPr>
          <w:rtl w:val="true"/>
        </w:rPr>
        <w:t xml:space="preserve">, </w:t>
      </w:r>
      <w:r>
        <w:rPr>
          <w:rtl w:val="true"/>
        </w:rPr>
        <w:t>ויחד עם טדסה גרר אותה בניגוד לרצונה</w:t>
      </w:r>
      <w:r>
        <w:rPr>
          <w:rtl w:val="true"/>
        </w:rPr>
        <w:t xml:space="preserve">, </w:t>
      </w:r>
      <w:r>
        <w:rPr>
          <w:rtl w:val="true"/>
        </w:rPr>
        <w:t>כשהיא מנסה להשתחרר מאחיזתם</w:t>
      </w:r>
      <w:r>
        <w:rPr>
          <w:rtl w:val="true"/>
        </w:rPr>
        <w:t xml:space="preserve">. </w:t>
      </w:r>
      <w:r>
        <w:rPr>
          <w:rtl w:val="true"/>
        </w:rPr>
        <w:t xml:space="preserve">טדסה ומערערים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הגיעו לגרם מדרגות בבניין בו מתגוררים טדסה</w:t>
      </w:r>
      <w:r>
        <w:rPr>
          <w:rtl w:val="true"/>
        </w:rPr>
        <w:t xml:space="preserve">, </w:t>
      </w:r>
      <w:r>
        <w:rPr>
          <w:rtl w:val="true"/>
        </w:rPr>
        <w:t xml:space="preserve">מערערים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 xml:space="preserve">ונאשם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מערערים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וטדסה ניסו להרים את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כאשר לבסוף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וטדסה הרימו את המתלוננת וסחבו אותה במעלה המדרגות</w:t>
      </w:r>
      <w:r>
        <w:rPr>
          <w:rtl w:val="true"/>
        </w:rPr>
        <w:t xml:space="preserve">, </w:t>
      </w:r>
      <w:r>
        <w:rPr>
          <w:rtl w:val="true"/>
        </w:rPr>
        <w:t xml:space="preserve">כשמערער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 xml:space="preserve">בהגיעם למסדרון המוליך לעבר חדרם של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ונאשם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החדר</w:t>
      </w:r>
      <w:r>
        <w:rPr>
          <w:rtl w:val="true"/>
        </w:rPr>
        <w:t xml:space="preserve">), </w:t>
      </w:r>
      <w:r>
        <w:rPr>
          <w:rtl w:val="true"/>
        </w:rPr>
        <w:t xml:space="preserve">נשא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המתלוננת על גבו והכניס אותה לחדר</w:t>
      </w:r>
      <w:r>
        <w:rPr>
          <w:rtl w:val="true"/>
        </w:rPr>
        <w:t xml:space="preserve">, </w:t>
      </w:r>
      <w:r>
        <w:rPr>
          <w:rtl w:val="true"/>
        </w:rPr>
        <w:t>השכיב אותה על המיטה ולאחר שחברי החבורה התקבצו בחדר</w:t>
      </w:r>
      <w:r>
        <w:rPr>
          <w:rtl w:val="true"/>
        </w:rPr>
        <w:t xml:space="preserve">, </w:t>
      </w:r>
      <w:r>
        <w:rPr>
          <w:rtl w:val="true"/>
        </w:rPr>
        <w:t xml:space="preserve">הם יצאו והותירו את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איתה בחדר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בתורו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וערפול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.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,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tl w:val="true"/>
        </w:rPr>
        <w:t xml:space="preserve">, </w:t>
      </w:r>
      <w:r>
        <w:rPr>
          <w:rtl w:val="true"/>
        </w:rPr>
        <w:t>מאזינים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משוחחים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וממתינים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לתורם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נשכבו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טדסה</w:t>
      </w:r>
      <w:r>
        <w:rPr>
          <w:rtl w:val="true"/>
        </w:rPr>
        <w:t xml:space="preserve">,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ח</w:t>
      </w:r>
      <w:r>
        <w:rPr>
          <w:rtl w:val="true"/>
        </w:rPr>
        <w:t>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ד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6"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הכרעת הדין קמא</w:t>
      </w:r>
    </w:p>
    <w:p>
      <w:pPr>
        <w:pStyle w:val="Ruller41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במסגרת הסכמה דיונית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וד</w:t>
      </w:r>
      <w:r>
        <w:rPr>
          <w:rtl w:val="true"/>
        </w:rPr>
        <w:t>ה בעבירת החטיפה</w:t>
      </w:r>
      <w:r>
        <w:rPr>
          <w:rtl w:val="true"/>
        </w:rPr>
        <w:t xml:space="preserve">. </w:t>
      </w:r>
      <w:r>
        <w:rPr>
          <w:rtl w:val="true"/>
        </w:rPr>
        <w:t xml:space="preserve">הוסכם כי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 קיים בעצמו יחסי מין עם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המחלוקת בין המשיבה לבין המערער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התמקדה בשאלה האם מעשיו עולים כדי ביצוע בצוותא של שתי עבירות האינוס שביצעו המערערים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כטענת המשיבה</w:t>
      </w:r>
      <w:r>
        <w:rPr>
          <w:rtl w:val="true"/>
        </w:rPr>
        <w:t xml:space="preserve">, </w:t>
      </w:r>
      <w:r>
        <w:rPr>
          <w:rtl w:val="true"/>
        </w:rPr>
        <w:t>או שמא חלקו התמצה אך בסיוע לביצוע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קמא קבע</w:t>
      </w:r>
      <w:r>
        <w:rPr>
          <w:rtl w:val="true"/>
        </w:rPr>
        <w:t xml:space="preserve">, </w:t>
      </w:r>
      <w:r>
        <w:rPr>
          <w:rtl w:val="true"/>
        </w:rPr>
        <w:t>על סמך מצלמות האבטחה ועדות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כי מערער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טדסה ומערערים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התגודדו סביב המתלוננת בשווארמה</w:t>
      </w:r>
      <w:r>
        <w:rPr>
          <w:rtl w:val="true"/>
        </w:rPr>
        <w:t xml:space="preserve">, </w:t>
      </w:r>
      <w:r>
        <w:rPr>
          <w:rtl w:val="true"/>
        </w:rPr>
        <w:t>רכנו לעברה ושוחחו עימה</w:t>
      </w:r>
      <w:r>
        <w:rPr>
          <w:rtl w:val="true"/>
        </w:rPr>
        <w:t xml:space="preserve">, </w:t>
      </w:r>
      <w:r>
        <w:rPr>
          <w:rtl w:val="true"/>
        </w:rPr>
        <w:t>כאשר בשלב זה לא נראית התנגדות מצידה</w:t>
      </w:r>
      <w:r>
        <w:rPr>
          <w:rtl w:val="true"/>
        </w:rPr>
        <w:t xml:space="preserve">;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וטדסה תפסו את המתלוננת בניגוד לרצונה</w:t>
      </w:r>
      <w:r>
        <w:rPr>
          <w:rtl w:val="true"/>
        </w:rPr>
        <w:t xml:space="preserve">, </w:t>
      </w:r>
      <w:r>
        <w:rPr>
          <w:rtl w:val="true"/>
        </w:rPr>
        <w:t>הובילו אותה מהמקום</w:t>
      </w:r>
      <w:r>
        <w:rPr>
          <w:rtl w:val="true"/>
        </w:rPr>
        <w:t xml:space="preserve">, </w:t>
      </w:r>
      <w:r>
        <w:rPr>
          <w:rtl w:val="true"/>
        </w:rPr>
        <w:t xml:space="preserve">כאשר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הולך אחריהם</w:t>
      </w:r>
      <w:r>
        <w:rPr>
          <w:rtl w:val="true"/>
        </w:rPr>
        <w:t xml:space="preserve">, </w:t>
      </w:r>
      <w:r>
        <w:rPr>
          <w:rtl w:val="true"/>
        </w:rPr>
        <w:t>וגררו אותה בסמטה על אף התנגדותה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אחזו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וטדסה במתלוננת בידיה ורגליה והעלו אותה במדרגות</w:t>
      </w:r>
      <w:r>
        <w:rPr>
          <w:rtl w:val="true"/>
        </w:rPr>
        <w:t xml:space="preserve">, </w:t>
      </w:r>
      <w:r>
        <w:rPr>
          <w:rtl w:val="true"/>
        </w:rPr>
        <w:t>למרות ניסיונותיה להיאחז במעקה</w:t>
      </w:r>
      <w:r>
        <w:rPr>
          <w:rtl w:val="true"/>
        </w:rPr>
        <w:t xml:space="preserve">, </w:t>
      </w:r>
      <w:r>
        <w:rPr>
          <w:rtl w:val="true"/>
        </w:rPr>
        <w:t xml:space="preserve">ולבסוף הרים אותה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 כתפו והכניס אותה לחדר</w:t>
      </w:r>
      <w:r>
        <w:rPr>
          <w:rtl w:val="true"/>
        </w:rPr>
        <w:t xml:space="preserve">, </w:t>
      </w:r>
      <w:r>
        <w:rPr>
          <w:rtl w:val="true"/>
        </w:rPr>
        <w:t xml:space="preserve">אליו נכנס גם מערער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ושם שהו כל חברי החבורה למשך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 xml:space="preserve">אך יצאו והותירו את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לבדו עם המתלוננת</w:t>
      </w:r>
      <w:r>
        <w:rPr>
          <w:rtl w:val="true"/>
        </w:rPr>
        <w:t xml:space="preserve">. </w:t>
      </w:r>
      <w:r>
        <w:rPr>
          <w:rtl w:val="true"/>
        </w:rPr>
        <w:t>המתלוננת העידה כי היא זוכרת שהכניסו אותה לחדר</w:t>
      </w:r>
      <w:r>
        <w:rPr>
          <w:rtl w:val="true"/>
        </w:rPr>
        <w:t xml:space="preserve">, </w:t>
      </w:r>
      <w:r>
        <w:rPr>
          <w:rtl w:val="true"/>
        </w:rPr>
        <w:t>השכיבו אותה על המיטה וסגרו את הדלת</w:t>
      </w:r>
      <w:r>
        <w:rPr>
          <w:rtl w:val="true"/>
        </w:rPr>
        <w:t xml:space="preserve">, </w:t>
      </w:r>
      <w:r>
        <w:rPr>
          <w:rtl w:val="true"/>
        </w:rPr>
        <w:t xml:space="preserve">וכי מי שהשכיב אותה על המיטה </w:t>
      </w:r>
      <w:r>
        <w:rPr>
          <w:rtl w:val="true"/>
        </w:rPr>
        <w:t>(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אנס אותה</w:t>
      </w:r>
      <w:r>
        <w:rPr>
          <w:rtl w:val="true"/>
        </w:rPr>
        <w:t xml:space="preserve">, </w:t>
      </w:r>
      <w:r>
        <w:rPr>
          <w:rtl w:val="true"/>
        </w:rPr>
        <w:t xml:space="preserve">וכך גם האדם השני </w:t>
      </w:r>
      <w:r>
        <w:rPr>
          <w:rtl w:val="true"/>
        </w:rPr>
        <w:t>(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שנכנס לחדר</w:t>
      </w:r>
      <w:r>
        <w:rPr>
          <w:rtl w:val="true"/>
        </w:rPr>
        <w:t xml:space="preserve">; </w:t>
      </w:r>
      <w:r>
        <w:rPr>
          <w:rtl w:val="true"/>
        </w:rPr>
        <w:t>וכי בזמן שכל אחד מהשניים ביצע את מעשה האינוס</w:t>
      </w:r>
      <w:r>
        <w:rPr>
          <w:rtl w:val="true"/>
        </w:rPr>
        <w:t xml:space="preserve">, </w:t>
      </w:r>
      <w:r>
        <w:rPr>
          <w:rtl w:val="true"/>
        </w:rPr>
        <w:t>היא צעקה לעזרה והביעה התנגדות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להתרחשות מחוץ לחדר בזמן האירוע</w:t>
      </w:r>
      <w:r>
        <w:rPr>
          <w:rtl w:val="true"/>
        </w:rPr>
        <w:t xml:space="preserve">, </w:t>
      </w:r>
      <w:r>
        <w:rPr>
          <w:rtl w:val="true"/>
        </w:rPr>
        <w:t>בית המשפט קמא קבע על סמך מצלמות האבטחה</w:t>
      </w:r>
      <w:r>
        <w:rPr>
          <w:rtl w:val="true"/>
        </w:rPr>
        <w:t xml:space="preserve">, </w:t>
      </w:r>
      <w:r>
        <w:rPr>
          <w:rtl w:val="true"/>
        </w:rPr>
        <w:t xml:space="preserve">כי בשעה שמערער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בחדר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נותר במסדרון ובמדרגות</w:t>
      </w:r>
      <w:r>
        <w:rPr>
          <w:rtl w:val="true"/>
        </w:rPr>
        <w:t xml:space="preserve">, </w:t>
      </w:r>
      <w:r>
        <w:rPr>
          <w:rtl w:val="true"/>
        </w:rPr>
        <w:t>שוחח עם יתר חברי החבורה וצפה בהם מסלקים את שדה מהמקום</w:t>
      </w:r>
      <w:r>
        <w:rPr>
          <w:rtl w:val="true"/>
        </w:rPr>
        <w:t xml:space="preserve">. </w:t>
      </w:r>
      <w:r>
        <w:rPr>
          <w:rtl w:val="true"/>
        </w:rPr>
        <w:t xml:space="preserve">עת שהה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עם המתלוננת בחדר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נותר לבדו במסדרון</w:t>
      </w:r>
      <w:r>
        <w:rPr>
          <w:rtl w:val="true"/>
        </w:rPr>
        <w:t xml:space="preserve">, </w:t>
      </w:r>
      <w:r>
        <w:rPr>
          <w:rtl w:val="true"/>
        </w:rPr>
        <w:t>המתין בכעס זמן ממושך לתורו</w:t>
      </w:r>
      <w:r>
        <w:rPr>
          <w:rtl w:val="true"/>
        </w:rPr>
        <w:t xml:space="preserve">, </w:t>
      </w:r>
      <w:r>
        <w:rPr>
          <w:rtl w:val="true"/>
        </w:rPr>
        <w:t>האזין לנעשה בחדר</w:t>
      </w:r>
      <w:r>
        <w:rPr>
          <w:rtl w:val="true"/>
        </w:rPr>
        <w:t xml:space="preserve">, </w:t>
      </w:r>
      <w:r>
        <w:rPr>
          <w:rtl w:val="true"/>
        </w:rPr>
        <w:t xml:space="preserve">ניסה לשוחח עם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ולהפציר בו לצאת ואף ניסה לפתוח את הדלת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נכנס לחדר למשך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בסופן יצא מהחדר</w:t>
      </w:r>
      <w:r>
        <w:rPr>
          <w:rtl w:val="true"/>
        </w:rPr>
        <w:t xml:space="preserve">, </w:t>
      </w:r>
      <w:r>
        <w:rPr>
          <w:rtl w:val="true"/>
        </w:rPr>
        <w:t>שוחח עם יתר חברי החבורה ועזב את המקום בכעס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לצעקותיה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הירקות</w:t>
      </w:r>
      <w:r>
        <w:rPr>
          <w:rtl w:val="true"/>
        </w:rPr>
        <w:t xml:space="preserve">,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זעקות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השווארמה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מהסרטונים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למרחקים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בחטיפת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שתויה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;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לשווארמה</w:t>
      </w:r>
      <w:r>
        <w:rPr>
          <w:rtl w:val="true"/>
        </w:rPr>
        <w:t xml:space="preserve">,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לחטיפתה</w:t>
      </w:r>
      <w:r>
        <w:rPr>
          <w:rtl w:val="true"/>
        </w:rPr>
        <w:t xml:space="preserve">;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במסדרון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;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;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האזין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והתכופף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וכעוס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וממניע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בשותפות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העבריינית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שנוצרה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.);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ייצא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, </w:t>
      </w:r>
      <w:r>
        <w:rPr>
          <w:rtl w:val="true"/>
        </w:rPr>
        <w:t>מששהה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במסדרון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קמא </w:t>
      </w:r>
      <w:r>
        <w:rPr>
          <w:rtl w:val="true"/>
        </w:rPr>
        <w:t>סקר את תסקירי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לפיהם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הכחיש את המעשים</w:t>
      </w:r>
      <w:r>
        <w:rPr>
          <w:rtl w:val="true"/>
        </w:rPr>
        <w:t xml:space="preserve">, </w:t>
      </w:r>
      <w:r>
        <w:rPr>
          <w:rtl w:val="true"/>
        </w:rPr>
        <w:t>ואינו מביע אמפתיה כלפי המתלוננת או חרטה</w:t>
      </w:r>
      <w:r>
        <w:rPr>
          <w:rtl w:val="true"/>
        </w:rPr>
        <w:t xml:space="preserve">;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הכחיש את המעשים</w:t>
      </w:r>
      <w:r>
        <w:rPr>
          <w:rtl w:val="true"/>
        </w:rPr>
        <w:t xml:space="preserve">, </w:t>
      </w:r>
      <w:r>
        <w:rPr>
          <w:rtl w:val="true"/>
        </w:rPr>
        <w:t>טען כי חשב שהמתלוננת עובדת בזנות וסירב לקחת אחריות</w:t>
      </w:r>
      <w:r>
        <w:rPr>
          <w:rtl w:val="true"/>
        </w:rPr>
        <w:t xml:space="preserve">, </w:t>
      </w:r>
      <w:r>
        <w:rPr>
          <w:rtl w:val="true"/>
        </w:rPr>
        <w:t>אך גילה אמפתיה כלפיה</w:t>
      </w:r>
      <w:r>
        <w:rPr>
          <w:rtl w:val="true"/>
        </w:rPr>
        <w:t xml:space="preserve">; </w:t>
      </w:r>
      <w:r>
        <w:rPr>
          <w:rtl w:val="true"/>
        </w:rPr>
        <w:t xml:space="preserve">ומערער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התקשה לבחון באופן ביקורתי את התנהלותו</w:t>
      </w:r>
      <w:r>
        <w:rPr>
          <w:rtl w:val="true"/>
        </w:rPr>
        <w:t xml:space="preserve">, </w:t>
      </w:r>
      <w:r>
        <w:rPr>
          <w:rtl w:val="true"/>
        </w:rPr>
        <w:t>סירב לקחת אחריות</w:t>
      </w:r>
      <w:r>
        <w:rPr>
          <w:rtl w:val="true"/>
        </w:rPr>
        <w:t xml:space="preserve">, </w:t>
      </w:r>
      <w:r>
        <w:rPr>
          <w:rtl w:val="true"/>
        </w:rPr>
        <w:t>התקשה לבטא אמפתיה כלפי המתלוננת ורואה עצמו כקורבן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ובשל חומרת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שירות המבחן סבר כי אין מקום לענישה שיקומית בעניינם של המערערים וכי בעניינו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קיימת רמת סיכון להישנות ביצוע עבירות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קמא </w:t>
      </w:r>
      <w:r>
        <w:rPr>
          <w:rtl w:val="true"/>
        </w:rPr>
        <w:t>קבע כי</w:t>
      </w:r>
      <w:r>
        <w:rPr>
          <w:rtl w:val="true"/>
        </w:rPr>
        <w:t xml:space="preserve"> המעשים פגעו בביטחונה האישי</w:t>
      </w:r>
      <w:r>
        <w:rPr>
          <w:rtl w:val="true"/>
        </w:rPr>
        <w:t xml:space="preserve">, </w:t>
      </w:r>
      <w:r>
        <w:rPr>
          <w:rtl w:val="true"/>
        </w:rPr>
        <w:t>בכבודה</w:t>
      </w:r>
      <w:r>
        <w:rPr>
          <w:rtl w:val="true"/>
        </w:rPr>
        <w:t xml:space="preserve">,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בנפשה ובאוטונומיה על גופה של המתלוננת במידה גבוהה</w:t>
      </w:r>
      <w:r>
        <w:rPr>
          <w:rtl w:val="true"/>
        </w:rPr>
        <w:t xml:space="preserve">; </w:t>
      </w:r>
      <w:r>
        <w:rPr>
          <w:rtl w:val="true"/>
        </w:rPr>
        <w:t xml:space="preserve">כי האירוע תוכנן על ידי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יחד עם מערער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כי מדובר במסכת של מעשים שנמשכו במשך כשעה וארבעים דקות</w:t>
      </w:r>
      <w:r>
        <w:rPr>
          <w:rtl w:val="true"/>
        </w:rPr>
        <w:t xml:space="preserve">, </w:t>
      </w:r>
      <w:r>
        <w:rPr>
          <w:rtl w:val="true"/>
        </w:rPr>
        <w:t>כאשר סילוקו של שדה הביא להימשכות האירוע</w:t>
      </w:r>
      <w:r>
        <w:rPr>
          <w:rtl w:val="true"/>
        </w:rPr>
        <w:t xml:space="preserve">; </w:t>
      </w:r>
      <w:r>
        <w:rPr>
          <w:rtl w:val="true"/>
        </w:rPr>
        <w:t>כי המעשים לוו באכזריות</w:t>
      </w:r>
      <w:r>
        <w:rPr>
          <w:rtl w:val="true"/>
        </w:rPr>
        <w:t xml:space="preserve">, </w:t>
      </w:r>
      <w:r>
        <w:rPr>
          <w:rtl w:val="true"/>
        </w:rPr>
        <w:t>חרף התנגדותה וזעקותיה של המתלוננת</w:t>
      </w:r>
      <w:r>
        <w:rPr>
          <w:rtl w:val="true"/>
        </w:rPr>
        <w:t xml:space="preserve">, </w:t>
      </w:r>
      <w:r>
        <w:rPr>
          <w:rtl w:val="true"/>
        </w:rPr>
        <w:t>כאשר מעשה החטיפה בוצע בכוח למרות ניסיונות המתלוננת להתנגד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צעקותיה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19-13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משהוא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מפתח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18-12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טדסה</w:t>
      </w:r>
      <w:r>
        <w:rPr>
          <w:rtl w:val="true"/>
        </w:rPr>
        <w:t xml:space="preserve">, </w:t>
      </w:r>
      <w:r>
        <w:rPr>
          <w:rtl w:val="true"/>
        </w:rPr>
        <w:t>משעל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לסילוקו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בסילוקו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טדסה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15-9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קמא שקל לקולא את העדרו של עבר פלילי ואת היות המערערים ילידי אריתריאה</w:t>
      </w:r>
      <w:r>
        <w:rPr>
          <w:rtl w:val="true"/>
        </w:rPr>
        <w:t xml:space="preserve">, </w:t>
      </w:r>
      <w:r>
        <w:rPr>
          <w:rtl w:val="true"/>
        </w:rPr>
        <w:t>אשר סבלו מנסיבות חיים קשות וחווים בדידות במעצרם</w:t>
      </w:r>
      <w:r>
        <w:rPr>
          <w:rtl w:val="true"/>
        </w:rPr>
        <w:t xml:space="preserve">. </w:t>
      </w:r>
      <w:r>
        <w:rPr>
          <w:rtl w:val="true"/>
        </w:rPr>
        <w:t>נקבע כי יש להחמיר בעונשם בתוך המתחם בשל הצורך בגמול ובהרתעת הציבור</w:t>
      </w:r>
      <w:r>
        <w:rPr>
          <w:rtl w:val="true"/>
        </w:rPr>
        <w:t xml:space="preserve">. </w:t>
      </w:r>
      <w:r>
        <w:rPr>
          <w:rtl w:val="true"/>
        </w:rPr>
        <w:t xml:space="preserve">בגזירת עונשו של 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בית המשפט קמא התייחס להכחשתו הנמשכת</w:t>
      </w:r>
      <w:r>
        <w:rPr>
          <w:rtl w:val="true"/>
        </w:rPr>
        <w:t xml:space="preserve">, </w:t>
      </w:r>
      <w:r>
        <w:rPr>
          <w:rtl w:val="true"/>
        </w:rPr>
        <w:t>לסירובו לקחת אחריות ולהעדר אמפתיה כלפי המתלוננת או חרטה</w:t>
      </w:r>
      <w:r>
        <w:rPr>
          <w:rtl w:val="true"/>
        </w:rPr>
        <w:t xml:space="preserve">. </w:t>
      </w:r>
      <w:r>
        <w:rPr>
          <w:rtl w:val="true"/>
        </w:rPr>
        <w:t>עוד צוין כי ייתכן שיציאתו מהארץ שימשה כניסיון להימלט מהדין</w:t>
      </w:r>
      <w:r>
        <w:rPr>
          <w:rtl w:val="true"/>
        </w:rPr>
        <w:t xml:space="preserve">. </w:t>
      </w:r>
      <w:r>
        <w:rPr>
          <w:rtl w:val="true"/>
        </w:rPr>
        <w:t xml:space="preserve">בגזירת עונשו של 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בית המשפט קמא התייחס להכחשתו ולכך שלמרות שסירב לקחת אחריות</w:t>
      </w:r>
      <w:r>
        <w:rPr>
          <w:rtl w:val="true"/>
        </w:rPr>
        <w:t xml:space="preserve">, </w:t>
      </w:r>
      <w:r>
        <w:rPr>
          <w:rtl w:val="true"/>
        </w:rPr>
        <w:t>גילה אמפתיה כלפי המתלוננת</w:t>
      </w:r>
      <w:r>
        <w:rPr>
          <w:rtl w:val="true"/>
        </w:rPr>
        <w:t xml:space="preserve">, </w:t>
      </w:r>
      <w:r>
        <w:rPr>
          <w:rtl w:val="true"/>
        </w:rPr>
        <w:t>ושקל לקולא את גילו הצעיר</w:t>
      </w:r>
      <w:r>
        <w:rPr>
          <w:rtl w:val="true"/>
        </w:rPr>
        <w:t xml:space="preserve">. </w:t>
      </w:r>
      <w:r>
        <w:rPr>
          <w:rtl w:val="true"/>
        </w:rPr>
        <w:t xml:space="preserve">בגזירת עונשו של מערער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בית המשפט קמא שקל את סירובו לקחת אחריות על מעשיו</w:t>
      </w:r>
      <w:r>
        <w:rPr>
          <w:rtl w:val="true"/>
        </w:rPr>
        <w:t xml:space="preserve">, </w:t>
      </w:r>
      <w:r>
        <w:rPr>
          <w:rtl w:val="true"/>
        </w:rPr>
        <w:t>הכחשתו את החטיפה בגינה הורשע על פי הודאתו</w:t>
      </w:r>
      <w:r>
        <w:rPr>
          <w:rtl w:val="true"/>
        </w:rPr>
        <w:t xml:space="preserve">, </w:t>
      </w:r>
      <w:r>
        <w:rPr>
          <w:rtl w:val="true"/>
        </w:rPr>
        <w:t>העדרה של אמפתיה למתלוננת</w:t>
      </w:r>
      <w:r>
        <w:rPr>
          <w:rtl w:val="true"/>
        </w:rPr>
        <w:t xml:space="preserve">, </w:t>
      </w:r>
      <w:r>
        <w:rPr>
          <w:rtl w:val="true"/>
        </w:rPr>
        <w:t>את הקורבניות שלו</w:t>
      </w:r>
      <w:r>
        <w:rPr>
          <w:rtl w:val="true"/>
        </w:rPr>
        <w:t xml:space="preserve">, </w:t>
      </w:r>
      <w:r>
        <w:rPr>
          <w:rtl w:val="true"/>
        </w:rPr>
        <w:t>את נסיבותיו המשפחתיות החריגות</w:t>
      </w:r>
      <w:r>
        <w:rPr>
          <w:rtl w:val="true"/>
        </w:rPr>
        <w:t xml:space="preserve">, </w:t>
      </w:r>
      <w:r>
        <w:rPr>
          <w:rtl w:val="true"/>
        </w:rPr>
        <w:t>משהוא אב לילד קטן שמתקשה להתמודד עם מאסרו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כי למרות הדמיון בין חלקו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לבין חלקו של טדסה באירוע</w:t>
      </w:r>
      <w:r>
        <w:rPr>
          <w:rtl w:val="true"/>
        </w:rPr>
        <w:t xml:space="preserve">, </w:t>
      </w:r>
      <w:r>
        <w:rPr>
          <w:rtl w:val="true"/>
        </w:rPr>
        <w:t>טדסה שיתף פעולה עם רשויות החקירה והעיד נגד יתר חברי החבורה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קמא הטיל את העונשים הבאים </w:t>
      </w:r>
      <w:r>
        <w:rPr>
          <w:rtl w:val="true"/>
        </w:rPr>
        <w:t>–</w:t>
      </w:r>
      <w:r>
        <w:rPr>
          <w:rtl w:val="true"/>
        </w:rPr>
        <w:t xml:space="preserve"> מערער </w:t>
      </w:r>
      <w:r>
        <w:rPr/>
        <w:t>1</w:t>
      </w:r>
      <w:r>
        <w:rPr>
          <w:rtl w:val="true"/>
        </w:rPr>
        <w:t xml:space="preserve">: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: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ומערער </w:t>
      </w:r>
      <w:r>
        <w:rPr/>
        <w:t>3</w:t>
      </w:r>
      <w:r>
        <w:rPr>
          <w:rtl w:val="true"/>
        </w:rPr>
        <w:t xml:space="preserve">: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על כל אחד מהמערערים הוטלו גם מאסרים מותנים ופיצוי למתלוננת בסך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טענות הצדדים</w:t>
      </w:r>
    </w:p>
    <w:p>
      <w:pPr>
        <w:pStyle w:val="Ruller41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בהודעת </w:t>
      </w:r>
      <w:r>
        <w:rPr>
          <w:rtl w:val="true"/>
        </w:rPr>
        <w:t>ערעור מפורטת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על עיקריה חזר</w:t>
      </w:r>
      <w:r>
        <w:rPr>
          <w:rtl w:val="true"/>
        </w:rPr>
        <w:t>ה</w:t>
      </w:r>
      <w:r>
        <w:rPr>
          <w:rtl w:val="true"/>
        </w:rPr>
        <w:t xml:space="preserve"> בא</w:t>
      </w:r>
      <w:r>
        <w:rPr>
          <w:rtl w:val="true"/>
        </w:rPr>
        <w:t>ת</w:t>
      </w:r>
      <w:r>
        <w:rPr>
          <w:rtl w:val="true"/>
        </w:rPr>
        <w:t xml:space="preserve"> כוח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לין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על הרשעתו כמבצע בצוותא של עבירות האינוס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 נגד קביעותיו של בית המשפט קמא אשר לצעקותיה של המתלוננת וליכולתו לשמוע אותן</w:t>
      </w:r>
      <w:r>
        <w:rPr>
          <w:rtl w:val="true"/>
        </w:rPr>
        <w:t xml:space="preserve">, </w:t>
      </w:r>
      <w:r>
        <w:rPr>
          <w:rtl w:val="true"/>
        </w:rPr>
        <w:t>והוסיף וטען כי לא הייתה לו שליטה או ידיעה על המתרחש בחדר והשתתפותו בחטיפה לא יכולה ללמד על ידיעה מעין זו</w:t>
      </w:r>
      <w:r>
        <w:rPr>
          <w:rtl w:val="true"/>
        </w:rPr>
        <w:t xml:space="preserve">; </w:t>
      </w:r>
      <w:r>
        <w:rPr>
          <w:rtl w:val="true"/>
        </w:rPr>
        <w:t>כי לא היה ער להרחקתו של שדה</w:t>
      </w:r>
      <w:r>
        <w:rPr>
          <w:rtl w:val="true"/>
        </w:rPr>
        <w:t xml:space="preserve">; </w:t>
      </w:r>
      <w:r>
        <w:rPr>
          <w:rtl w:val="true"/>
        </w:rPr>
        <w:t>כי לא היה חלק מהמעגל הפנימי</w:t>
      </w:r>
      <w:r>
        <w:rPr>
          <w:rtl w:val="true"/>
        </w:rPr>
        <w:t xml:space="preserve">; </w:t>
      </w:r>
      <w:r>
        <w:rPr>
          <w:rtl w:val="true"/>
        </w:rPr>
        <w:t>וכי חלקו שונה מהותית וכמותית מחלקו של טדסה</w:t>
      </w:r>
      <w:r>
        <w:rPr>
          <w:rtl w:val="true"/>
        </w:rPr>
        <w:t xml:space="preserve">, </w:t>
      </w:r>
      <w:r>
        <w:rPr>
          <w:rtl w:val="true"/>
        </w:rPr>
        <w:t xml:space="preserve">ודומה יותר לחלקו של נאשם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בדיון לפנינו</w:t>
      </w:r>
      <w:r>
        <w:rPr>
          <w:rtl w:val="true"/>
        </w:rPr>
        <w:t xml:space="preserve">, </w:t>
      </w:r>
      <w:r>
        <w:rPr>
          <w:rtl w:val="true"/>
        </w:rPr>
        <w:t xml:space="preserve">באת כוח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הוסיפה וטענה כי ללא החדר שהעמיד 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לרשות אלו שביצעו את מעשי האונס</w:t>
      </w:r>
      <w:r>
        <w:rPr>
          <w:rtl w:val="true"/>
        </w:rPr>
        <w:t xml:space="preserve">, </w:t>
      </w:r>
      <w:r>
        <w:rPr>
          <w:rtl w:val="true"/>
        </w:rPr>
        <w:t>האונס לא היה מתרחש</w:t>
      </w:r>
      <w:r>
        <w:rPr>
          <w:rtl w:val="true"/>
        </w:rPr>
        <w:t xml:space="preserve">; </w:t>
      </w:r>
      <w:r>
        <w:rPr>
          <w:rtl w:val="true"/>
        </w:rPr>
        <w:t xml:space="preserve">וכי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 עצבני בשל המתנתו לרגע ההתכנסות</w:t>
      </w:r>
      <w:r>
        <w:rPr>
          <w:rtl w:val="true"/>
        </w:rPr>
        <w:t xml:space="preserve">, </w:t>
      </w:r>
      <w:r>
        <w:rPr>
          <w:rtl w:val="true"/>
        </w:rPr>
        <w:t>משסיכם עם יתר חברי החבורה לבלות ולשתות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טענה כי בשל העדר מודעות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לכל רכיבי העבירה</w:t>
      </w:r>
      <w:r>
        <w:rPr>
          <w:rtl w:val="true"/>
        </w:rPr>
        <w:t xml:space="preserve">, </w:t>
      </w:r>
      <w:r>
        <w:rPr>
          <w:rtl w:val="true"/>
        </w:rPr>
        <w:t>יש לזכותו מעבירות האינוס</w:t>
      </w:r>
      <w:r>
        <w:rPr>
          <w:rtl w:val="true"/>
        </w:rPr>
        <w:t xml:space="preserve">, </w:t>
      </w:r>
      <w:r>
        <w:rPr>
          <w:rtl w:val="true"/>
        </w:rPr>
        <w:t>ולכל היותר להרשיעו בסיוע לעבירות אלה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טענותיו העיקריות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נוגעות לממצאי עובדה ומהימנות שנקבעו על ידי בית המשפט קמא</w:t>
      </w:r>
      <w:r>
        <w:rPr>
          <w:rtl w:val="true"/>
        </w:rPr>
        <w:t xml:space="preserve">, </w:t>
      </w:r>
      <w:r>
        <w:rPr>
          <w:rtl w:val="true"/>
        </w:rPr>
        <w:t>ומרביתן מצאו מענה בהכרעת הדין המקיפה והמפורטת של בית המשפט קמא</w:t>
      </w:r>
      <w:r>
        <w:rPr>
          <w:rtl w:val="true"/>
        </w:rPr>
        <w:t xml:space="preserve">, </w:t>
      </w:r>
      <w:r>
        <w:rPr>
          <w:rtl w:val="true"/>
        </w:rPr>
        <w:t>במסגרתה בוססה ההרשעה על עדותה המהימנה והאמינה של המתלוננת</w:t>
      </w:r>
      <w:r>
        <w:rPr>
          <w:rtl w:val="true"/>
        </w:rPr>
        <w:t xml:space="preserve">, </w:t>
      </w:r>
      <w:r>
        <w:rPr>
          <w:rtl w:val="true"/>
        </w:rPr>
        <w:t>סרטוני האבטחה וחיזוקים נוספים</w:t>
      </w:r>
      <w:r>
        <w:rPr>
          <w:rtl w:val="true"/>
        </w:rPr>
        <w:t xml:space="preserve">. </w:t>
      </w:r>
      <w:r>
        <w:rPr>
          <w:rtl w:val="true"/>
        </w:rPr>
        <w:t xml:space="preserve">המשיבה הדגישה את קביעת בית המשפט קמא לפיה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שמע את צעקות המתלוננת בזמן שזו נאנסה בחדר</w:t>
      </w:r>
      <w:r>
        <w:rPr>
          <w:rtl w:val="true"/>
        </w:rPr>
        <w:t xml:space="preserve">. </w:t>
      </w:r>
      <w:r>
        <w:rPr>
          <w:rtl w:val="true"/>
        </w:rPr>
        <w:t>עוד טענה המשיבה כי מסרטון מצלמת האבטחה</w:t>
      </w:r>
      <w:r>
        <w:rPr>
          <w:rtl w:val="true"/>
        </w:rPr>
        <w:t xml:space="preserve">, </w:t>
      </w:r>
      <w:r>
        <w:rPr>
          <w:rtl w:val="true"/>
        </w:rPr>
        <w:t xml:space="preserve">עולה כי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 מודע לסילוקו של שדה</w:t>
      </w:r>
      <w:r>
        <w:rPr>
          <w:rtl w:val="true"/>
        </w:rPr>
        <w:t xml:space="preserve">, </w:t>
      </w:r>
      <w:r>
        <w:rPr>
          <w:rtl w:val="true"/>
        </w:rPr>
        <w:t>משהקשיב לנעשה במסדרון והתחבא מאחורי דלת אחד החדרים</w:t>
      </w:r>
      <w:r>
        <w:rPr>
          <w:rtl w:val="true"/>
        </w:rPr>
        <w:t xml:space="preserve">; </w:t>
      </w:r>
      <w:r>
        <w:rPr>
          <w:rtl w:val="true"/>
        </w:rPr>
        <w:t>כי מודעותו לנעשה בחדר נלמדת משותפותו בחטיפת המתלוננת והמתנתו במסדרון</w:t>
      </w:r>
      <w:r>
        <w:rPr>
          <w:rtl w:val="true"/>
        </w:rPr>
        <w:t xml:space="preserve">, </w:t>
      </w:r>
      <w:r>
        <w:rPr>
          <w:rtl w:val="true"/>
        </w:rPr>
        <w:t xml:space="preserve">תוך האזנה מבעד לדלת והתכופפות לחריץ הדלת בניסיון לשוחח עם מערער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 xml:space="preserve">כי אין לקבל את טענת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לפיה חלקו עולה לכל היותר כדי סיוע</w:t>
      </w:r>
      <w:r>
        <w:rPr>
          <w:rtl w:val="true"/>
        </w:rPr>
        <w:t xml:space="preserve">, </w:t>
      </w:r>
      <w:r>
        <w:rPr>
          <w:rtl w:val="true"/>
        </w:rPr>
        <w:t xml:space="preserve">וכי חלקו משמעותי ומהותי מזה של נאשם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ודומה לחלקו של טדסה</w:t>
      </w:r>
      <w:r>
        <w:rPr>
          <w:rtl w:val="true"/>
        </w:rPr>
        <w:t xml:space="preserve">, </w:t>
      </w:r>
      <w:r>
        <w:rPr>
          <w:rtl w:val="true"/>
        </w:rPr>
        <w:t>מששניהם היו שותפים לכל המהלך</w:t>
      </w:r>
      <w:r>
        <w:rPr>
          <w:rtl w:val="true"/>
        </w:rPr>
        <w:t xml:space="preserve">, </w:t>
      </w:r>
      <w:r>
        <w:rPr>
          <w:rtl w:val="true"/>
        </w:rPr>
        <w:t>החל מהחטיפה</w:t>
      </w:r>
      <w:r>
        <w:rPr>
          <w:rtl w:val="true"/>
        </w:rPr>
        <w:t xml:space="preserve">, </w:t>
      </w:r>
      <w:r>
        <w:rPr>
          <w:rtl w:val="true"/>
        </w:rPr>
        <w:t>דרך הבאת המתלוננת והשכבתה על המיטה וכלה בהמתנה והשמירה מחוץ לדלת החדר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לסרטונים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כשבניגוד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מהמסדרון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וכעוס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ואחרי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לערעורים על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בא כוח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 בדיון לפנינו כי המשיבה לא הצביעה על טעות בגזר דינו של בית המשפט קמא ואין מקום להחמיר את העונש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אין אינדיקציה לסטייה מינית ולמסוכנות מצד 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 נעדר עבר פלילי ובעל נסיבות חיים קשות</w:t>
      </w:r>
      <w:r>
        <w:rPr>
          <w:rtl w:val="true"/>
        </w:rPr>
        <w:t xml:space="preserve">, </w:t>
      </w:r>
      <w:r>
        <w:rPr>
          <w:rtl w:val="true"/>
        </w:rPr>
        <w:t xml:space="preserve">וכי העונשים של מבצע בפועל ומבצע בצוותא </w:t>
      </w:r>
      <w:r>
        <w:rPr>
          <w:rtl w:val="true"/>
        </w:rPr>
        <w:t>(</w:t>
      </w:r>
      <w:r>
        <w:rPr>
          <w:rtl w:val="true"/>
        </w:rPr>
        <w:t>טדסה</w:t>
      </w:r>
      <w:r>
        <w:rPr>
          <w:rtl w:val="true"/>
        </w:rPr>
        <w:t xml:space="preserve">) </w:t>
      </w:r>
      <w:r>
        <w:rPr>
          <w:rtl w:val="true"/>
        </w:rPr>
        <w:t>צריכים להיות דומים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ביקש להקל בעונשו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 כי לא ניתן משקל לזיכויו מחלק מהעבירות בהן הואשם מלכתחילה</w:t>
      </w:r>
      <w:r>
        <w:rPr>
          <w:rtl w:val="true"/>
        </w:rPr>
        <w:t xml:space="preserve">, </w:t>
      </w:r>
      <w:r>
        <w:rPr>
          <w:rtl w:val="true"/>
        </w:rPr>
        <w:t>לנסיבות חייו הקשות</w:t>
      </w:r>
      <w:r>
        <w:rPr>
          <w:rtl w:val="true"/>
        </w:rPr>
        <w:t xml:space="preserve">, </w:t>
      </w:r>
      <w:r>
        <w:rPr>
          <w:rtl w:val="true"/>
        </w:rPr>
        <w:t>להעדר עבר פלילי ולהעדרה של אינדיקציה לסטייה מינית</w:t>
      </w:r>
      <w:r>
        <w:rPr>
          <w:rtl w:val="true"/>
        </w:rPr>
        <w:t xml:space="preserve">; </w:t>
      </w:r>
      <w:r>
        <w:rPr>
          <w:rtl w:val="true"/>
        </w:rPr>
        <w:t>כי יש להתחשב בכך שהפגין אמפתיה כלפי המתלוננת</w:t>
      </w:r>
      <w:r>
        <w:rPr>
          <w:rtl w:val="true"/>
        </w:rPr>
        <w:t xml:space="preserve">; </w:t>
      </w:r>
      <w:r>
        <w:rPr>
          <w:rtl w:val="true"/>
        </w:rPr>
        <w:t>וכי יש להקל בעונשו בשל היותו פליט מאריתריאה שצפוי לשהות בבדידות ממושכת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מלין על חומרת עונשו ומבקש לקצר את עונש המאסר בפועל שהוטל 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טדסה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אנסו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לחטיפתה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משחלקו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טדסה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טדסה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לערעור המשיבה על החלטתו של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לטענת המשיבה </w:t>
      </w:r>
      <w:r>
        <w:rPr>
          <w:rtl w:val="true"/>
        </w:rPr>
        <w:t xml:space="preserve">בית המשפט </w:t>
      </w:r>
      <w:r>
        <w:rPr>
          <w:rtl w:val="true"/>
        </w:rPr>
        <w:t xml:space="preserve">קמא </w:t>
      </w:r>
      <w:r>
        <w:rPr>
          <w:rtl w:val="true"/>
        </w:rPr>
        <w:t>טעה בהחלטתו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משביטול זכאותה של המתלוננת לפיצוי פוגע במתלוננת ושולל ממנה את האפשרות לקבל פיצוי</w:t>
      </w:r>
      <w:r>
        <w:rPr>
          <w:rtl w:val="true"/>
        </w:rPr>
        <w:t xml:space="preserve"> על סבלה הרב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גם אם תאותר לאחר המועד שנקבע בהחלט</w:t>
      </w:r>
      <w:r>
        <w:rPr>
          <w:rtl w:val="true"/>
        </w:rPr>
        <w:t>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משלגישתם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12"/>
          <w:szCs w:val="18"/>
        </w:rPr>
      </w:pPr>
      <w:r>
        <w:rPr>
          <w:rFonts w:cs="Miriam" w:ascii="Century" w:hAnsi="Century"/>
          <w:b/>
          <w:spacing w:val="0"/>
          <w:sz w:val="12"/>
          <w:szCs w:val="18"/>
          <w:rtl w:val="true"/>
        </w:rPr>
      </w:r>
      <w:bookmarkStart w:id="15" w:name="_Hlk63002928"/>
      <w:bookmarkStart w:id="16" w:name="_Hlk63002959"/>
      <w:bookmarkStart w:id="17" w:name="_Hlk63002928"/>
      <w:bookmarkStart w:id="18" w:name="_Hlk63002959"/>
      <w:bookmarkEnd w:id="17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לאחר </w:t>
      </w:r>
      <w:r>
        <w:rPr>
          <w:rtl w:val="true"/>
        </w:rPr>
        <w:t>שעיינתי בכתבי הטענות של הצדדים</w:t>
      </w:r>
      <w:r>
        <w:rPr>
          <w:rtl w:val="true"/>
        </w:rPr>
        <w:t xml:space="preserve">, </w:t>
      </w:r>
      <w:r>
        <w:rPr>
          <w:rtl w:val="true"/>
        </w:rPr>
        <w:t xml:space="preserve">בהכרעת דינו ובגזר דינו של בית המשפט קמא ושמעתי את </w:t>
      </w:r>
      <w:r>
        <w:rPr>
          <w:rtl w:val="true"/>
        </w:rPr>
        <w:t xml:space="preserve">טענות הצדדים </w:t>
      </w:r>
      <w:r>
        <w:rPr>
          <w:rtl w:val="true"/>
        </w:rPr>
        <w:t xml:space="preserve">בדיון שהתקיים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bookmarkEnd w:id="18"/>
      <w:r>
        <w:rPr>
          <w:rtl w:val="true"/>
        </w:rPr>
        <w:t xml:space="preserve">הגעתי לכלל מסקנה כי דין ערעור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להידחות על שני חלקיו</w:t>
      </w:r>
      <w:r>
        <w:rPr>
          <w:rtl w:val="true"/>
        </w:rPr>
        <w:t xml:space="preserve">, </w:t>
      </w:r>
      <w:r>
        <w:rPr>
          <w:rtl w:val="true"/>
        </w:rPr>
        <w:t xml:space="preserve">דין ערעורי מערערים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והמשיבה על גזר הדין להידחות</w:t>
      </w:r>
      <w:r>
        <w:rPr>
          <w:rtl w:val="true"/>
        </w:rPr>
        <w:t xml:space="preserve">, </w:t>
      </w:r>
      <w:r>
        <w:rPr>
          <w:rtl w:val="true"/>
        </w:rPr>
        <w:t>ודין ערעור המשיבה על החלטתו של בית המשפט קמא להתקבל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היא כי ערכאת הערעור אינה נוטה להתערב בממצאי עובדה וקביעות מהימנות של הערכאה הדיונית</w:t>
      </w:r>
      <w:r>
        <w:rPr>
          <w:rtl w:val="true"/>
        </w:rPr>
        <w:t xml:space="preserve">, </w:t>
      </w:r>
      <w:r>
        <w:rPr>
          <w:rtl w:val="true"/>
        </w:rPr>
        <w:t>משלזו היתרון על פני ערכאת הערעור בהתרשמות הבלתי אמצעית מן העדויות ובשל היתרון המוקנה לה עקב כך בקביעת ממצאים</w:t>
      </w:r>
      <w:r>
        <w:rPr>
          <w:rtl w:val="true"/>
        </w:rPr>
        <w:t xml:space="preserve">. </w:t>
      </w:r>
      <w:r>
        <w:rPr>
          <w:rtl w:val="true"/>
        </w:rPr>
        <w:t>להלכה זו שלושה חריגים אשר מאפשרים את התערבותה של ערכאת הערעור</w:t>
      </w:r>
      <w:r>
        <w:rPr>
          <w:rtl w:val="true"/>
        </w:rPr>
        <w:t xml:space="preserve">: </w:t>
      </w:r>
      <w:r>
        <w:rPr>
          <w:rtl w:val="true"/>
        </w:rPr>
        <w:t>כאשר מדובר בממצאים המתבססים על ראיות בכתב</w:t>
      </w:r>
      <w:r>
        <w:rPr>
          <w:rtl w:val="true"/>
        </w:rPr>
        <w:t xml:space="preserve">, </w:t>
      </w:r>
      <w:r>
        <w:rPr>
          <w:rtl w:val="true"/>
        </w:rPr>
        <w:t>כאשר מסקנות בית המשפט מתבססות על שיקולים שבהיגיון וניסיון החיים</w:t>
      </w:r>
      <w:r>
        <w:rPr>
          <w:rtl w:val="true"/>
        </w:rPr>
        <w:t xml:space="preserve">, </w:t>
      </w:r>
      <w:r>
        <w:rPr>
          <w:rtl w:val="true"/>
        </w:rPr>
        <w:t xml:space="preserve">וכאשר נפלה טעות ממשית ומהותית בהערכת הראיות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19.10.2017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זייצב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8560/18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זבורוף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(</w:t>
      </w:r>
      <w:r>
        <w:rPr/>
        <w:t>23.4.2020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זבורוף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המהווים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אונסים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זייצב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בחטיפת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הירקות</w:t>
      </w:r>
      <w:r>
        <w:rPr>
          <w:rtl w:val="true"/>
        </w:rPr>
        <w:t xml:space="preserve">, </w:t>
      </w:r>
      <w:r>
        <w:rPr>
          <w:rtl w:val="true"/>
        </w:rPr>
        <w:t>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הכרעת דינו של בית המשפט קמא מנומקת ומבוססת היטב בחומר הראיות</w:t>
      </w:r>
      <w:r>
        <w:rPr>
          <w:rtl w:val="true"/>
        </w:rPr>
        <w:t xml:space="preserve">. </w:t>
      </w:r>
      <w:r>
        <w:rPr>
          <w:rtl w:val="true"/>
        </w:rPr>
        <w:t>לעדותה של המתלוננת נמצאו חיזוקים בעדויותיהם של שדה ושל עובד דוכן הירקות בדבר צעקותיה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קמא אף התייחס להתנהגותו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כפי שזו התגלתה ממצלמות האבטחה</w:t>
      </w:r>
      <w:r>
        <w:rPr>
          <w:rtl w:val="true"/>
        </w:rPr>
        <w:t xml:space="preserve">, </w:t>
      </w:r>
      <w:r>
        <w:rPr>
          <w:rtl w:val="true"/>
        </w:rPr>
        <w:t>בהן ניתן היה לראות אותו ממתין מחוץ לחדר</w:t>
      </w:r>
      <w:r>
        <w:rPr>
          <w:rtl w:val="true"/>
        </w:rPr>
        <w:t xml:space="preserve">, </w:t>
      </w:r>
      <w:r>
        <w:rPr>
          <w:rtl w:val="true"/>
        </w:rPr>
        <w:t>מאזין</w:t>
      </w:r>
      <w:r>
        <w:rPr>
          <w:rtl w:val="true"/>
        </w:rPr>
        <w:t xml:space="preserve">, </w:t>
      </w:r>
      <w:r>
        <w:rPr>
          <w:rtl w:val="true"/>
        </w:rPr>
        <w:t>מנסה לדבר וכועס</w:t>
      </w:r>
      <w:r>
        <w:rPr>
          <w:rtl w:val="true"/>
        </w:rPr>
        <w:t xml:space="preserve">. </w:t>
      </w:r>
      <w:r>
        <w:rPr>
          <w:rtl w:val="true"/>
        </w:rPr>
        <w:t xml:space="preserve">קביעת בית המשפט קמא כי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או למצער עצם את עיניו</w:t>
      </w:r>
      <w:r>
        <w:rPr>
          <w:rtl w:val="true"/>
        </w:rPr>
        <w:t xml:space="preserve">, </w:t>
      </w:r>
      <w:r>
        <w:rPr>
          <w:rtl w:val="true"/>
        </w:rPr>
        <w:t>על המתרחש בחדר</w:t>
      </w:r>
      <w:r>
        <w:rPr>
          <w:rtl w:val="true"/>
        </w:rPr>
        <w:t xml:space="preserve">, </w:t>
      </w:r>
      <w:r>
        <w:rPr>
          <w:rtl w:val="true"/>
        </w:rPr>
        <w:t xml:space="preserve">בוססה בין היתר על מראה עיניו ועל התרשמותו משפת גופו של מערער 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 xml:space="preserve">על גרסאות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המלמדות על חוסר אמינותו</w:t>
      </w:r>
      <w:r>
        <w:rPr>
          <w:rtl w:val="true"/>
        </w:rPr>
        <w:t xml:space="preserve">; </w:t>
      </w:r>
      <w:r>
        <w:rPr>
          <w:rtl w:val="true"/>
        </w:rPr>
        <w:t>על השקרים הרבים שמסר</w:t>
      </w:r>
      <w:r>
        <w:rPr>
          <w:rtl w:val="true"/>
        </w:rPr>
        <w:t xml:space="preserve">, </w:t>
      </w:r>
      <w:r>
        <w:rPr>
          <w:rtl w:val="true"/>
        </w:rPr>
        <w:t>ביניהם טענתו כי היה שיכור</w:t>
      </w:r>
      <w:r>
        <w:rPr>
          <w:rtl w:val="true"/>
        </w:rPr>
        <w:t xml:space="preserve">, </w:t>
      </w:r>
      <w:r>
        <w:rPr>
          <w:rtl w:val="true"/>
        </w:rPr>
        <w:t>אשר נקבע שאין לקבלה</w:t>
      </w:r>
      <w:r>
        <w:rPr>
          <w:rtl w:val="true"/>
        </w:rPr>
        <w:t xml:space="preserve">; </w:t>
      </w:r>
      <w:r>
        <w:rPr>
          <w:rtl w:val="true"/>
        </w:rPr>
        <w:t xml:space="preserve">על חטיפתה של המתלוננת על ידי מערער 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 xml:space="preserve">על אישורו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 המתלוננת הייתה שתויה וכי ייתכן שהאחרים רצו לשכב עימה</w:t>
      </w:r>
      <w:r>
        <w:rPr>
          <w:rtl w:val="true"/>
        </w:rPr>
        <w:t xml:space="preserve">; </w:t>
      </w:r>
      <w:r>
        <w:rPr>
          <w:rtl w:val="true"/>
        </w:rPr>
        <w:t xml:space="preserve">ועל המתנתו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במסדרון</w:t>
      </w:r>
      <w:r>
        <w:rPr>
          <w:rtl w:val="true"/>
        </w:rPr>
        <w:t xml:space="preserve">, </w:t>
      </w:r>
      <w:r>
        <w:rPr>
          <w:rtl w:val="true"/>
        </w:rPr>
        <w:t xml:space="preserve">כאשר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ביצעו את האונס</w:t>
      </w:r>
      <w:r>
        <w:rPr>
          <w:rtl w:val="true"/>
        </w:rPr>
        <w:t xml:space="preserve">, </w:t>
      </w:r>
      <w:r>
        <w:rPr>
          <w:rtl w:val="true"/>
        </w:rPr>
        <w:t>כך שוודאי שמע את צעקות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קמא הרשיע את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כמבצע בצוותא של שתי עבירות האינוס</w:t>
      </w:r>
      <w:r>
        <w:rPr>
          <w:rtl w:val="true"/>
        </w:rPr>
        <w:t xml:space="preserve">, </w:t>
      </w:r>
      <w:r>
        <w:rPr>
          <w:rtl w:val="true"/>
        </w:rPr>
        <w:t>בהסתמך על היותו דומיננטי בהתגודדות סביב המתלוננת</w:t>
      </w:r>
      <w:r>
        <w:rPr>
          <w:rtl w:val="true"/>
        </w:rPr>
        <w:t xml:space="preserve">; </w:t>
      </w:r>
      <w:r>
        <w:rPr>
          <w:rtl w:val="true"/>
        </w:rPr>
        <w:t>היותו שותף מלא בחטיפתה של המתלוננת</w:t>
      </w:r>
      <w:r>
        <w:rPr>
          <w:rtl w:val="true"/>
        </w:rPr>
        <w:t xml:space="preserve">; </w:t>
      </w:r>
      <w:r>
        <w:rPr>
          <w:rtl w:val="true"/>
        </w:rPr>
        <w:t>ועל התנהגותו המלמדת כי רצה בכל מאודו להיכנס לחדר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  <w:bookmarkStart w:id="19" w:name="_Hlk63002928"/>
      <w:bookmarkStart w:id="20" w:name="_Hlk63002928"/>
      <w:bookmarkEnd w:id="20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קמא התייחס בפירוט לטענותיו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מקובלת עליי קביעתו של בית המשפט קמא כי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שמע את צעקות המתלוננת</w:t>
      </w:r>
      <w:r>
        <w:rPr>
          <w:rtl w:val="true"/>
        </w:rPr>
        <w:t xml:space="preserve">. </w:t>
      </w:r>
      <w:r>
        <w:rPr>
          <w:rtl w:val="true"/>
        </w:rPr>
        <w:t>במהלך המתנתו במסדרון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הצמיד את אוזנו לדלת והאזין לנעשה בחדר</w:t>
      </w:r>
      <w:r>
        <w:rPr>
          <w:rtl w:val="true"/>
        </w:rPr>
        <w:t xml:space="preserve">, </w:t>
      </w:r>
      <w:r>
        <w:rPr>
          <w:rtl w:val="true"/>
        </w:rPr>
        <w:t xml:space="preserve">ניסה לשוחח עם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מבעד לדלת ועמד במסדרון בקרבת הדלת</w:t>
      </w:r>
      <w:r>
        <w:rPr>
          <w:rtl w:val="true"/>
        </w:rPr>
        <w:t xml:space="preserve">, </w:t>
      </w:r>
      <w:r>
        <w:rPr>
          <w:rtl w:val="true"/>
        </w:rPr>
        <w:t>כך שבהכרח שמע את הצעקות</w:t>
      </w:r>
      <w:r>
        <w:rPr>
          <w:rtl w:val="true"/>
        </w:rPr>
        <w:t xml:space="preserve">, </w:t>
      </w:r>
      <w:r>
        <w:rPr>
          <w:rtl w:val="true"/>
        </w:rPr>
        <w:t>אשר נשמעו למרחקים</w:t>
      </w:r>
      <w:r>
        <w:rPr>
          <w:rtl w:val="true"/>
        </w:rPr>
        <w:t xml:space="preserve">. </w:t>
      </w:r>
      <w:r>
        <w:rPr>
          <w:rtl w:val="true"/>
        </w:rPr>
        <w:t>אשר להרחקתו של שדה</w:t>
      </w:r>
      <w:r>
        <w:rPr>
          <w:rtl w:val="true"/>
        </w:rPr>
        <w:t xml:space="preserve">, </w:t>
      </w:r>
      <w:r>
        <w:rPr>
          <w:rtl w:val="true"/>
        </w:rPr>
        <w:t>כאמור בהכרעת הדין וכעולה ממצלמת האבטחה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שהה במסדרון כשפניו אל דלת המסדרון וצפה בחבריו סוגרים אותה</w:t>
      </w:r>
      <w:r>
        <w:rPr>
          <w:rtl w:val="true"/>
        </w:rPr>
        <w:t xml:space="preserve">, </w:t>
      </w:r>
      <w:r>
        <w:rPr>
          <w:rtl w:val="true"/>
        </w:rPr>
        <w:t>נעמד מאחורי דלת אחד החדרים ובהכרח שמע את שיחת שדה עם חבריו</w:t>
      </w:r>
      <w:r>
        <w:rPr>
          <w:rtl w:val="true"/>
        </w:rPr>
        <w:t xml:space="preserve">, </w:t>
      </w:r>
      <w:r>
        <w:rPr>
          <w:rtl w:val="true"/>
        </w:rPr>
        <w:t>אשר סילקו אותו מהמקום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הודה בחטיפתה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ראה כיצד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משכיב אותה על המיטה</w:t>
      </w:r>
      <w:r>
        <w:rPr>
          <w:rtl w:val="true"/>
        </w:rPr>
        <w:t xml:space="preserve">, </w:t>
      </w:r>
      <w:r>
        <w:rPr>
          <w:rtl w:val="true"/>
        </w:rPr>
        <w:t>אישר כי ייתכן שהאחרים רצו לשכב עימה</w:t>
      </w:r>
      <w:r>
        <w:rPr>
          <w:rtl w:val="true"/>
        </w:rPr>
        <w:t xml:space="preserve">, </w:t>
      </w:r>
      <w:r>
        <w:rPr>
          <w:rtl w:val="true"/>
        </w:rPr>
        <w:t>שמע את צעקותיה</w:t>
      </w:r>
      <w:r>
        <w:rPr>
          <w:rtl w:val="true"/>
        </w:rPr>
        <w:t xml:space="preserve">, </w:t>
      </w:r>
      <w:r>
        <w:rPr>
          <w:rtl w:val="true"/>
        </w:rPr>
        <w:t>והמתין במשך כשעה במסדרון</w:t>
      </w:r>
      <w:r>
        <w:rPr>
          <w:rtl w:val="true"/>
        </w:rPr>
        <w:t xml:space="preserve">, </w:t>
      </w:r>
      <w:r>
        <w:rPr>
          <w:rtl w:val="true"/>
        </w:rPr>
        <w:t>לעיתים לבד</w:t>
      </w:r>
      <w:r>
        <w:rPr>
          <w:rtl w:val="true"/>
        </w:rPr>
        <w:t xml:space="preserve">, </w:t>
      </w:r>
      <w:r>
        <w:rPr>
          <w:rtl w:val="true"/>
        </w:rPr>
        <w:t>ובהמשך הוא נכנס לחדר לבדו</w:t>
      </w:r>
      <w:r>
        <w:rPr>
          <w:rtl w:val="true"/>
        </w:rPr>
        <w:t xml:space="preserve">, </w:t>
      </w:r>
      <w:r>
        <w:rPr>
          <w:rtl w:val="true"/>
        </w:rPr>
        <w:t>באופן שלא מתיישב עם טענתו בדבר שהותו במקום לשם בילוי משותף עם יתר חברי החבורה ועם 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שצפיתי בסרטון מצלמת האבטחה</w:t>
      </w:r>
      <w:r>
        <w:rPr>
          <w:rtl w:val="true"/>
        </w:rPr>
        <w:t xml:space="preserve">, </w:t>
      </w:r>
      <w:r>
        <w:rPr>
          <w:rtl w:val="true"/>
        </w:rPr>
        <w:t xml:space="preserve">וחזיתי בהתנהגותו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כמופיע בסרטון החל ממונה </w:t>
      </w:r>
      <w:r>
        <w:rPr/>
        <w:t>16:40:55</w:t>
      </w:r>
      <w:r>
        <w:rPr>
          <w:rtl w:val="true"/>
        </w:rPr>
        <w:t xml:space="preserve"> </w:t>
      </w:r>
      <w:r>
        <w:rPr>
          <w:rtl w:val="true"/>
        </w:rPr>
        <w:t xml:space="preserve">ועד למונה </w:t>
      </w:r>
      <w:r>
        <w:rPr/>
        <w:t>17:43:42</w:t>
      </w:r>
      <w:r>
        <w:rPr>
          <w:rtl w:val="true"/>
        </w:rPr>
        <w:t xml:space="preserve">, </w:t>
      </w:r>
      <w:r>
        <w:rPr>
          <w:rtl w:val="true"/>
        </w:rPr>
        <w:t xml:space="preserve">שאז עזב המערער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 המקום</w:t>
      </w:r>
      <w:r>
        <w:rPr>
          <w:rtl w:val="true"/>
        </w:rPr>
        <w:t xml:space="preserve">, </w:t>
      </w:r>
      <w:r>
        <w:rPr>
          <w:rtl w:val="true"/>
        </w:rPr>
        <w:t xml:space="preserve">אני סמוך ובטוח בנכונות מסקנתו של בית המשפט קמא כי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ולמצער עצם את עיניו</w:t>
      </w:r>
      <w:r>
        <w:rPr>
          <w:rtl w:val="true"/>
        </w:rPr>
        <w:t xml:space="preserve">, </w:t>
      </w:r>
      <w:r>
        <w:rPr>
          <w:rtl w:val="true"/>
        </w:rPr>
        <w:t xml:space="preserve">כי מערערים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אונסים את המתלוננת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 xml:space="preserve">כאשר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הביא את המתלוננת על כתפיו והכניס אותה לחדר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נצפה נכנס לחדר בריצה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האזין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;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המסדרון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tl w:val="true"/>
        </w:rPr>
        <w:t xml:space="preserve">; </w:t>
      </w:r>
      <w:r>
        <w:rPr>
          <w:rtl w:val="true"/>
        </w:rPr>
        <w:t>נעמד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במסדרון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מהמסדרון</w:t>
      </w:r>
      <w:r>
        <w:rPr>
          <w:rtl w:val="true"/>
        </w:rPr>
        <w:t xml:space="preserve">,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זז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מחבואו</w:t>
      </w:r>
      <w:r>
        <w:rPr>
          <w:rtl w:val="true"/>
        </w:rPr>
        <w:t xml:space="preserve">, </w:t>
      </w:r>
      <w:r>
        <w:rPr>
          <w:rtl w:val="true"/>
        </w:rPr>
        <w:t>והלך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;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מפתח</w:t>
      </w:r>
      <w:r>
        <w:rPr>
          <w:rtl w:val="true"/>
        </w:rPr>
        <w:t xml:space="preserve">; </w:t>
      </w:r>
      <w:r>
        <w:rPr>
          <w:rtl w:val="true"/>
        </w:rPr>
        <w:t>והתווכח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כשהאחרון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עצבניות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בעצבים</w:t>
      </w:r>
      <w:r>
        <w:rPr>
          <w:rtl w:val="true"/>
        </w:rPr>
        <w:t xml:space="preserve">;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tl w:val="true"/>
        </w:rPr>
        <w:t xml:space="preserve">; </w:t>
      </w:r>
      <w:r>
        <w:rPr>
          <w:rtl w:val="true"/>
        </w:rPr>
        <w:t>התכופף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tl w:val="true"/>
        </w:rPr>
        <w:t xml:space="preserve">;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tl w:val="true"/>
        </w:rPr>
        <w:t xml:space="preserve">; </w:t>
      </w:r>
      <w:r>
        <w:rPr>
          <w:rtl w:val="true"/>
        </w:rPr>
        <w:t>והחזיק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,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טדסה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, </w:t>
      </w:r>
      <w:r>
        <w:rPr>
          <w:rtl w:val="true"/>
        </w:rPr>
        <w:t>וסגר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מבפנים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כשמונה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עצבני</w:t>
      </w:r>
      <w:r>
        <w:rPr>
          <w:rtl w:val="true"/>
        </w:rPr>
        <w:t xml:space="preserve">, </w:t>
      </w:r>
      <w:r>
        <w:rPr>
          <w:rtl w:val="true"/>
        </w:rPr>
        <w:t>התווכח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בעצבים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טדסה</w:t>
      </w:r>
      <w:r>
        <w:rPr>
          <w:rtl w:val="true"/>
        </w:rPr>
        <w:t xml:space="preserve">, </w:t>
      </w:r>
      <w:r>
        <w:rPr>
          <w:rtl w:val="true"/>
        </w:rPr>
        <w:t>סגירת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במסדרון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המתרחש</w:t>
      </w:r>
      <w:r>
        <w:rPr>
          <w:rtl w:val="true"/>
        </w:rPr>
        <w:t xml:space="preserve">.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לשבת</w:t>
      </w:r>
      <w:r>
        <w:rPr>
          <w:rtl w:val="true"/>
        </w:rPr>
        <w:t xml:space="preserve">, </w:t>
      </w:r>
      <w:r>
        <w:rPr>
          <w:rtl w:val="true"/>
        </w:rPr>
        <w:t>לשתות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מצפייה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, </w:t>
      </w:r>
      <w:r>
        <w:rPr>
          <w:rtl w:val="true"/>
        </w:rPr>
        <w:t>משהליכתו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מחושבת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מכל האמור עד כה עולה כי חלקו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אינו דומה לחלקו של נאשם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חלקו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החל בשלב מוקדם של האירוע</w:t>
      </w:r>
      <w:r>
        <w:rPr>
          <w:rtl w:val="true"/>
        </w:rPr>
        <w:t xml:space="preserve">, </w:t>
      </w:r>
      <w:r>
        <w:rPr>
          <w:rtl w:val="true"/>
        </w:rPr>
        <w:t>עת היה דומיננטי בהתגודדות סביב המתלוננת ובהמשך היה שותף פעיל ומלא לחטיפתה</w:t>
      </w:r>
      <w:r>
        <w:rPr>
          <w:rtl w:val="true"/>
        </w:rPr>
        <w:t xml:space="preserve">. </w:t>
      </w:r>
      <w:r>
        <w:rPr>
          <w:rtl w:val="true"/>
        </w:rPr>
        <w:t>כאשר מעשה החטיפה מהווה את תחילתו של האירוע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המתין במסדרון במשך כשעה</w:t>
      </w:r>
      <w:r>
        <w:rPr>
          <w:rtl w:val="true"/>
        </w:rPr>
        <w:t xml:space="preserve">, </w:t>
      </w:r>
      <w:r>
        <w:rPr>
          <w:rtl w:val="true"/>
        </w:rPr>
        <w:t>לעיתים לבדו</w:t>
      </w:r>
      <w:r>
        <w:rPr>
          <w:rtl w:val="true"/>
        </w:rPr>
        <w:t xml:space="preserve">, </w:t>
      </w:r>
      <w:r>
        <w:rPr>
          <w:rtl w:val="true"/>
        </w:rPr>
        <w:t>באופן המעיד על עניינו בתוכנית העבריינית</w:t>
      </w:r>
      <w:r>
        <w:rPr>
          <w:rtl w:val="true"/>
        </w:rPr>
        <w:t xml:space="preserve">, </w:t>
      </w:r>
      <w:r>
        <w:rPr>
          <w:rtl w:val="true"/>
        </w:rPr>
        <w:t>ואין בעזיבתו את המקום לאחר כניסתו אל החדר כדי להפחית ממידת מעורבותו כמבצע בצוותא</w:t>
      </w:r>
      <w:r>
        <w:rPr>
          <w:rtl w:val="true"/>
        </w:rPr>
        <w:t xml:space="preserve">. </w:t>
      </w:r>
      <w:r>
        <w:rPr>
          <w:rtl w:val="true"/>
        </w:rPr>
        <w:t xml:space="preserve">אשר לדמיון בין עניינו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ולטדסה</w:t>
      </w:r>
      <w:r>
        <w:rPr>
          <w:rtl w:val="true"/>
        </w:rPr>
        <w:t xml:space="preserve">, </w:t>
      </w:r>
      <w:r>
        <w:rPr>
          <w:rtl w:val="true"/>
        </w:rPr>
        <w:t xml:space="preserve">אומר כי בשונה ממערער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לא היה שותף לחטיפת המתלוננת והבאתה לחדר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הלך לישון בשלב מסוים במהלך האירוע</w:t>
      </w:r>
      <w:r>
        <w:rPr>
          <w:rtl w:val="true"/>
        </w:rPr>
        <w:t xml:space="preserve">, </w:t>
      </w:r>
      <w:r>
        <w:rPr>
          <w:rtl w:val="true"/>
        </w:rPr>
        <w:t>באופן המצביע על רמת עניין נמוכה בתוכנית העבריינית</w:t>
      </w:r>
      <w:r>
        <w:rPr>
          <w:rtl w:val="true"/>
        </w:rPr>
        <w:t xml:space="preserve">. </w:t>
      </w:r>
      <w:r>
        <w:rPr>
          <w:rtl w:val="true"/>
        </w:rPr>
        <w:t xml:space="preserve">אשר לחלקו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בהשוואה לטדסה</w:t>
      </w:r>
      <w:r>
        <w:rPr>
          <w:rtl w:val="true"/>
        </w:rPr>
        <w:t xml:space="preserve">, </w:t>
      </w:r>
      <w:r>
        <w:rPr>
          <w:rtl w:val="true"/>
        </w:rPr>
        <w:t xml:space="preserve">אומר כי אין בכך שטדסה הרחיק את שדה באופן אקטיבי מהמקום כדי להפחית מחלקו של מערער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 שהה במסדרון כל העת וצפה בהרחקתו של שדה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נוכח </w:t>
      </w:r>
      <w:r>
        <w:rPr>
          <w:rtl w:val="true"/>
        </w:rPr>
        <w:t xml:space="preserve">כל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ממצאי העובדה והמהימנות שקבע בית המשפט </w:t>
      </w:r>
      <w:r>
        <w:rPr>
          <w:rtl w:val="true"/>
        </w:rPr>
        <w:t>קמא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מבססים היטב את המסקנה המרשיעה אליה הגיע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לו תשמע דעתי</w:t>
      </w:r>
      <w:r>
        <w:rPr>
          <w:rtl w:val="true"/>
        </w:rPr>
        <w:t xml:space="preserve">, </w:t>
      </w:r>
      <w:r>
        <w:rPr>
          <w:rtl w:val="true"/>
        </w:rPr>
        <w:t>יידחה הערעור על הכרעת 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לערעורים על גזר הדין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לא תתערב בעונש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שבהם העונש חורג באופן קיצוני ממדיניות הענישה הנוהגת או הראויה</w:t>
      </w:r>
      <w:r>
        <w:rPr>
          <w:rtl w:val="true"/>
        </w:rPr>
        <w:t xml:space="preserve">, </w:t>
      </w:r>
      <w:r>
        <w:rPr>
          <w:rtl w:val="true"/>
        </w:rPr>
        <w:t xml:space="preserve">או במקרים שבהם נפלה טעות מהותית בגזירת הדין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3615/18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 w:val="20"/>
          <w:sz w:val="20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0"/>
          <w:sz w:val="2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70</w:t>
      </w:r>
      <w:r>
        <w:rPr>
          <w:rtl w:val="true"/>
        </w:rPr>
        <w:t xml:space="preserve"> (</w:t>
      </w:r>
      <w:r>
        <w:rPr/>
        <w:t>26.3.2020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זבורוף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). </w:t>
      </w:r>
      <w:r>
        <w:rPr>
          <w:rtl w:val="true"/>
        </w:rPr>
        <w:t xml:space="preserve">עניינם של מערערים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אינו נופל בגדר החריגים האמורים</w:t>
      </w:r>
      <w:r>
        <w:rPr>
          <w:rtl w:val="true"/>
        </w:rPr>
        <w:t xml:space="preserve">. </w:t>
      </w:r>
      <w:r>
        <w:rPr>
          <w:rtl w:val="true"/>
        </w:rPr>
        <w:t>גזר דינו של בית המשפט קמא מנומק ומפורט</w:t>
      </w:r>
      <w:r>
        <w:rPr>
          <w:rtl w:val="true"/>
        </w:rPr>
        <w:t xml:space="preserve">, </w:t>
      </w:r>
      <w:r>
        <w:rPr>
          <w:rtl w:val="true"/>
        </w:rPr>
        <w:t>ונשקלו בגדרו מכלול השיקולים הרלוונטיים</w:t>
      </w:r>
      <w:r>
        <w:rPr>
          <w:rtl w:val="true"/>
        </w:rPr>
        <w:t xml:space="preserve">. </w:t>
      </w:r>
      <w:r>
        <w:rPr>
          <w:rtl w:val="true"/>
        </w:rPr>
        <w:t>בעניינם של שלושת המערערים נשקלו שיקולי קולא בדבר העדר עבר פלילי</w:t>
      </w:r>
      <w:r>
        <w:rPr>
          <w:rtl w:val="true"/>
        </w:rPr>
        <w:t xml:space="preserve">, </w:t>
      </w:r>
      <w:r>
        <w:rPr>
          <w:rtl w:val="true"/>
        </w:rPr>
        <w:t>היותם ילידי אריתריאה אשר חווים בדידות במעצרם ונסיבות חייהם הקשות</w:t>
      </w:r>
      <w:r>
        <w:rPr>
          <w:rtl w:val="true"/>
        </w:rPr>
        <w:t xml:space="preserve">. </w:t>
      </w:r>
      <w:r>
        <w:rPr>
          <w:rtl w:val="true"/>
        </w:rPr>
        <w:t xml:space="preserve">בעניינו של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נשקלו שיקולי החומרה ובהם סירובו לקחת אחריות על חלקו באירוע והעדר אמפתיה למתלוננת</w:t>
      </w:r>
      <w:r>
        <w:rPr>
          <w:rtl w:val="true"/>
        </w:rPr>
        <w:t xml:space="preserve">, </w:t>
      </w:r>
      <w:r>
        <w:rPr>
          <w:rtl w:val="true"/>
        </w:rPr>
        <w:t>וצוין כי ייתכן שביציאתו מהארץ</w:t>
      </w:r>
      <w:r>
        <w:rPr>
          <w:rtl w:val="true"/>
        </w:rPr>
        <w:t xml:space="preserve">, </w:t>
      </w:r>
      <w:r>
        <w:rPr>
          <w:rtl w:val="true"/>
        </w:rPr>
        <w:t>ניסה להימלט מהדין</w:t>
      </w:r>
      <w:r>
        <w:rPr>
          <w:rtl w:val="true"/>
        </w:rPr>
        <w:t xml:space="preserve">. </w:t>
      </w:r>
      <w:r>
        <w:rPr>
          <w:rtl w:val="true"/>
        </w:rPr>
        <w:t xml:space="preserve">בעניינו של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נשקלו סירובו לקחת אחריות ומנגד הבעת אמפתיה כלפי המתלוננת וגילו הצעיר</w:t>
      </w:r>
      <w:r>
        <w:rPr>
          <w:rtl w:val="true"/>
        </w:rPr>
        <w:t xml:space="preserve">. </w:t>
      </w:r>
      <w:r>
        <w:rPr>
          <w:rtl w:val="true"/>
        </w:rPr>
        <w:t xml:space="preserve">בעניינו של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נשקלו נסיבותיו המשפחתיות החריגות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סבורני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העונשים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שנגזרו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המערערים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הולמים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בהם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עונשם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מערערים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;Times New Roman" w:ascii="Garamond" w:hAnsi="Garamond"/>
          <w:spacing w:val="10"/>
          <w:sz w:val="24"/>
          <w:szCs w:val="28"/>
        </w:rPr>
        <w:t>2-1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הראויה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וממילא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קיצוני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המצדיק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התערבותו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>(</w:t>
      </w:r>
      <w:hyperlink r:id="rId31">
        <w:r>
          <w:rPr>
            <w:rStyle w:val="Hyperlink"/>
            <w:rFonts w:ascii="Garamond" w:hAnsi="Garamond" w:cs="FrankRuehl;Times New Roman"/>
            <w:spacing w:val="10"/>
            <w:sz w:val="24"/>
            <w:sz w:val="24"/>
            <w:szCs w:val="28"/>
            <w:rtl w:val="true"/>
          </w:rPr>
          <w:t>ע</w:t>
        </w:r>
        <w:r>
          <w:rPr>
            <w:rStyle w:val="Hyperlink"/>
            <w:rFonts w:cs="FrankRuehl;Times New Roman" w:ascii="Garamond" w:hAnsi="Garamond"/>
            <w:spacing w:val="10"/>
            <w:sz w:val="24"/>
            <w:szCs w:val="28"/>
            <w:rtl w:val="true"/>
          </w:rPr>
          <w:t>"</w:t>
        </w:r>
        <w:r>
          <w:rPr>
            <w:rStyle w:val="Hyperlink"/>
            <w:rFonts w:ascii="Garamond" w:hAnsi="Garamond" w:cs="FrankRuehl;Times New Roman"/>
            <w:spacing w:val="10"/>
            <w:sz w:val="24"/>
            <w:sz w:val="24"/>
            <w:szCs w:val="28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Garamond" w:hAnsi="Garamond"/>
            <w:spacing w:val="10"/>
            <w:sz w:val="24"/>
            <w:szCs w:val="28"/>
          </w:rPr>
          <w:t>7503/02</w:t>
        </w:r>
        <w:r>
          <w:rPr>
            <w:rStyle w:val="Hyperlink"/>
            <w:rFonts w:cs="FrankRuehl;Times New Roman" w:ascii="Garamond" w:hAnsi="Garamond"/>
            <w:spacing w:val="10"/>
            <w:sz w:val="24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בוגצקי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נ</w:t>
        </w:r>
        <w:r>
          <w:rPr>
            <w:rStyle w:val="Hyperlink"/>
            <w:rFonts w:cs="Miriam" w:ascii="Century" w:hAnsi="Century"/>
            <w:b/>
            <w:sz w:val="22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ישראל</w:t>
        </w:r>
        <w:r>
          <w:rPr>
            <w:rStyle w:val="Hyperlink"/>
            <w:rFonts w:cs="FrankRuehl;Times New Roman" w:ascii="Garamond" w:hAnsi="Garamond"/>
            <w:spacing w:val="10"/>
            <w:sz w:val="24"/>
            <w:szCs w:val="28"/>
            <w:rtl w:val="true"/>
          </w:rPr>
          <w:t xml:space="preserve">, </w:t>
        </w:r>
        <w:r>
          <w:rPr>
            <w:rStyle w:val="Hyperlink"/>
            <w:rFonts w:ascii="Garamond" w:hAnsi="Garamond" w:cs="FrankRuehl;Times New Roman"/>
            <w:spacing w:val="10"/>
            <w:sz w:val="24"/>
            <w:sz w:val="24"/>
            <w:szCs w:val="28"/>
            <w:rtl w:val="true"/>
          </w:rPr>
          <w:t>נז</w:t>
        </w:r>
      </w:hyperlink>
      <w:r>
        <w:rPr>
          <w:rFonts w:cs="FrankRuehl;Times New Roman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;Times New Roman" w:ascii="Garamond" w:hAnsi="Garamond"/>
          <w:spacing w:val="10"/>
          <w:sz w:val="24"/>
          <w:szCs w:val="28"/>
        </w:rPr>
        <w:t>4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;Times New Roman" w:ascii="Garamond" w:hAnsi="Garamond"/>
          <w:spacing w:val="10"/>
          <w:sz w:val="24"/>
          <w:szCs w:val="28"/>
        </w:rPr>
        <w:t>652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;Times New Roman" w:ascii="Garamond" w:hAnsi="Garamond"/>
          <w:spacing w:val="10"/>
          <w:sz w:val="24"/>
          <w:szCs w:val="28"/>
        </w:rPr>
        <w:t>2003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; </w:t>
      </w:r>
      <w:hyperlink r:id="rId32">
        <w:r>
          <w:rPr>
            <w:rStyle w:val="Hyperlink"/>
            <w:rFonts w:ascii="Garamond" w:hAnsi="Garamond" w:cs="FrankRuehl;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;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Garamond" w:hAnsi="Garamond"/>
            <w:color w:val="0000FF"/>
            <w:spacing w:val="10"/>
            <w:sz w:val="24"/>
            <w:szCs w:val="28"/>
            <w:u w:val="single"/>
          </w:rPr>
          <w:t>1484/10</w:t>
        </w:r>
      </w:hyperlink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חאמד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;Times New Roman" w:ascii="Garamond" w:hAnsi="Garamond"/>
          <w:spacing w:val="10"/>
          <w:sz w:val="24"/>
          <w:szCs w:val="28"/>
        </w:rPr>
        <w:t>22.10.2012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;Times New Roman" w:ascii="Garamond" w:hAnsi="Garamond"/>
          <w:spacing w:val="10"/>
          <w:sz w:val="24"/>
          <w:szCs w:val="28"/>
        </w:rPr>
        <w:t>3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לעונשו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טדסה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חלקם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דומה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טדסה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הוחמר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ל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;Times New Roman" w:ascii="Garamond" w:hAnsi="Garamond"/>
          <w:spacing w:val="10"/>
          <w:sz w:val="24"/>
          <w:szCs w:val="28"/>
        </w:rPr>
        <w:t>14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שהובהר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ממצה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>(</w:t>
      </w:r>
      <w:hyperlink r:id="rId33">
        <w:r>
          <w:rPr>
            <w:rStyle w:val="Hyperlink"/>
            <w:rFonts w:ascii="Garamond" w:hAnsi="Garamond" w:cs="FrankRuehl;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;Times New Roman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Garamond" w:hAnsi="Garamond"/>
            <w:color w:val="0000FF"/>
            <w:spacing w:val="10"/>
            <w:sz w:val="24"/>
            <w:szCs w:val="28"/>
            <w:u w:val="single"/>
          </w:rPr>
          <w:t>3132/18</w:t>
        </w:r>
      </w:hyperlink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;Times New Roman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;Times New Roman" w:ascii="Garamond" w:hAnsi="Garamond"/>
          <w:spacing w:val="10"/>
          <w:sz w:val="24"/>
          <w:szCs w:val="28"/>
        </w:rPr>
        <w:t>17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;Times New Roman" w:ascii="Garamond" w:hAnsi="Garamond"/>
          <w:spacing w:val="10"/>
          <w:sz w:val="24"/>
          <w:szCs w:val="28"/>
        </w:rPr>
        <w:t>9.12.2018</w:t>
      </w:r>
      <w:r>
        <w:rPr>
          <w:rFonts w:cs="FrankRuehl;Times New Roman" w:ascii="Garamond" w:hAnsi="Garamond"/>
          <w:spacing w:val="10"/>
          <w:sz w:val="24"/>
          <w:szCs w:val="28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לערעור המשיבה על החלטתו של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במסגרתה נקבע כי אם המתלוננת לא תימצא עד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ימים לפני המועד שנקבע לתשלום </w:t>
      </w:r>
      <w:r>
        <w:rPr>
          <w:rtl w:val="true"/>
        </w:rPr>
        <w:t>(</w:t>
      </w:r>
      <w:r>
        <w:rPr/>
        <w:t>1.10.2019</w:t>
      </w:r>
      <w:r>
        <w:rPr>
          <w:rtl w:val="true"/>
        </w:rPr>
        <w:t xml:space="preserve">), </w:t>
      </w:r>
      <w:r>
        <w:rPr>
          <w:rtl w:val="true"/>
        </w:rPr>
        <w:t>יבוטל החיוב בפיצוי</w:t>
      </w:r>
      <w:r>
        <w:rPr>
          <w:rtl w:val="true"/>
        </w:rPr>
        <w:t xml:space="preserve">, </w:t>
      </w:r>
      <w:r>
        <w:rPr>
          <w:rtl w:val="true"/>
        </w:rPr>
        <w:t>ראו פסק דיננו 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5857/19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טקיה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25.1.2021</w:t>
      </w:r>
      <w:r>
        <w:rPr>
          <w:rtl w:val="true"/>
        </w:rPr>
        <w:t xml:space="preserve">), </w:t>
      </w:r>
      <w:r>
        <w:rPr>
          <w:rtl w:val="true"/>
        </w:rPr>
        <w:t>בו הורינו על ביטול ההחלטה ועל כך שהחיוב בפיצוי למתלוננת יעמוד בעינו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אציע לחבריי</w:t>
      </w:r>
      <w:r>
        <w:rPr>
          <w:rtl w:val="true"/>
        </w:rPr>
        <w:t xml:space="preserve"> לדחות </w:t>
      </w:r>
      <w:r>
        <w:rPr>
          <w:rtl w:val="true"/>
        </w:rPr>
        <w:t xml:space="preserve">את </w:t>
      </w:r>
      <w:r>
        <w:rPr>
          <w:rtl w:val="true"/>
        </w:rPr>
        <w:t>ערעור</w:t>
      </w:r>
      <w:r>
        <w:rPr>
          <w:rtl w:val="true"/>
        </w:rPr>
        <w:t xml:space="preserve">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על שני חלקיו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את </w:t>
      </w:r>
      <w:r>
        <w:rPr>
          <w:rtl w:val="true"/>
        </w:rPr>
        <w:t xml:space="preserve">ערעורי מערערים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והמשיבה על גזר הדין</w:t>
      </w:r>
      <w:r>
        <w:rPr>
          <w:rtl w:val="true"/>
        </w:rPr>
        <w:t xml:space="preserve">, </w:t>
      </w:r>
      <w:r>
        <w:rPr>
          <w:rtl w:val="true"/>
        </w:rPr>
        <w:t>ולקבל את ערעור המשיבה על החלטתו של בית המשפט קמא לעניין הפיצוי</w:t>
      </w:r>
      <w:r>
        <w:rPr>
          <w:rtl w:val="true"/>
        </w:rPr>
        <w:t xml:space="preserve">, </w:t>
      </w:r>
      <w:r>
        <w:rPr>
          <w:rtl w:val="true"/>
        </w:rPr>
        <w:t>כך שהיא תבוטל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ע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פוגלמן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;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שטיין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eastAsia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bookmarkStart w:id="21" w:name="Nitan"/>
      <w:r>
        <w:rPr>
          <w:rFonts w:cs="Century" w:ascii="Century" w:hAnsi="Century"/>
          <w:color w:val="FFFFFF"/>
          <w:sz w:val="2"/>
          <w:szCs w:val="2"/>
        </w:rPr>
        <w:t>5129371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3.3.2021</w:t>
      </w:r>
      <w:r>
        <w:rPr>
          <w:rFonts w:cs="Century" w:ascii="Century" w:hAnsi="Century"/>
          <w:rtl w:val="true"/>
        </w:rPr>
        <w:t xml:space="preserve">). </w:t>
      </w:r>
      <w:bookmarkEnd w:id="2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spacing w:lineRule="auto" w:line="240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19056260</w:t>
      </w:r>
      <w:r>
        <w:rPr>
          <w:sz w:val="16"/>
          <w:rtl w:val="true"/>
        </w:rPr>
        <w:t>_</w:t>
      </w:r>
      <w:r>
        <w:rPr>
          <w:sz w:val="16"/>
        </w:rPr>
        <w:t>Q17.docx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54678313-5626/19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19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5626/19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אטקלה אבטרמרים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2"/>
        <w:szCs w:val="24"/>
        <w:rFonts w:cs="FrankRuehl;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FrankRuehl;Times New Roman"/>
      <w:sz w:val="22"/>
      <w:szCs w:val="24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9320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a.4" TargetMode="External"/><Relationship Id="rId7" Type="http://schemas.openxmlformats.org/officeDocument/2006/relationships/hyperlink" Target="http://www.nevo.co.il/law/70301/345.b.3" TargetMode="External"/><Relationship Id="rId8" Type="http://schemas.openxmlformats.org/officeDocument/2006/relationships/hyperlink" Target="http://www.nevo.co.il/law/70301/345.b.5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law/70301/369" TargetMode="External"/><Relationship Id="rId11" Type="http://schemas.openxmlformats.org/officeDocument/2006/relationships/hyperlink" Target="http://www.nevo.co.il/law/70301/377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case/20493204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69" TargetMode="External"/><Relationship Id="rId17" Type="http://schemas.openxmlformats.org/officeDocument/2006/relationships/hyperlink" Target="http://www.nevo.co.il/law/70301/377" TargetMode="External"/><Relationship Id="rId18" Type="http://schemas.openxmlformats.org/officeDocument/2006/relationships/hyperlink" Target="http://www.nevo.co.il/law/70301/29.b" TargetMode="External"/><Relationship Id="rId19" Type="http://schemas.openxmlformats.org/officeDocument/2006/relationships/hyperlink" Target="http://www.nevo.co.il/law/70301/345.b.3" TargetMode="External"/><Relationship Id="rId20" Type="http://schemas.openxmlformats.org/officeDocument/2006/relationships/hyperlink" Target="http://www.nevo.co.il/law/70301/345.b.5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law/70301/345.a.4" TargetMode="External"/><Relationship Id="rId23" Type="http://schemas.openxmlformats.org/officeDocument/2006/relationships/hyperlink" Target="http://www.nevo.co.il/law/70301/29.b" TargetMode="External"/><Relationship Id="rId24" Type="http://schemas.openxmlformats.org/officeDocument/2006/relationships/hyperlink" Target="http://www.nevo.co.il/law/70301/348.b" TargetMode="External"/><Relationship Id="rId25" Type="http://schemas.openxmlformats.org/officeDocument/2006/relationships/hyperlink" Target="http://www.nevo.co.il/law/70301/345.b.3" TargetMode="External"/><Relationship Id="rId26" Type="http://schemas.openxmlformats.org/officeDocument/2006/relationships/hyperlink" Target="http://www.nevo.co.il/law/70301/345.b.5" TargetMode="External"/><Relationship Id="rId27" Type="http://schemas.openxmlformats.org/officeDocument/2006/relationships/hyperlink" Target="http://www.nevo.co.il/law/70301/29.b" TargetMode="External"/><Relationship Id="rId28" Type="http://schemas.openxmlformats.org/officeDocument/2006/relationships/hyperlink" Target="http://www.nevo.co.il/case/22529014" TargetMode="External"/><Relationship Id="rId29" Type="http://schemas.openxmlformats.org/officeDocument/2006/relationships/hyperlink" Target="http://www.nevo.co.il/case/25202729" TargetMode="External"/><Relationship Id="rId30" Type="http://schemas.openxmlformats.org/officeDocument/2006/relationships/hyperlink" Target="http://www.nevo.co.il/case/24156665" TargetMode="External"/><Relationship Id="rId31" Type="http://schemas.openxmlformats.org/officeDocument/2006/relationships/hyperlink" Target="http://www.nevo.co.il/case/6105497" TargetMode="External"/><Relationship Id="rId32" Type="http://schemas.openxmlformats.org/officeDocument/2006/relationships/hyperlink" Target="http://www.nevo.co.il/case/5772329" TargetMode="External"/><Relationship Id="rId33" Type="http://schemas.openxmlformats.org/officeDocument/2006/relationships/hyperlink" Target="http://www.nevo.co.il/case/24140505" TargetMode="External"/><Relationship Id="rId34" Type="http://schemas.openxmlformats.org/officeDocument/2006/relationships/hyperlink" Target="http://www.nevo.co.il/case/26019092" TargetMode="External"/><Relationship Id="rId35" Type="http://schemas.openxmlformats.org/officeDocument/2006/relationships/hyperlink" Target="http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2021-03-04T11:10:00Z</dcterms:created>
  <dc:creator>h4</dc:creator>
  <dc:description/>
  <cp:keywords/>
  <dc:language>en-IL</dc:language>
  <cp:lastModifiedBy>orly</cp:lastModifiedBy>
  <cp:lastPrinted>2021-03-03T14:07:00Z</cp:lastPrinted>
  <dcterms:modified xsi:type="dcterms:W3CDTF">2021-03-04T11:10:00Z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אטקלה אבטרמרים;אמנאל טקיה;גברו טקאלי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20493204:2;22529014;25202729;24156665;6105497;5772329;24140505;26019092</vt:lpwstr>
  </property>
  <property fmtid="{D5CDD505-2E9C-101B-9397-08002B2CF9AE}" pid="9" name="CITY">
    <vt:lpwstr/>
  </property>
  <property fmtid="{D5CDD505-2E9C-101B-9397-08002B2CF9AE}" pid="10" name="DATE">
    <vt:lpwstr>20210303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פוגלמן;ג' קרא;א' שטיין</vt:lpwstr>
  </property>
  <property fmtid="{D5CDD505-2E9C-101B-9397-08002B2CF9AE}" pid="14" name="LAWLISTTMP1">
    <vt:lpwstr>70301/499.a.1;369;377;029.b:3;345.b.3:2;345.b.5:2;345.a.1;345.a.4;348.b</vt:lpwstr>
  </property>
  <property fmtid="{D5CDD505-2E9C-101B-9397-08002B2CF9AE}" pid="15" name="LAWYER">
    <vt:lpwstr>ענת גרינבאום;שרה טל;שלומציון גבאי מנדלמן;גד זילברשלג;ליאור ברניר;דוד ברהום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דיון פלילי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ערעור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1446;1446;1446;1446;504</vt:lpwstr>
  </property>
  <property fmtid="{D5CDD505-2E9C-101B-9397-08002B2CF9AE}" pid="48" name="NOSE31">
    <vt:lpwstr>מדיניות ענישה: עבירות מין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</vt:lpwstr>
  </property>
  <property fmtid="{D5CDD505-2E9C-101B-9397-08002B2CF9AE}" pid="52" name="NOSE34">
    <vt:lpwstr>דרכי ענישה: פיצויים</vt:lpwstr>
  </property>
  <property fmtid="{D5CDD505-2E9C-101B-9397-08002B2CF9AE}" pid="53" name="NOSE35">
    <vt:lpwstr>אי-התערבות בממצאים עובדתיים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8988;8982;8994;8968;3849</vt:lpwstr>
  </property>
  <property fmtid="{D5CDD505-2E9C-101B-9397-08002B2CF9AE}" pid="59" name="PADIDATE">
    <vt:lpwstr>20210304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עפ;עפ;עפ;עפ</vt:lpwstr>
  </property>
  <property fmtid="{D5CDD505-2E9C-101B-9397-08002B2CF9AE}" pid="64" name="PROCNUM">
    <vt:lpwstr>5626;5756;5815;5857</vt:lpwstr>
  </property>
  <property fmtid="{D5CDD505-2E9C-101B-9397-08002B2CF9AE}" pid="65" name="PROCYEAR">
    <vt:lpwstr>19;19;19;19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410120210303</vt:lpwstr>
  </property>
  <property fmtid="{D5CDD505-2E9C-101B-9397-08002B2CF9AE}" pid="69" name="TYPE_N_DATE">
    <vt:lpwstr>41020210303</vt:lpwstr>
  </property>
  <property fmtid="{D5CDD505-2E9C-101B-9397-08002B2CF9AE}" pid="70" name="VOLUME">
    <vt:lpwstr/>
  </property>
  <property fmtid="{D5CDD505-2E9C-101B-9397-08002B2CF9AE}" pid="71" name="WORDNUMPAGES">
    <vt:lpwstr>17</vt:lpwstr>
  </property>
</Properties>
</file>