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5633/22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5893/22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5952/22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5633/22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5893/22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נואף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אלהווא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5952/22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5633/22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5893/22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5952/22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נואף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אלהווא</w:t>
            </w:r>
          </w:p>
        </w:tc>
      </w:tr>
      <w:tr>
        <w:trPr/>
        <w:tc>
          <w:tcPr>
            <w:tcW w:w="323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2009-07-21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3.10.2022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5633/22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5893/22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5633/22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5893/22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אמאני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סביחאת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החמיר בעונשי המאסר בפועל שהוטלו על המערערים אשר הורשעו בביצוע מעשה </w:t>
      </w:r>
      <w:r>
        <w:rPr>
          <w:rFonts w:ascii="Times New Roman" w:hAnsi="Times New Roman" w:cs="Times New Roman"/>
          <w:spacing w:val="0"/>
          <w:szCs w:val="26"/>
          <w:rtl w:val="true"/>
        </w:rPr>
        <w:t>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אכזרי </w:t>
      </w:r>
      <w:r>
        <w:rPr>
          <w:rFonts w:ascii="Times New Roman" w:hAnsi="Times New Roman" w:cs="Times New Roman"/>
          <w:spacing w:val="0"/>
          <w:szCs w:val="26"/>
          <w:rtl w:val="true"/>
        </w:rPr>
        <w:t>בבני זוג 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</w:t>
      </w:r>
      <w:r>
        <w:rPr>
          <w:rFonts w:ascii="Times New Roman" w:hAnsi="Times New Roman" w:cs="Times New Roman"/>
          <w:spacing w:val="0"/>
          <w:szCs w:val="26"/>
          <w:rtl w:val="true"/>
        </w:rPr>
        <w:t>יִדוי אבנים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השלכת בקבוקי תבערה וירי זיקוקים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עמד על חומרת המעשים ועל הצורך בענישה מחמירה ומרתיעה בעבירות שמבוצעות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מניע גזעני ולאומני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לאומני‏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אידיאולוגי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טרור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יידוי אבנים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יידוי בקבוקי תבערה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על גזר דין של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שבגדרו נגזרו על </w:t>
      </w:r>
      <w:r>
        <w:rPr>
          <w:rFonts w:ascii="Times New Roman" w:hAnsi="Times New Roman" w:cs="Times New Roman"/>
          <w:spacing w:val="0"/>
          <w:szCs w:val="26"/>
          <w:rtl w:val="true"/>
        </w:rPr>
        <w:t>נואף אבו אלהווא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5893/22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</w:t>
      </w:r>
      <w:r>
        <w:rPr>
          <w:rFonts w:ascii="Times New Roman" w:hAnsi="Times New Roman" w:cs="Times New Roman"/>
          <w:spacing w:val="0"/>
          <w:szCs w:val="26"/>
          <w:rtl w:val="true"/>
        </w:rPr>
        <w:t>רמי סאלח אל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5633/22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 המדינה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5952/22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הן מתחמי הענישה שנקבעו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העונשים שנגזרו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הולמים לא את חומרתם היתרה של האישומים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את שלל שיקולי הענישה הרלבנטיים בנסיבות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לערעורים הינו </w:t>
      </w:r>
      <w:r>
        <w:rPr>
          <w:rFonts w:ascii="Times New Roman" w:hAnsi="Times New Roman" w:cs="Times New Roman"/>
          <w:spacing w:val="0"/>
          <w:szCs w:val="26"/>
          <w:rtl w:val="true"/>
        </w:rPr>
        <w:t>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שמרביתם התרחשו בתקופת מבצע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שומר החומות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בימים שבהם התחוללו התפרעויות אלימות והפרות סדר בהיקף נרחב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שכללו התקפות כלפי אזרחים תמימים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וכלפי כוחות המשטרה והביטחון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בחלקם </w:t>
      </w:r>
      <w:r>
        <w:rPr>
          <w:rFonts w:ascii="Times New Roman" w:hAnsi="Times New Roman" w:cs="Times New Roman"/>
          <w:spacing w:val="0"/>
          <w:szCs w:val="26"/>
          <w:rtl w:val="true"/>
        </w:rPr>
        <w:t>השתתפו נואף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ורמי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5893/22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5633/22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5952/22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ערכאת הערעור תמעט מלהתערב בגזר הדין שניתן בערכאה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כאמור תֵעשה במקרים נדירים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נפלה בגזר הדין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נמצא כי העונש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במידה ניכרת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הינו מקרה 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חומרה רבה נשקפת ממעשיהם של נואף ורמי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האכזרי אשר אלמלא הצליחו בני הזוג לחמוק ממבצעיו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אחריתו מי ישׁוּרנה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אך כך גם מכל יתר ההתפרעויות שבהן נטלו חלק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שבכללן יִדוי אבנים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השלכת בקבוקי תבערה וירי זיקוקים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חומרתן היתֵירה של עבירות אלימות המבוצעות על רקע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המון משולהב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נפסק 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החומרה היתרה הנודעת לפעולות של יידוי אבנים והשלכת בקבוקי תבערה לעבר כלי תחבורה ולעבר כוחות הביטחון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בעבירות אלה היא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וניתן בה משקל ממשי לשיקולי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שבוצעו מתוך 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ההגנה על שלום הציבור וביטחונו ושיקולי הרתעת היחיד 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גוברים על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נסיבות אישיות ושיקולי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גישת המחוקק כפי שבאה לביטוי ב</w:t>
      </w:r>
      <w:r>
        <w:rPr>
          <w:rFonts w:ascii="Times New Roman" w:hAnsi="Times New Roman" w:cs="Times New Roman"/>
          <w:spacing w:val="0"/>
          <w:szCs w:val="26"/>
          <w:rtl w:val="true"/>
        </w:rPr>
        <w:t>חוק המאבק בטרור ובחוק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מטה אף היא את הכף לעבר החמרה בעונשיהם של נואף ורמי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לייחס משקל רב גם לנזקים הקשים שהסבו נואף ורמי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לבני הזוג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שהותקפו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הן מתחמי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העונשים שנגזרו בתוכם אינם נותנים ביטוי הולם לשיקולי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שמדובר בשלל עבירות אלימות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שרבות מהן עונות להגדרה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בוצעו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מניע של גזענות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 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בעניינן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לא ניתן ביטוי לשיקולים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שיקום ונסיבות 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שלהם הקנה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משקל לא מבוטל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קביעתו כי מעשיהם של נואף ורמי מצויים בתחתית מתחמי הענישה שנקבעו לגביהם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נסוגים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 שיקולי ההגנה על שלום הציבור וההרתעה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הרלבנטיים לעניינו של נואף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ומטים את הכף לעבר החמרה 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הם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הרב של העבירות שבהן 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ואין ליתן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 לקוּלה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שאמנם בוצעו עבירות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זאת בתוך תקופה קצרה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שנתן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הדין אף ביחס למשקל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לקוּלה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שהעניק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לכך שנואף הודה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הכיר באחריותו וחסך זמן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חרטתו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תה קונקרטית ומילולית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וניתנה תוך התמקדות בהשלכות הצפויות לעתידו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אגב קושי לראות את הפגיעה שנגרמה לאחר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איבחן את המקרה דנן ממקרים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 שבהם הורשעו הנאשמים בפרשות אסווד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ואוחנינה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רחוקים מרחק רב מן האישומים שבהם הורשעו נואף ורמי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רף הענישה אמור לשקף פערים משמעותיים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ונוכח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 שלפיו ערכאת הערעור אינה מגיעה למיצוי הדין במקרה של החמרת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פסק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להוסיף שנתיים מאסר בפועל לעונשו של נואף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ושנת מאסר בפועל לעונשו של 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נואף </w:t>
      </w:r>
      <w:r>
        <w:rPr>
          <w:rFonts w:ascii="Times New Roman" w:hAnsi="Times New Roman" w:cs="Times New Roman"/>
          <w:spacing w:val="0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רמי ירצה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יתר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ערעורים מזה ומזה</w:t>
      </w:r>
      <w:r>
        <w:rPr>
          <w:rtl w:val="true"/>
        </w:rPr>
        <w:t xml:space="preserve">, </w:t>
      </w:r>
      <w:r>
        <w:rPr>
          <w:rtl w:val="true"/>
        </w:rPr>
        <w:t>על גזר הדין של בית המשפט המחוזי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20.7.2022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2009-07-21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tl w:val="true"/>
        </w:rPr>
        <w:t xml:space="preserve">), </w:t>
      </w:r>
      <w:r>
        <w:rPr>
          <w:rtl w:val="true"/>
        </w:rPr>
        <w:t>שבגדרו נגזרו 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5893/22</w:t>
      </w:r>
      <w:r>
        <w:rPr>
          <w:rtl w:val="true"/>
        </w:rPr>
        <w:t xml:space="preserve"> (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5952/22</w:t>
      </w:r>
      <w:r>
        <w:rPr>
          <w:rtl w:val="true"/>
        </w:rPr>
        <w:t xml:space="preserve">),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נוסף על עונשים נלווים</w:t>
      </w:r>
      <w:r>
        <w:rPr>
          <w:rtl w:val="true"/>
        </w:rPr>
        <w:t xml:space="preserve">; </w:t>
      </w:r>
      <w:r>
        <w:rPr>
          <w:rtl w:val="true"/>
        </w:rPr>
        <w:t>ועל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5633/22</w:t>
      </w:r>
      <w:r>
        <w:rPr>
          <w:rtl w:val="true"/>
        </w:rPr>
        <w:t xml:space="preserve"> (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5952/22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נגזרו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נוסף על עונשים נלווים</w:t>
      </w:r>
      <w:r>
        <w:rPr>
          <w:rtl w:val="true"/>
        </w:rPr>
        <w:t xml:space="preserve">. </w:t>
        <w:br/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 מתייחס לכמה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שמרביתם התרחשו בתקופת מבצע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החומות</w:t>
      </w:r>
      <w:r>
        <w:rPr>
          <w:rtl w:val="true"/>
        </w:rPr>
        <w:t xml:space="preserve">', </w:t>
      </w:r>
      <w:r>
        <w:rPr>
          <w:rtl w:val="true"/>
        </w:rPr>
        <w:t>בימים שבהם התחוללו התפרעויות אלימות והפרות סדר בהיקף נרחב</w:t>
      </w:r>
      <w:r>
        <w:rPr>
          <w:rtl w:val="true"/>
        </w:rPr>
        <w:t xml:space="preserve">, </w:t>
      </w:r>
      <w:r>
        <w:rPr>
          <w:rtl w:val="true"/>
        </w:rPr>
        <w:t>אשר כללו התקפות כלפי אזרחים תמימים</w:t>
      </w:r>
      <w:r>
        <w:rPr>
          <w:rtl w:val="true"/>
        </w:rPr>
        <w:t xml:space="preserve">, </w:t>
      </w:r>
      <w:r>
        <w:rPr>
          <w:rtl w:val="true"/>
        </w:rPr>
        <w:t>וכלפי כוחות המשטרה והביטחון</w:t>
      </w:r>
      <w:r>
        <w:rPr>
          <w:rtl w:val="true"/>
        </w:rPr>
        <w:t xml:space="preserve">. </w:t>
      </w:r>
      <w:r>
        <w:rPr>
          <w:rtl w:val="true"/>
        </w:rPr>
        <w:t>בחלק מן האירועים המתוארים בכתב האישום</w:t>
      </w:r>
      <w:r>
        <w:rPr>
          <w:rtl w:val="true"/>
        </w:rPr>
        <w:t xml:space="preserve">, </w:t>
      </w:r>
      <w:r>
        <w:rPr>
          <w:rtl w:val="true"/>
        </w:rPr>
        <w:t>השתתפו הן המערער</w:t>
      </w:r>
      <w:r>
        <w:rPr>
          <w:rtl w:val="true"/>
        </w:rPr>
        <w:t xml:space="preserve">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5633/22</w:t>
      </w:r>
      <w:r>
        <w:rPr>
          <w:rtl w:val="true"/>
        </w:rPr>
        <w:t xml:space="preserve">, </w:t>
      </w:r>
      <w:r>
        <w:rPr>
          <w:rtl w:val="true"/>
        </w:rPr>
        <w:t>רמי סאלח אל דין</w:t>
      </w:r>
      <w:r>
        <w:rPr>
          <w:rtl w:val="true"/>
        </w:rPr>
        <w:t xml:space="preserve">, </w:t>
      </w:r>
      <w:r>
        <w:rPr>
          <w:rtl w:val="true"/>
        </w:rPr>
        <w:t xml:space="preserve">הן המערער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5893/22</w:t>
      </w:r>
      <w:r>
        <w:rPr>
          <w:rtl w:val="true"/>
        </w:rPr>
        <w:t xml:space="preserve">, </w:t>
      </w:r>
      <w:r>
        <w:rPr>
          <w:rtl w:val="true"/>
        </w:rPr>
        <w:t>נואף אבו אלהווא</w:t>
      </w:r>
      <w:r>
        <w:rPr>
          <w:rtl w:val="true"/>
        </w:rPr>
        <w:t xml:space="preserve">; </w:t>
      </w:r>
      <w:r>
        <w:rPr>
          <w:rtl w:val="true"/>
        </w:rPr>
        <w:t>בחלקם האחר – נואף בלבד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9.5.2021</w:t>
      </w:r>
      <w:r>
        <w:rPr>
          <w:rtl w:val="true"/>
        </w:rPr>
        <w:t xml:space="preserve">, </w:t>
      </w:r>
      <w:r>
        <w:rPr>
          <w:rtl w:val="true"/>
        </w:rPr>
        <w:t>נסעו במכוניתם</w:t>
      </w:r>
      <w:r>
        <w:rPr>
          <w:rtl w:val="true"/>
        </w:rPr>
        <w:t xml:space="preserve">, </w:t>
      </w:r>
      <w:r>
        <w:rPr>
          <w:rtl w:val="true"/>
        </w:rPr>
        <w:t>שחר מרים כהן ואביה אלטמן – בני זוג יהודים</w:t>
      </w:r>
      <w:r>
        <w:rPr>
          <w:rtl w:val="true"/>
        </w:rPr>
        <w:t xml:space="preserve">, </w:t>
      </w:r>
      <w:r>
        <w:rPr>
          <w:rtl w:val="true"/>
        </w:rPr>
        <w:t>שבאותו יום באו בברית האירוסין – מ</w:t>
      </w:r>
      <w:r>
        <w:rPr>
          <w:rtl w:val="true"/>
        </w:rPr>
        <w:t>'</w:t>
      </w:r>
      <w:r>
        <w:rPr>
          <w:rtl w:val="true"/>
        </w:rPr>
        <w:t>בית החושן</w:t>
      </w:r>
      <w:r>
        <w:rPr>
          <w:rtl w:val="true"/>
        </w:rPr>
        <w:t>' (</w:t>
      </w:r>
      <w:r>
        <w:rPr>
          <w:rtl w:val="true"/>
        </w:rPr>
        <w:t>מבנה בשכונת א</w:t>
      </w:r>
      <w:r>
        <w:rPr>
          <w:rtl w:val="true"/>
        </w:rPr>
        <w:t>-</w:t>
      </w:r>
      <w:r>
        <w:rPr>
          <w:rtl w:val="true"/>
        </w:rPr>
        <w:t>טור שבמזרח ירושלים</w:t>
      </w:r>
      <w:r>
        <w:rPr>
          <w:rtl w:val="true"/>
        </w:rPr>
        <w:t xml:space="preserve">, </w:t>
      </w:r>
      <w:r>
        <w:rPr>
          <w:rtl w:val="true"/>
        </w:rPr>
        <w:t>שבו מתגוררות משפחות יהודיות</w:t>
      </w:r>
      <w:r>
        <w:rPr>
          <w:rtl w:val="true"/>
        </w:rPr>
        <w:t xml:space="preserve">) </w:t>
      </w:r>
      <w:r>
        <w:rPr>
          <w:rtl w:val="true"/>
        </w:rPr>
        <w:t xml:space="preserve">אל שכונת בית אורות </w:t>
      </w:r>
      <w:r>
        <w:rPr>
          <w:rtl w:val="true"/>
        </w:rPr>
        <w:t>(</w:t>
      </w:r>
      <w:r>
        <w:rPr>
          <w:rtl w:val="true"/>
        </w:rPr>
        <w:t>הממוקמת גם היא במזרח ירושלים</w:t>
      </w:r>
      <w:r>
        <w:rPr>
          <w:rtl w:val="true"/>
        </w:rPr>
        <w:t xml:space="preserve">). </w:t>
      </w:r>
      <w:r>
        <w:rPr>
          <w:rtl w:val="true"/>
        </w:rPr>
        <w:t>במהלך נסיעתם</w:t>
      </w:r>
      <w:r>
        <w:rPr>
          <w:rtl w:val="true"/>
        </w:rPr>
        <w:t xml:space="preserve">, </w:t>
      </w:r>
      <w:r>
        <w:rPr>
          <w:rtl w:val="true"/>
        </w:rPr>
        <w:t>כשהגיעו בני הזוג לצומת 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זיהה המון מתפרעים כי במכונית נוסעים יהודים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החל ההמון לרוץ אחר המכונית</w:t>
      </w:r>
      <w:r>
        <w:rPr>
          <w:rtl w:val="true"/>
        </w:rPr>
        <w:t xml:space="preserve">, </w:t>
      </w:r>
      <w:r>
        <w:rPr>
          <w:rtl w:val="true"/>
        </w:rPr>
        <w:t xml:space="preserve">בזעקות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מתנחל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תוך השמעת קללות וגידופים</w:t>
      </w:r>
      <w:r>
        <w:rPr>
          <w:rtl w:val="true"/>
        </w:rPr>
        <w:t xml:space="preserve">. </w:t>
      </w:r>
      <w:r>
        <w:rPr>
          <w:rtl w:val="true"/>
        </w:rPr>
        <w:t>משעמדו נוסעי המכונית שנעה לפני מכוניתם של בני הזוג על המתחולל</w:t>
      </w:r>
      <w:r>
        <w:rPr>
          <w:rtl w:val="true"/>
        </w:rPr>
        <w:t xml:space="preserve">, </w:t>
      </w:r>
      <w:r>
        <w:rPr>
          <w:rtl w:val="true"/>
        </w:rPr>
        <w:t>בחרו אלה לחסום את דרכם של בני הזוג</w:t>
      </w:r>
      <w:r>
        <w:rPr>
          <w:rtl w:val="true"/>
        </w:rPr>
        <w:t xml:space="preserve">, </w:t>
      </w:r>
      <w:r>
        <w:rPr>
          <w:rtl w:val="true"/>
        </w:rPr>
        <w:t>ולהצטרף אל ההמון הפורע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כאשר בני הזוג ישובים במכוניתם</w:t>
      </w:r>
      <w:r>
        <w:rPr>
          <w:rtl w:val="true"/>
        </w:rPr>
        <w:t xml:space="preserve">, </w:t>
      </w:r>
      <w:r>
        <w:rPr>
          <w:rtl w:val="true"/>
        </w:rPr>
        <w:t>ואינם יכולים להתרחק מן המקום בנסיעה</w:t>
      </w:r>
      <w:r>
        <w:rPr>
          <w:rtl w:val="true"/>
        </w:rPr>
        <w:t xml:space="preserve">, </w:t>
      </w:r>
      <w:r>
        <w:rPr>
          <w:rtl w:val="true"/>
        </w:rPr>
        <w:t>החל ההמון ליידות אבנים לעבר המכונית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הגיע למקום רמי</w:t>
      </w:r>
      <w:r>
        <w:rPr>
          <w:rtl w:val="true"/>
        </w:rPr>
        <w:t xml:space="preserve">, </w:t>
      </w:r>
      <w:r>
        <w:rPr>
          <w:rtl w:val="true"/>
        </w:rPr>
        <w:t>והכה בידו על חלון הרכב</w:t>
      </w:r>
      <w:r>
        <w:rPr>
          <w:rtl w:val="true"/>
        </w:rPr>
        <w:t xml:space="preserve">, </w:t>
      </w:r>
      <w:r>
        <w:rPr>
          <w:rtl w:val="true"/>
        </w:rPr>
        <w:t>עד שנשבר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בניסיון להתגונן</w:t>
      </w:r>
      <w:r>
        <w:rPr>
          <w:rtl w:val="true"/>
        </w:rPr>
        <w:t xml:space="preserve">, </w:t>
      </w:r>
      <w:r>
        <w:rPr>
          <w:rtl w:val="true"/>
        </w:rPr>
        <w:t>יצא מן המכונית</w:t>
      </w:r>
      <w:r>
        <w:rPr>
          <w:rtl w:val="true"/>
        </w:rPr>
        <w:t xml:space="preserve">, </w:t>
      </w:r>
      <w:r>
        <w:rPr>
          <w:rtl w:val="true"/>
        </w:rPr>
        <w:t>אלא שאז שלחו בו הפורעים את ידם</w:t>
      </w:r>
      <w:r>
        <w:rPr>
          <w:rtl w:val="true"/>
        </w:rPr>
        <w:t xml:space="preserve">, </w:t>
      </w:r>
      <w:r>
        <w:rPr>
          <w:rtl w:val="true"/>
        </w:rPr>
        <w:t>והחלו מבצעים בו לינץ</w:t>
      </w:r>
      <w:r>
        <w:rPr>
          <w:rtl w:val="true"/>
        </w:rPr>
        <w:t xml:space="preserve">'; </w:t>
      </w:r>
      <w:r>
        <w:rPr>
          <w:rtl w:val="true"/>
        </w:rPr>
        <w:t>אביה הותקף והוכה בכל חלקי גופו</w:t>
      </w:r>
      <w:r>
        <w:rPr>
          <w:rtl w:val="true"/>
        </w:rPr>
        <w:t xml:space="preserve">, </w:t>
      </w:r>
      <w:r>
        <w:rPr>
          <w:rtl w:val="true"/>
        </w:rPr>
        <w:t>לרבות בראשו</w:t>
      </w:r>
      <w:r>
        <w:rPr>
          <w:rtl w:val="true"/>
        </w:rPr>
        <w:t xml:space="preserve">,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tl w:val="true"/>
        </w:rPr>
        <w:t xml:space="preserve">, </w:t>
      </w:r>
      <w:r>
        <w:rPr>
          <w:rtl w:val="true"/>
        </w:rPr>
        <w:t>וכן באמצעות השלכת אבנים וחפצים נוספים לעברו</w:t>
      </w:r>
      <w:r>
        <w:rPr>
          <w:rtl w:val="true"/>
        </w:rPr>
        <w:t xml:space="preserve">. </w:t>
      </w:r>
      <w:r>
        <w:rPr>
          <w:rtl w:val="true"/>
        </w:rPr>
        <w:t>אחד המתפרעים</w:t>
      </w:r>
      <w:r>
        <w:rPr>
          <w:rtl w:val="true"/>
        </w:rPr>
        <w:t xml:space="preserve">, </w:t>
      </w:r>
      <w:r>
        <w:rPr>
          <w:rtl w:val="true"/>
        </w:rPr>
        <w:t>אשר לא זוהה עד כה</w:t>
      </w:r>
      <w:r>
        <w:rPr>
          <w:rtl w:val="true"/>
        </w:rPr>
        <w:t xml:space="preserve">, </w:t>
      </w:r>
      <w:r>
        <w:rPr>
          <w:rtl w:val="true"/>
        </w:rPr>
        <w:t>אף דקר את אביה בגבו</w:t>
      </w:r>
      <w:r>
        <w:rPr>
          <w:rtl w:val="true"/>
        </w:rPr>
        <w:t xml:space="preserve">, </w:t>
      </w:r>
      <w:r>
        <w:rPr>
          <w:rtl w:val="true"/>
        </w:rPr>
        <w:t>פעם ו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באמצעות חפץ חד</w:t>
      </w:r>
      <w:r>
        <w:rPr>
          <w:rtl w:val="true"/>
        </w:rPr>
        <w:t xml:space="preserve">, </w:t>
      </w:r>
      <w:r>
        <w:rPr>
          <w:rtl w:val="true"/>
        </w:rPr>
        <w:t>וגרם לו לשני פצעי דקירה</w:t>
      </w:r>
      <w:r>
        <w:rPr>
          <w:rtl w:val="true"/>
        </w:rPr>
        <w:t xml:space="preserve">. </w:t>
      </w:r>
      <w:r>
        <w:rPr>
          <w:rtl w:val="true"/>
        </w:rPr>
        <w:t>נואף גם הוא</w:t>
      </w:r>
      <w:r>
        <w:rPr>
          <w:rtl w:val="true"/>
        </w:rPr>
        <w:t xml:space="preserve">, </w:t>
      </w:r>
      <w:r>
        <w:rPr>
          <w:rtl w:val="true"/>
        </w:rPr>
        <w:t>בחר להשתתף באופן פעיל במעשה הנפשע</w:t>
      </w:r>
      <w:r>
        <w:rPr>
          <w:rtl w:val="true"/>
        </w:rPr>
        <w:t xml:space="preserve">, </w:t>
      </w:r>
      <w:r>
        <w:rPr>
          <w:rtl w:val="true"/>
        </w:rPr>
        <w:t>וחבט בגופו של אביה באמצעות מחסום משטרתי שעמד בסמוך</w:t>
      </w:r>
      <w:r>
        <w:rPr>
          <w:rtl w:val="true"/>
        </w:rPr>
        <w:t xml:space="preserve">;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תקף את אביה בבעיטות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כאשר אביה שרוע על הרצפה</w:t>
      </w:r>
      <w:r>
        <w:rPr>
          <w:rtl w:val="true"/>
        </w:rPr>
        <w:t xml:space="preserve">, </w:t>
      </w:r>
      <w:r>
        <w:rPr>
          <w:rtl w:val="true"/>
        </w:rPr>
        <w:t>מוקף ומותקף בידי המון משולהב</w:t>
      </w:r>
      <w:r>
        <w:rPr>
          <w:rtl w:val="true"/>
        </w:rPr>
        <w:t xml:space="preserve">. </w:t>
      </w:r>
      <w:r>
        <w:rPr>
          <w:rtl w:val="true"/>
        </w:rPr>
        <w:t>באותו זמן</w:t>
      </w:r>
      <w:r>
        <w:rPr>
          <w:rtl w:val="true"/>
        </w:rPr>
        <w:t xml:space="preserve">, </w:t>
      </w:r>
      <w:r>
        <w:rPr>
          <w:rtl w:val="true"/>
        </w:rPr>
        <w:t>נמלטה שחר מן המכונית</w:t>
      </w:r>
      <w:r>
        <w:rPr>
          <w:rtl w:val="true"/>
        </w:rPr>
        <w:t xml:space="preserve">, </w:t>
      </w:r>
      <w:r>
        <w:rPr>
          <w:rtl w:val="true"/>
        </w:rPr>
        <w:t>מצאה מסתור מאחורי מכונית אחרת</w:t>
      </w:r>
      <w:r>
        <w:rPr>
          <w:rtl w:val="true"/>
        </w:rPr>
        <w:t xml:space="preserve">, </w:t>
      </w:r>
      <w:r>
        <w:rPr>
          <w:rtl w:val="true"/>
        </w:rPr>
        <w:t>והתקשרה למשטרה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הצליח גם אביה להימלט מן ההמון</w:t>
      </w:r>
      <w:r>
        <w:rPr>
          <w:rtl w:val="true"/>
        </w:rPr>
        <w:t xml:space="preserve">, </w:t>
      </w:r>
      <w:r>
        <w:rPr>
          <w:rtl w:val="true"/>
        </w:rPr>
        <w:t>ולשוב אל מכוניתו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ברגעי כניסתו חזרה אל המכונית</w:t>
      </w:r>
      <w:r>
        <w:rPr>
          <w:rtl w:val="true"/>
        </w:rPr>
        <w:t xml:space="preserve">, </w:t>
      </w:r>
      <w:r>
        <w:rPr>
          <w:rtl w:val="true"/>
        </w:rPr>
        <w:t>הושלכה לעברו פחית מלאה משקה</w:t>
      </w:r>
      <w:r>
        <w:rPr>
          <w:rtl w:val="true"/>
        </w:rPr>
        <w:t xml:space="preserve">, </w:t>
      </w:r>
      <w:r>
        <w:rPr>
          <w:rtl w:val="true"/>
        </w:rPr>
        <w:t>אשר פגעה בראשו וגרמה לו לדימום</w:t>
      </w:r>
      <w:r>
        <w:rPr>
          <w:rtl w:val="true"/>
        </w:rPr>
        <w:t xml:space="preserve">. </w:t>
      </w:r>
      <w:r>
        <w:rPr>
          <w:rtl w:val="true"/>
        </w:rPr>
        <w:t>משנכנס למכונית</w:t>
      </w:r>
      <w:r>
        <w:rPr>
          <w:rtl w:val="true"/>
        </w:rPr>
        <w:t xml:space="preserve">, </w:t>
      </w:r>
      <w:r>
        <w:rPr>
          <w:rtl w:val="true"/>
        </w:rPr>
        <w:t>הצליח אביה להיחלץ מן המקום</w:t>
      </w:r>
      <w:r>
        <w:rPr>
          <w:rtl w:val="true"/>
        </w:rPr>
        <w:t xml:space="preserve">, </w:t>
      </w:r>
      <w:r>
        <w:rPr>
          <w:rtl w:val="true"/>
        </w:rPr>
        <w:t>הגיע לבית אורות</w:t>
      </w:r>
      <w:r>
        <w:rPr>
          <w:rtl w:val="true"/>
        </w:rPr>
        <w:t xml:space="preserve">, </w:t>
      </w:r>
      <w:r>
        <w:rPr>
          <w:rtl w:val="true"/>
        </w:rPr>
        <w:t>ובבואו לשם – הזעיק כוחות 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נואף ורמי – וכמותם גם פורעים נוספים – נמלטו כולם מזירת האירוע</w:t>
      </w:r>
      <w:r>
        <w:rPr>
          <w:rtl w:val="true"/>
        </w:rPr>
        <w:t xml:space="preserve">. </w:t>
      </w:r>
      <w:r>
        <w:rPr>
          <w:rtl w:val="true"/>
        </w:rPr>
        <w:t>כתוצאה מהאירועים המתוארים</w:t>
      </w:r>
      <w:r>
        <w:rPr>
          <w:rtl w:val="true"/>
        </w:rPr>
        <w:t xml:space="preserve">, </w:t>
      </w:r>
      <w:r>
        <w:rPr>
          <w:rtl w:val="true"/>
        </w:rPr>
        <w:t>נגרמו לאביה סימני חבלה מרובים</w:t>
      </w:r>
      <w:r>
        <w:rPr>
          <w:rtl w:val="true"/>
        </w:rPr>
        <w:t xml:space="preserve">, </w:t>
      </w:r>
      <w:r>
        <w:rPr>
          <w:rtl w:val="true"/>
        </w:rPr>
        <w:t>וכן שני פצעי דקירה בגבו</w:t>
      </w:r>
      <w:r>
        <w:rPr>
          <w:rtl w:val="true"/>
        </w:rPr>
        <w:t xml:space="preserve">. </w:t>
      </w:r>
      <w:r>
        <w:rPr>
          <w:rtl w:val="true"/>
        </w:rPr>
        <w:t xml:space="preserve">אביה אושפז בבית חולים למשך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שבמהלכם גם עבר ניתוח</w:t>
      </w:r>
      <w:r>
        <w:rPr>
          <w:rtl w:val="true"/>
        </w:rPr>
        <w:t xml:space="preserve">. </w:t>
      </w:r>
      <w:r>
        <w:rPr>
          <w:rtl w:val="true"/>
        </w:rPr>
        <w:t>עוד נגרמו לבני הזוג נזקים נפשיים חמורים</w:t>
      </w:r>
      <w:r>
        <w:rPr>
          <w:rtl w:val="true"/>
        </w:rPr>
        <w:t xml:space="preserve">, </w:t>
      </w:r>
      <w:r>
        <w:rPr>
          <w:rtl w:val="true"/>
        </w:rPr>
        <w:t>המתוארים בתסקיר נפגעי העבירה</w:t>
      </w:r>
      <w:r>
        <w:rPr>
          <w:rtl w:val="true"/>
        </w:rPr>
        <w:t xml:space="preserve">, </w:t>
      </w:r>
      <w:r>
        <w:rPr>
          <w:rtl w:val="true"/>
        </w:rPr>
        <w:t>וכן נגרמו נזקים קשים למכוניתם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האישום השני</w:t>
      </w:r>
      <w:r>
        <w:rPr>
          <w:rtl w:val="true"/>
        </w:rPr>
        <w:t xml:space="preserve">, </w:t>
      </w:r>
      <w:r>
        <w:rPr>
          <w:rtl w:val="true"/>
        </w:rPr>
        <w:t>באחד מן הימים הבאים</w:t>
      </w:r>
      <w:r>
        <w:rPr>
          <w:rtl w:val="true"/>
        </w:rPr>
        <w:t xml:space="preserve">: </w:t>
      </w:r>
      <w:r>
        <w:rPr/>
        <w:t>12.5.2021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13.5.2021</w:t>
      </w:r>
      <w:r>
        <w:rPr>
          <w:rtl w:val="true"/>
        </w:rPr>
        <w:t xml:space="preserve">, </w:t>
      </w:r>
      <w:r>
        <w:rPr>
          <w:rtl w:val="true"/>
        </w:rPr>
        <w:t>ימי עיד אל פיטר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שהה נואף בסמוך לבית החולים אלמקסאד בירושלים</w:t>
      </w:r>
      <w:r>
        <w:rPr>
          <w:rtl w:val="true"/>
        </w:rPr>
        <w:t xml:space="preserve">. </w:t>
      </w:r>
      <w:r>
        <w:rPr>
          <w:rtl w:val="true"/>
        </w:rPr>
        <w:t>לאחר שהבחין בעימותים שהתרחשו בין צעירים שנכחו במקום</w:t>
      </w:r>
      <w:r>
        <w:rPr>
          <w:rtl w:val="true"/>
        </w:rPr>
        <w:t xml:space="preserve">, </w:t>
      </w:r>
      <w:r>
        <w:rPr>
          <w:rtl w:val="true"/>
        </w:rPr>
        <w:t>לבין כוחות משטרה וביטחון</w:t>
      </w:r>
      <w:r>
        <w:rPr>
          <w:rtl w:val="true"/>
        </w:rPr>
        <w:t xml:space="preserve">, </w:t>
      </w:r>
      <w:r>
        <w:rPr>
          <w:rtl w:val="true"/>
        </w:rPr>
        <w:t>חבר נואף אל המתפרעים</w:t>
      </w:r>
      <w:r>
        <w:rPr>
          <w:rtl w:val="true"/>
        </w:rPr>
        <w:t xml:space="preserve">, </w:t>
      </w:r>
      <w:r>
        <w:rPr>
          <w:rtl w:val="true"/>
        </w:rPr>
        <w:t>וכדי שלא יזוהה – הסתיר את פניו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השליך נואף בקבוק תבערה לעבר הכוחות</w:t>
      </w:r>
      <w:r>
        <w:rPr>
          <w:rtl w:val="true"/>
        </w:rPr>
        <w:t xml:space="preserve">. </w:t>
      </w:r>
      <w:r>
        <w:rPr>
          <w:rtl w:val="true"/>
        </w:rPr>
        <w:t>במסגרת אותו אירוע</w:t>
      </w:r>
      <w:r>
        <w:rPr>
          <w:rtl w:val="true"/>
        </w:rPr>
        <w:t xml:space="preserve">, </w:t>
      </w:r>
      <w:r>
        <w:rPr>
          <w:rtl w:val="true"/>
        </w:rPr>
        <w:t>גם אחרים</w:t>
      </w:r>
      <w:r>
        <w:rPr>
          <w:rtl w:val="true"/>
        </w:rPr>
        <w:t xml:space="preserve">, </w:t>
      </w:r>
      <w:r>
        <w:rPr>
          <w:rtl w:val="true"/>
        </w:rPr>
        <w:t>שלא זוהו</w:t>
      </w:r>
      <w:r>
        <w:rPr>
          <w:rtl w:val="true"/>
        </w:rPr>
        <w:t xml:space="preserve">, </w:t>
      </w:r>
      <w:r>
        <w:rPr>
          <w:rtl w:val="true"/>
        </w:rPr>
        <w:t>השליכו בקבוקי תבערה</w:t>
      </w:r>
      <w:r>
        <w:rPr>
          <w:rtl w:val="true"/>
        </w:rPr>
        <w:t xml:space="preserve">, </w:t>
      </w:r>
      <w:r>
        <w:rPr>
          <w:rtl w:val="true"/>
        </w:rPr>
        <w:t>ירו זיקוקים ויידו אבנים</w:t>
      </w:r>
      <w:r>
        <w:rPr>
          <w:rtl w:val="true"/>
        </w:rPr>
        <w:t xml:space="preserve">, </w:t>
      </w:r>
      <w:r>
        <w:rPr>
          <w:rtl w:val="true"/>
        </w:rPr>
        <w:t>לעבר הכוחות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האישום השלישי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עובר ליום </w:t>
      </w:r>
      <w:r>
        <w:rPr/>
        <w:t>2.6.2021</w:t>
      </w:r>
      <w:r>
        <w:rPr>
          <w:rtl w:val="true"/>
        </w:rPr>
        <w:t xml:space="preserve">, </w:t>
      </w:r>
      <w:r>
        <w:rPr>
          <w:rtl w:val="true"/>
        </w:rPr>
        <w:t>בשעות הערב המוקדמות</w:t>
      </w:r>
      <w:r>
        <w:rPr>
          <w:rtl w:val="true"/>
        </w:rPr>
        <w:t xml:space="preserve">, </w:t>
      </w:r>
      <w:r>
        <w:rPr>
          <w:rtl w:val="true"/>
        </w:rPr>
        <w:t>היה נואף בדרכו לשכונת אלח</w:t>
      </w:r>
      <w:r>
        <w:rPr>
          <w:rtl w:val="true"/>
        </w:rPr>
        <w:t>'</w:t>
      </w:r>
      <w:r>
        <w:rPr>
          <w:rtl w:val="true"/>
        </w:rPr>
        <w:t>לווה</w:t>
      </w:r>
      <w:r>
        <w:rPr>
          <w:rtl w:val="true"/>
        </w:rPr>
        <w:t xml:space="preserve">. </w:t>
      </w:r>
      <w:r>
        <w:rPr>
          <w:rtl w:val="true"/>
        </w:rPr>
        <w:t>כאשר הגיע נואף סמוך ל</w:t>
      </w:r>
      <w:r>
        <w:rPr>
          <w:rtl w:val="true"/>
        </w:rPr>
        <w:t>'</w:t>
      </w:r>
      <w:r>
        <w:rPr>
          <w:rtl w:val="true"/>
        </w:rPr>
        <w:t>בית החושן</w:t>
      </w:r>
      <w:r>
        <w:rPr>
          <w:rtl w:val="true"/>
        </w:rPr>
        <w:t xml:space="preserve">', </w:t>
      </w:r>
      <w:r>
        <w:rPr>
          <w:rtl w:val="true"/>
        </w:rPr>
        <w:t>פגש באדם אחר</w:t>
      </w:r>
      <w:r>
        <w:rPr>
          <w:rtl w:val="true"/>
        </w:rPr>
        <w:t xml:space="preserve">, </w:t>
      </w:r>
      <w:r>
        <w:rPr>
          <w:rtl w:val="true"/>
        </w:rPr>
        <w:t>שלא זוהה</w:t>
      </w:r>
      <w:r>
        <w:rPr>
          <w:rtl w:val="true"/>
        </w:rPr>
        <w:t xml:space="preserve">, </w:t>
      </w:r>
      <w:r>
        <w:rPr>
          <w:rtl w:val="true"/>
        </w:rPr>
        <w:t>אשר הציע כי השניים יְיַדוּ בקבוקי תבערה לעבר המבנה</w:t>
      </w:r>
      <w:r>
        <w:rPr>
          <w:rtl w:val="true"/>
        </w:rPr>
        <w:t xml:space="preserve">; </w:t>
      </w:r>
      <w:r>
        <w:rPr>
          <w:rtl w:val="true"/>
        </w:rPr>
        <w:t>אמר ועשה</w:t>
      </w:r>
      <w:r>
        <w:rPr>
          <w:rtl w:val="true"/>
        </w:rPr>
        <w:t xml:space="preserve">. </w:t>
      </w:r>
      <w:r>
        <w:rPr>
          <w:rtl w:val="true"/>
        </w:rPr>
        <w:t>מיד בתום דבריו</w:t>
      </w:r>
      <w:r>
        <w:rPr>
          <w:rtl w:val="true"/>
        </w:rPr>
        <w:t xml:space="preserve">, </w:t>
      </w:r>
      <w:r>
        <w:rPr>
          <w:rtl w:val="true"/>
        </w:rPr>
        <w:t>השליך האדם הנוסף בקבוק תבערה לעבר המבנה</w:t>
      </w:r>
      <w:r>
        <w:rPr>
          <w:rtl w:val="true"/>
        </w:rPr>
        <w:t xml:space="preserve">, </w:t>
      </w:r>
      <w:r>
        <w:rPr>
          <w:rtl w:val="true"/>
        </w:rPr>
        <w:t>וזה פגע במנוע מזגן וגרם להצתתו</w:t>
      </w:r>
      <w:r>
        <w:rPr>
          <w:rtl w:val="true"/>
        </w:rPr>
        <w:t xml:space="preserve">. </w:t>
      </w:r>
      <w:r>
        <w:rPr>
          <w:rtl w:val="true"/>
        </w:rPr>
        <w:t>אותו אדם הוסיף ויִדה גם אבנים לעבר המבנה</w:t>
      </w:r>
      <w:r>
        <w:rPr>
          <w:rtl w:val="true"/>
        </w:rPr>
        <w:t xml:space="preserve">. </w:t>
      </w:r>
      <w:r>
        <w:rPr>
          <w:rtl w:val="true"/>
        </w:rPr>
        <w:t>נואף הצטרף למעשים אלה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היהודים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האישום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הרמדאן בשנת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במועד שלא ידוע במדויק למדינה</w:t>
      </w:r>
      <w:r>
        <w:rPr>
          <w:rtl w:val="true"/>
        </w:rPr>
        <w:t xml:space="preserve">, </w:t>
      </w:r>
      <w:r>
        <w:rPr>
          <w:rtl w:val="true"/>
        </w:rPr>
        <w:t xml:space="preserve">בטווח השעות שבין </w:t>
      </w:r>
      <w:r>
        <w:rPr/>
        <w:t>22:00-21:00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נכחו נואף ורמי יחדיו בכפר 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, </w:t>
      </w:r>
      <w:r>
        <w:rPr>
          <w:rtl w:val="true"/>
        </w:rPr>
        <w:t>ונפגשו עם אחרים</w:t>
      </w:r>
      <w:r>
        <w:rPr>
          <w:rtl w:val="true"/>
        </w:rPr>
        <w:t xml:space="preserve">, </w:t>
      </w:r>
      <w:r>
        <w:rPr>
          <w:rtl w:val="true"/>
        </w:rPr>
        <w:t>שלא זוהו</w:t>
      </w:r>
      <w:r>
        <w:rPr>
          <w:rtl w:val="true"/>
        </w:rPr>
        <w:t xml:space="preserve">. </w:t>
      </w:r>
      <w:r>
        <w:rPr>
          <w:rtl w:val="true"/>
        </w:rPr>
        <w:t>הנוכחים שוחחו על כך שכוחות משטרה עתידים להיכנס למקום</w:t>
      </w:r>
      <w:r>
        <w:rPr>
          <w:rtl w:val="true"/>
        </w:rPr>
        <w:t xml:space="preserve">, </w:t>
      </w:r>
      <w:r>
        <w:rPr>
          <w:rtl w:val="true"/>
        </w:rPr>
        <w:t>וכי צפויים עימותים עם הכוחות</w:t>
      </w:r>
      <w:r>
        <w:rPr>
          <w:rtl w:val="true"/>
        </w:rPr>
        <w:t xml:space="preserve">.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הביעו נואף ורמי נכונות ליטול חלק בעימותים אלה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הגיע למקום אדם נוסף</w:t>
      </w:r>
      <w:r>
        <w:rPr>
          <w:rtl w:val="true"/>
        </w:rPr>
        <w:t xml:space="preserve">, </w:t>
      </w:r>
      <w:r>
        <w:rPr>
          <w:rtl w:val="true"/>
        </w:rPr>
        <w:t>וחילק לנוכחים זיקוקים ובקבוקי תבערה</w:t>
      </w:r>
      <w:r>
        <w:rPr>
          <w:rtl w:val="true"/>
        </w:rPr>
        <w:t xml:space="preserve">, </w:t>
      </w:r>
      <w:r>
        <w:rPr>
          <w:rtl w:val="true"/>
        </w:rPr>
        <w:t>מתוך שקית שאחז בידו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מה לאחר מכן</w:t>
      </w:r>
      <w:r>
        <w:rPr>
          <w:rtl w:val="true"/>
        </w:rPr>
        <w:t xml:space="preserve">, </w:t>
      </w:r>
      <w:r>
        <w:rPr>
          <w:rtl w:val="true"/>
        </w:rPr>
        <w:t>נכנסו הכוחות למקום</w:t>
      </w:r>
      <w:r>
        <w:rPr>
          <w:rtl w:val="true"/>
        </w:rPr>
        <w:t xml:space="preserve">, </w:t>
      </w:r>
      <w:r>
        <w:rPr>
          <w:rtl w:val="true"/>
        </w:rPr>
        <w:t>והעימותים אכן החלו</w:t>
      </w:r>
      <w:r>
        <w:rPr>
          <w:rtl w:val="true"/>
        </w:rPr>
        <w:t xml:space="preserve">. </w:t>
      </w:r>
      <w:r>
        <w:rPr>
          <w:rtl w:val="true"/>
        </w:rPr>
        <w:t>הפורעים תקפו את הכוחות באמצעות השלכת בקבוקי תבערה</w:t>
      </w:r>
      <w:r>
        <w:rPr>
          <w:rtl w:val="true"/>
        </w:rPr>
        <w:t xml:space="preserve">, </w:t>
      </w:r>
      <w:r>
        <w:rPr>
          <w:rtl w:val="true"/>
        </w:rPr>
        <w:t>אבנים ובקבוקי צבע</w:t>
      </w:r>
      <w:r>
        <w:rPr>
          <w:rtl w:val="true"/>
        </w:rPr>
        <w:t xml:space="preserve">, </w:t>
      </w:r>
      <w:r>
        <w:rPr>
          <w:rtl w:val="true"/>
        </w:rPr>
        <w:t>וכן ירי זיקוקים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השליך נואף בקבוק תבערה לעבר הכוחות</w:t>
      </w:r>
      <w:r>
        <w:rPr>
          <w:rtl w:val="true"/>
        </w:rPr>
        <w:t xml:space="preserve">, </w:t>
      </w:r>
      <w:r>
        <w:rPr>
          <w:rtl w:val="true"/>
        </w:rPr>
        <w:t>ממרחק של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כאשר הוא רעול פנים</w:t>
      </w:r>
      <w:r>
        <w:rPr>
          <w:rtl w:val="true"/>
        </w:rPr>
        <w:t xml:space="preserve">; </w:t>
      </w:r>
      <w:r>
        <w:rPr>
          <w:rtl w:val="true"/>
        </w:rPr>
        <w:t>רמי גם הוא לא טמן ידו בצלחת</w:t>
      </w:r>
      <w:r>
        <w:rPr>
          <w:rtl w:val="true"/>
        </w:rPr>
        <w:t xml:space="preserve">, </w:t>
      </w:r>
      <w:r>
        <w:rPr>
          <w:rtl w:val="true"/>
        </w:rPr>
        <w:t>ויִדה אבנים לעבר הכוחות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האישום החמישי</w:t>
      </w:r>
      <w:r>
        <w:rPr>
          <w:rtl w:val="true"/>
        </w:rPr>
        <w:t xml:space="preserve">, </w:t>
      </w:r>
      <w:r>
        <w:rPr>
          <w:rtl w:val="true"/>
        </w:rPr>
        <w:t>כשבוע לאחר עיד אל פיטר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 למדינה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21:00-20:00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הבחין נואף בצעירים המתקינים עצמם לעימותים עם כוחות הביטחון</w:t>
      </w:r>
      <w:r>
        <w:rPr>
          <w:rtl w:val="true"/>
        </w:rPr>
        <w:t xml:space="preserve">. </w:t>
      </w:r>
      <w:r>
        <w:rPr>
          <w:rtl w:val="true"/>
        </w:rPr>
        <w:t>נואף בחר לחבור לאותם צעירים</w:t>
      </w:r>
      <w:r>
        <w:rPr>
          <w:rtl w:val="true"/>
        </w:rPr>
        <w:t xml:space="preserve">, </w:t>
      </w:r>
      <w:r>
        <w:rPr>
          <w:rtl w:val="true"/>
        </w:rPr>
        <w:t>ואף צירף עמו אדם נוסף</w:t>
      </w:r>
      <w:r>
        <w:rPr>
          <w:rtl w:val="true"/>
        </w:rPr>
        <w:t xml:space="preserve">. </w:t>
      </w:r>
      <w:r>
        <w:rPr>
          <w:rtl w:val="true"/>
        </w:rPr>
        <w:t>החבורה כולה</w:t>
      </w:r>
      <w:r>
        <w:rPr>
          <w:rtl w:val="true"/>
        </w:rPr>
        <w:t xml:space="preserve">, </w:t>
      </w:r>
      <w:r>
        <w:rPr>
          <w:rtl w:val="true"/>
        </w:rPr>
        <w:t>עלתה לגג מסגד הממוקם בסמוך למלון הר הזיתים בירושלים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עבר ג</w:t>
      </w:r>
      <w:r>
        <w:rPr>
          <w:rtl w:val="true"/>
        </w:rPr>
        <w:t>'</w:t>
      </w:r>
      <w:r>
        <w:rPr>
          <w:rtl w:val="true"/>
        </w:rPr>
        <w:t>יפ של כוחות הביטחון</w:t>
      </w:r>
      <w:r>
        <w:rPr>
          <w:rtl w:val="true"/>
        </w:rPr>
        <w:t xml:space="preserve">, </w:t>
      </w:r>
      <w:r>
        <w:rPr>
          <w:rtl w:val="true"/>
        </w:rPr>
        <w:t>בכביש שעליו חולש הגג שבו התמקמה החבורה</w:t>
      </w:r>
      <w:r>
        <w:rPr>
          <w:rtl w:val="true"/>
        </w:rPr>
        <w:t xml:space="preserve">. </w:t>
      </w:r>
      <w:r>
        <w:rPr>
          <w:rtl w:val="true"/>
        </w:rPr>
        <w:t>בראותם זאת</w:t>
      </w:r>
      <w:r>
        <w:rPr>
          <w:rtl w:val="true"/>
        </w:rPr>
        <w:t xml:space="preserve">, </w:t>
      </w:r>
      <w:r>
        <w:rPr>
          <w:rtl w:val="true"/>
        </w:rPr>
        <w:t>יִדה אחד מבני החבורה בקבוק תבערה לעבר הגי</w:t>
      </w:r>
      <w:r>
        <w:rPr>
          <w:rtl w:val="true"/>
        </w:rPr>
        <w:t>'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כתוצאה מכך – עלה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 xml:space="preserve">יפ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החיילים יצאו מן 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במטרה לכבות את הדל</w:t>
      </w:r>
      <w:r>
        <w:rPr>
          <w:rtl w:val="true"/>
        </w:rPr>
        <w:t>ֵי</w:t>
      </w:r>
      <w:r>
        <w:rPr>
          <w:rtl w:val="true"/>
        </w:rPr>
        <w:t>קה</w:t>
      </w:r>
      <w:r>
        <w:rPr>
          <w:rtl w:val="true"/>
        </w:rPr>
        <w:t xml:space="preserve">, </w:t>
      </w:r>
      <w:r>
        <w:rPr>
          <w:rtl w:val="true"/>
        </w:rPr>
        <w:t>אולם אז החלה החבורה – בתוכה נואף – לירות זיקוקים לעבר החיילים</w:t>
      </w:r>
      <w:r>
        <w:rPr>
          <w:rtl w:val="true"/>
        </w:rPr>
        <w:t xml:space="preserve">, </w:t>
      </w:r>
      <w:r>
        <w:rPr>
          <w:rtl w:val="true"/>
        </w:rPr>
        <w:t>ובכך מנעו את הכיבוי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שיורחב בהמשך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</w:t>
      </w:r>
      <w:r>
        <w:rPr>
          <w:rtl w:val="true"/>
        </w:rPr>
        <w:t xml:space="preserve">, </w:t>
      </w:r>
      <w:r>
        <w:rPr>
          <w:rtl w:val="true"/>
        </w:rPr>
        <w:t>רבים מן המעשים המתוארים בוצעו מתוך מניע גזעני ולאומני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במטרה לזרוע פחד או בהלה בציבור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והיה בהם משום סיכון ממשי לפגיעה חמורה בגופו של אדם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בגין מעשים אלה</w:t>
      </w:r>
      <w:r>
        <w:rPr>
          <w:rtl w:val="true"/>
        </w:rPr>
        <w:t xml:space="preserve">, </w:t>
      </w:r>
      <w:r>
        <w:rPr>
          <w:rtl w:val="true"/>
        </w:rPr>
        <w:t xml:space="preserve">הואשם נואף בביצוע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מעשה טרור של חבלה בכוונה מחמירה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 של התפרעות</w:t>
      </w:r>
      <w:r>
        <w:rPr>
          <w:rtl w:val="true"/>
        </w:rPr>
        <w:t xml:space="preserve">; </w:t>
      </w:r>
      <w:r>
        <w:rPr>
          <w:rtl w:val="true"/>
        </w:rPr>
        <w:t>עבירה של חבלה במזיד ברכב ממניע גזעני</w:t>
      </w:r>
      <w:r>
        <w:rPr>
          <w:rtl w:val="true"/>
        </w:rPr>
        <w:t xml:space="preserve">; </w:t>
      </w:r>
      <w:r>
        <w:rPr>
          <w:rtl w:val="true"/>
        </w:rPr>
        <w:t>עבירה של ניסיון הצתה</w:t>
      </w:r>
      <w:r>
        <w:rPr>
          <w:rtl w:val="true"/>
        </w:rPr>
        <w:t xml:space="preserve">; </w:t>
      </w:r>
      <w:r>
        <w:rPr>
          <w:rtl w:val="true"/>
        </w:rPr>
        <w:t>עבירה של הפרעה לשוטר בנסיבות מחמירות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מעשה טרור של ניסיון הצתה</w:t>
      </w:r>
      <w:r>
        <w:rPr>
          <w:rtl w:val="true"/>
        </w:rPr>
        <w:t xml:space="preserve">; </w:t>
      </w:r>
      <w:r>
        <w:rPr>
          <w:rtl w:val="true"/>
        </w:rPr>
        <w:t>עבירה של ניסיון תקיפת שוטר בנסיבות מחמירות</w:t>
      </w:r>
      <w:r>
        <w:rPr>
          <w:rtl w:val="true"/>
        </w:rPr>
        <w:t xml:space="preserve">; </w:t>
      </w:r>
      <w:r>
        <w:rPr>
          <w:rtl w:val="true"/>
        </w:rPr>
        <w:t>עבירה של מעשי פזיזות ורשלנות</w:t>
      </w:r>
      <w:r>
        <w:rPr>
          <w:rtl w:val="true"/>
        </w:rPr>
        <w:t xml:space="preserve">; </w:t>
      </w:r>
      <w:r>
        <w:rPr>
          <w:rtl w:val="true"/>
        </w:rPr>
        <w:t>ועבירה של מעשה טרור של הצתה</w:t>
      </w:r>
      <w:r>
        <w:rPr>
          <w:rtl w:val="true"/>
        </w:rPr>
        <w:t xml:space="preserve">. </w:t>
      </w:r>
      <w:r>
        <w:rPr>
          <w:rtl w:val="true"/>
        </w:rPr>
        <w:t>רמי מצדו</w:t>
      </w:r>
      <w:r>
        <w:rPr>
          <w:rtl w:val="true"/>
        </w:rPr>
        <w:t xml:space="preserve">, </w:t>
      </w:r>
      <w:r>
        <w:rPr>
          <w:rtl w:val="true"/>
        </w:rPr>
        <w:t>הואשם בביצוע עבירה של מעשה טרור של חבלה בכוונה מחמירה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התפרעות</w:t>
      </w:r>
      <w:r>
        <w:rPr>
          <w:rtl w:val="true"/>
        </w:rPr>
        <w:t xml:space="preserve">; </w:t>
      </w:r>
      <w:r>
        <w:rPr>
          <w:rtl w:val="true"/>
        </w:rPr>
        <w:t>עבירה של חבלה במזיד ברכב ממניע גזעני</w:t>
      </w:r>
      <w:r>
        <w:rPr>
          <w:rtl w:val="true"/>
        </w:rPr>
        <w:t xml:space="preserve">; </w:t>
      </w:r>
      <w:r>
        <w:rPr>
          <w:rtl w:val="true"/>
        </w:rPr>
        <w:t>עבירה של מעשה טרור של ניסיון הצתה</w:t>
      </w:r>
      <w:r>
        <w:rPr>
          <w:rtl w:val="true"/>
        </w:rPr>
        <w:t xml:space="preserve">; </w:t>
      </w:r>
      <w:r>
        <w:rPr>
          <w:rtl w:val="true"/>
        </w:rPr>
        <w:t>ועבירה של ניסיון תקיפת שוטר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2.3.2022</w:t>
      </w:r>
      <w:r>
        <w:rPr>
          <w:rtl w:val="true"/>
        </w:rPr>
        <w:t xml:space="preserve"> </w:t>
      </w:r>
      <w:r>
        <w:rPr>
          <w:rtl w:val="true"/>
        </w:rPr>
        <w:t>הורשעו השניים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הודאתם – במסגרת הסדר טיעון שלא כלל הסכמה לעניין העונש – בעבירות שיוחסו להם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20.7.2022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דינם של נואף ושל רמי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נסיבות ביצוע מעשי העבירה</w:t>
      </w:r>
      <w:r>
        <w:rPr>
          <w:rtl w:val="true"/>
        </w:rPr>
        <w:t xml:space="preserve">, </w:t>
      </w:r>
      <w:r>
        <w:rPr>
          <w:rtl w:val="true"/>
        </w:rPr>
        <w:t>בתקופה שבה התחוללו התפרעויות אלימות</w:t>
      </w:r>
      <w:r>
        <w:rPr>
          <w:rtl w:val="true"/>
        </w:rPr>
        <w:t xml:space="preserve">, </w:t>
      </w:r>
      <w:r>
        <w:rPr>
          <w:rtl w:val="true"/>
        </w:rPr>
        <w:t>בעת מתיחות ביטחונית קשה</w:t>
      </w:r>
      <w:r>
        <w:rPr>
          <w:rtl w:val="true"/>
        </w:rPr>
        <w:t xml:space="preserve">, </w:t>
      </w:r>
      <w:r>
        <w:rPr>
          <w:rtl w:val="true"/>
        </w:rPr>
        <w:t>מבית ומחוץ</w:t>
      </w:r>
      <w:r>
        <w:rPr>
          <w:rtl w:val="true"/>
        </w:rPr>
        <w:t xml:space="preserve">. </w:t>
      </w:r>
      <w:r>
        <w:rPr>
          <w:rtl w:val="true"/>
        </w:rPr>
        <w:t>בהתייחס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בזכותה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ובחובתה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ברחובותיה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משותפים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ואמונותיו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הבחין בית המשפט המחוזי בין האישום הראשון</w:t>
      </w:r>
      <w:r>
        <w:rPr>
          <w:rtl w:val="true"/>
        </w:rPr>
        <w:t xml:space="preserve">, </w:t>
      </w:r>
      <w:r>
        <w:rPr>
          <w:rtl w:val="true"/>
        </w:rPr>
        <w:t>העוסק באירוע הלינץ</w:t>
      </w:r>
      <w:r>
        <w:rPr>
          <w:rtl w:val="true"/>
        </w:rPr>
        <w:t xml:space="preserve">', </w:t>
      </w:r>
      <w:r>
        <w:rPr>
          <w:rtl w:val="true"/>
        </w:rPr>
        <w:t>שלגביו נקבע מתחם נפרד</w:t>
      </w:r>
      <w:r>
        <w:rPr>
          <w:rtl w:val="true"/>
        </w:rPr>
        <w:t xml:space="preserve">, </w:t>
      </w:r>
      <w:r>
        <w:rPr>
          <w:rtl w:val="true"/>
        </w:rPr>
        <w:t>לבין יתר האישומים</w:t>
      </w:r>
      <w:r>
        <w:rPr>
          <w:rtl w:val="true"/>
        </w:rPr>
        <w:t xml:space="preserve">, </w:t>
      </w:r>
      <w:r>
        <w:rPr>
          <w:rtl w:val="true"/>
        </w:rPr>
        <w:t>שלגביהם נקבע מתחם דומה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ספציפיים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עוסקים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התפרעות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ובקבוקים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וכוונו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ספציפי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בהתייחס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ובהתבסס על פסקי דין שעסקו במקרים קרובים </w:t>
      </w:r>
      <w:r>
        <w:rPr>
          <w:rtl w:val="true"/>
        </w:rPr>
        <w:t>(</w:t>
      </w:r>
      <w:r>
        <w:rPr>
          <w:rtl w:val="true"/>
        </w:rPr>
        <w:t>תוך שנמצא כי ברובם המוחלט נדונו מקרים שנסיבותיהם חמורות פחות מנסיבות 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), </w:t>
      </w:r>
      <w:r>
        <w:rPr>
          <w:rtl w:val="true"/>
        </w:rPr>
        <w:t xml:space="preserve">נקבע מתחם ענישה בטווח שבין </w:t>
      </w:r>
      <w:r>
        <w:rPr/>
        <w:t>8-4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ענישה נלווית הכוללת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גם ביחס לאישומים הנותרים</w:t>
      </w:r>
      <w:r>
        <w:rPr>
          <w:rtl w:val="true"/>
        </w:rPr>
        <w:t xml:space="preserve">, </w:t>
      </w:r>
      <w:r>
        <w:rPr>
          <w:rtl w:val="true"/>
        </w:rPr>
        <w:t>סקר בית המשפט המחוזי את הפסיקה הרלבנטית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 xml:space="preserve">פיה ראה לנכון לקבוע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10-25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מהאישומים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לחפיפה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מסויימת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 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בשלב הבא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עבר בית המשפט המחוזי לקביעת מתחם ענישה פרטני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ביחס לכל אחד מן הנאשמים שעניינם נדון לפניו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באשר לנואף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פתח בית המשפט המחוזי בכך שהלה הורשע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שקל 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את היותו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בריבוי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את הודאתו והכרתו באחריותו למעשים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שיקולים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Arial" w:hAnsi="Arial" w:eastAsia="Arial" w:cs="Arial"/>
          <w:spacing w:val="0"/>
          <w:sz w:val="26"/>
          <w:sz w:val="26"/>
          <w:szCs w:val="26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גזר על נואף בית המשפט המחוזי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וכן פיצוי </w:t>
      </w:r>
      <w:r>
        <w:rPr>
          <w:rFonts w:ascii="Century" w:hAnsi="Century" w:cs="Century"/>
          <w:sz w:val="22"/>
          <w:sz w:val="22"/>
          <w:rtl w:val="true"/>
        </w:rPr>
        <w:t xml:space="preserve">כספי </w:t>
      </w:r>
      <w:r>
        <w:rPr>
          <w:rFonts w:ascii="Century" w:hAnsi="Century" w:cs="Century"/>
          <w:sz w:val="22"/>
          <w:sz w:val="22"/>
          <w:rtl w:val="true"/>
        </w:rPr>
        <w:t xml:space="preserve">לבני הזוג בסך </w:t>
      </w:r>
      <w:r>
        <w:rPr>
          <w:rFonts w:cs="Century" w:ascii="Century" w:hAnsi="Century"/>
          <w:sz w:val="22"/>
        </w:rPr>
        <w:t>20,000</w:t>
      </w:r>
      <w:r>
        <w:rPr>
          <w:rFonts w:cs="Century" w:ascii="Century" w:hAnsi="Century"/>
          <w:sz w:val="22"/>
          <w:rtl w:val="true"/>
        </w:rPr>
        <w:t xml:space="preserve"> ₪.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בהתייחס לרמי – פתח בית המשפט המחוזי באמירה כי רמי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בקביעתו זו נפלה שגגה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רמי לא הואשם – ובהתאם גם לא הורשע – באישום החמישי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שיפורט להלן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יִ</w:t>
      </w:r>
      <w:r>
        <w:rPr>
          <w:rFonts w:ascii="Century" w:hAnsi="Century" w:cs="Century"/>
          <w:sz w:val="22"/>
          <w:sz w:val="22"/>
          <w:rtl w:val="true"/>
        </w:rPr>
        <w:t xml:space="preserve">חֵס בית המשפט המחוזי משקל להיותו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הובא בחשבון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לזכותו של רמי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תיאור תסקיר שירות המבחן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שלפיו רמי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לימודיו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בפרנסת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נוכח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קבע בית המשפט המחוזי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מיקומו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וגזר עליו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הוא חוייב ב</w:t>
      </w:r>
      <w:r>
        <w:rPr>
          <w:rFonts w:ascii="Century" w:hAnsi="Century" w:cs="Century"/>
          <w:sz w:val="22"/>
          <w:sz w:val="22"/>
          <w:rtl w:val="true"/>
        </w:rPr>
        <w:t xml:space="preserve">תשלום פיצוי כספי לבני הזוג בסך </w:t>
      </w:r>
      <w:r>
        <w:rPr>
          <w:rFonts w:cs="Century" w:ascii="Century" w:hAnsi="Century"/>
          <w:sz w:val="22"/>
        </w:rPr>
        <w:t>20,000</w:t>
      </w:r>
      <w:r>
        <w:rPr>
          <w:rFonts w:cs="Century" w:ascii="Century" w:hAnsi="Century"/>
          <w:sz w:val="22"/>
          <w:rtl w:val="true"/>
        </w:rPr>
        <w:t xml:space="preserve"> ₪.   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רמי טוען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 נפלה שגגה בגזר הדין</w:t>
      </w:r>
      <w:r>
        <w:rPr>
          <w:rtl w:val="true"/>
        </w:rPr>
        <w:t xml:space="preserve">, </w:t>
      </w:r>
      <w:r>
        <w:rPr>
          <w:rtl w:val="true"/>
        </w:rPr>
        <w:t>משצוין בו כי הורשע גם באישום החמישי</w:t>
      </w:r>
      <w:r>
        <w:rPr>
          <w:rtl w:val="true"/>
        </w:rPr>
        <w:t xml:space="preserve">, </w:t>
      </w:r>
      <w:r>
        <w:rPr>
          <w:rtl w:val="true"/>
        </w:rPr>
        <w:t>בעוד שאישום זה מתייחס לאירועים שבהם לא נטל חלק</w:t>
      </w:r>
      <w:r>
        <w:rPr>
          <w:rtl w:val="true"/>
        </w:rPr>
        <w:t xml:space="preserve">, </w:t>
      </w:r>
      <w:r>
        <w:rPr>
          <w:rtl w:val="true"/>
        </w:rPr>
        <w:t xml:space="preserve">ושכלל לא הואשם בהשתתפות בהם </w:t>
      </w:r>
      <w:r>
        <w:rPr>
          <w:rtl w:val="true"/>
        </w:rPr>
        <w:t>(</w:t>
      </w:r>
      <w:r>
        <w:rPr>
          <w:rtl w:val="true"/>
        </w:rPr>
        <w:t>דבריו אלה</w:t>
      </w:r>
      <w:r>
        <w:rPr>
          <w:rtl w:val="true"/>
        </w:rPr>
        <w:t xml:space="preserve">, </w:t>
      </w:r>
      <w:r>
        <w:rPr>
          <w:rtl w:val="true"/>
        </w:rPr>
        <w:t>אציין כבר עתה</w:t>
      </w:r>
      <w:r>
        <w:rPr>
          <w:rtl w:val="true"/>
        </w:rPr>
        <w:t xml:space="preserve">, </w:t>
      </w:r>
      <w:r>
        <w:rPr>
          <w:rtl w:val="true"/>
        </w:rPr>
        <w:t>מקובלים על המדינה</w:t>
      </w:r>
      <w:r>
        <w:rPr>
          <w:rtl w:val="true"/>
        </w:rPr>
        <w:t xml:space="preserve">). </w:t>
      </w:r>
      <w:r>
        <w:rPr>
          <w:rtl w:val="true"/>
        </w:rPr>
        <w:t>עוד טוען רמי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4-8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ויתרה מכך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נואף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 סבור רמי</w:t>
      </w:r>
      <w:r>
        <w:rPr>
          <w:rtl w:val="true"/>
        </w:rPr>
        <w:t xml:space="preserve">, </w:t>
      </w:r>
      <w:r>
        <w:rPr>
          <w:rtl w:val="true"/>
        </w:rPr>
        <w:t>כי אף באישומים שבהם נזכר שמו</w:t>
      </w:r>
      <w:r>
        <w:rPr>
          <w:rtl w:val="true"/>
        </w:rPr>
        <w:t xml:space="preserve">, </w:t>
      </w:r>
      <w:r>
        <w:rPr>
          <w:rtl w:val="true"/>
        </w:rPr>
        <w:t>חלקו בביצוע העבירות קטן באופן יחסי</w:t>
      </w:r>
      <w:r>
        <w:rPr>
          <w:rtl w:val="true"/>
        </w:rPr>
        <w:t xml:space="preserve">;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שהוגשה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; </w:t>
      </w:r>
      <w:r>
        <w:rPr>
          <w:rtl w:val="true"/>
        </w:rPr>
        <w:t xml:space="preserve">וכן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ומהודאתו המיידית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טענותיו של נואף דומות</w:t>
      </w:r>
      <w:r>
        <w:rPr>
          <w:rtl w:val="true"/>
        </w:rPr>
        <w:t xml:space="preserve">, </w:t>
      </w:r>
      <w:r>
        <w:rPr>
          <w:rtl w:val="true"/>
        </w:rPr>
        <w:t>בעיקרן</w:t>
      </w:r>
      <w:r>
        <w:rPr>
          <w:rtl w:val="true"/>
        </w:rPr>
        <w:t xml:space="preserve">, </w:t>
      </w:r>
      <w:r>
        <w:rPr>
          <w:rtl w:val="true"/>
        </w:rPr>
        <w:t xml:space="preserve">לטענותיו של רמי </w:t>
      </w:r>
      <w:r>
        <w:rPr>
          <w:rtl w:val="true"/>
        </w:rPr>
        <w:t>(</w:t>
      </w:r>
      <w:r>
        <w:rPr>
          <w:rtl w:val="true"/>
        </w:rPr>
        <w:t>מלבד כמובן טענתו של רמי</w:t>
      </w:r>
      <w:r>
        <w:rPr>
          <w:rtl w:val="true"/>
        </w:rPr>
        <w:t xml:space="preserve">, </w:t>
      </w:r>
      <w:r>
        <w:rPr>
          <w:rtl w:val="true"/>
        </w:rPr>
        <w:t>כי יוחס לו בגזר הדין האישום החמישי</w:t>
      </w:r>
      <w:r>
        <w:rPr>
          <w:rtl w:val="true"/>
        </w:rPr>
        <w:t xml:space="preserve">, </w:t>
      </w:r>
      <w:r>
        <w:rPr>
          <w:rtl w:val="true"/>
        </w:rPr>
        <w:t>אף שזה לא נגע אליו</w:t>
      </w:r>
      <w:r>
        <w:rPr>
          <w:rtl w:val="true"/>
        </w:rPr>
        <w:t xml:space="preserve">). </w:t>
      </w:r>
      <w:r>
        <w:rPr>
          <w:rtl w:val="true"/>
        </w:rPr>
        <w:t>גם לשיטתו</w:t>
      </w:r>
      <w:r>
        <w:rPr>
          <w:rtl w:val="true"/>
        </w:rPr>
        <w:t xml:space="preserve">, </w:t>
      </w:r>
      <w:r>
        <w:rPr>
          <w:rtl w:val="true"/>
        </w:rPr>
        <w:t>מתחם הענישה שנקבע לגבי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מהווה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מרמת הענישה המקובלת</w:t>
      </w:r>
      <w:r>
        <w:rPr>
          <w:rtl w:val="true"/>
        </w:rPr>
        <w:t xml:space="preserve">, </w:t>
      </w:r>
      <w:r>
        <w:rPr>
          <w:rtl w:val="true"/>
        </w:rPr>
        <w:t>כעולה ממקרים דומים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נואף סבור כי בניגוד לקביעות בית המשפט המחוזי</w:t>
      </w:r>
      <w:r>
        <w:rPr>
          <w:rtl w:val="true"/>
        </w:rPr>
        <w:t xml:space="preserve">, </w:t>
      </w:r>
      <w:r>
        <w:rPr>
          <w:rtl w:val="true"/>
        </w:rPr>
        <w:t>חלקו בכמה מן האישומים קטן</w:t>
      </w:r>
      <w:r>
        <w:rPr>
          <w:rtl w:val="true"/>
        </w:rPr>
        <w:t xml:space="preserve">, </w:t>
      </w:r>
      <w:r>
        <w:rPr>
          <w:rtl w:val="true"/>
        </w:rPr>
        <w:t>באופן יחסי</w:t>
      </w:r>
      <w:r>
        <w:rPr>
          <w:rtl w:val="true"/>
        </w:rPr>
        <w:t xml:space="preserve">, </w:t>
      </w:r>
      <w:r>
        <w:rPr>
          <w:rtl w:val="true"/>
        </w:rPr>
        <w:t>שכן היוזמה והתכנון של אותם אירועים</w:t>
      </w:r>
      <w:r>
        <w:rPr>
          <w:rtl w:val="true"/>
        </w:rPr>
        <w:t xml:space="preserve">, </w:t>
      </w:r>
      <w:r>
        <w:rPr>
          <w:rtl w:val="true"/>
        </w:rPr>
        <w:t>לא נעשו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ואף המעשים המיוחסים לו בהם</w:t>
      </w:r>
      <w:r>
        <w:rPr>
          <w:rtl w:val="true"/>
        </w:rPr>
        <w:t xml:space="preserve">, </w:t>
      </w:r>
      <w:r>
        <w:rPr>
          <w:rtl w:val="true"/>
        </w:rPr>
        <w:t>פחותים בחומרתם ממעשי יתר המשתתפים</w:t>
      </w:r>
      <w:r>
        <w:rPr>
          <w:rtl w:val="true"/>
        </w:rPr>
        <w:t xml:space="preserve">. </w:t>
      </w:r>
      <w:r>
        <w:rPr>
          <w:rtl w:val="true"/>
        </w:rPr>
        <w:t>עוד טוען נואף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לא </w:t>
      </w:r>
      <w:r>
        <w:rPr>
          <w:rtl w:val="true"/>
        </w:rPr>
        <w:t>יִחס</w:t>
      </w:r>
      <w:r>
        <w:rPr>
          <w:rtl w:val="true"/>
        </w:rPr>
        <w:t xml:space="preserve"> משקל מספיק לטיעונים שהועלו על</w:t>
      </w:r>
      <w:r>
        <w:rPr>
          <w:rtl w:val="true"/>
        </w:rPr>
        <w:t>-</w:t>
      </w:r>
      <w:r>
        <w:rPr>
          <w:rtl w:val="true"/>
        </w:rPr>
        <w:t>ידו במסגרת ישיבת הטיעונים לעונש</w:t>
      </w:r>
      <w:r>
        <w:rPr>
          <w:rtl w:val="true"/>
        </w:rPr>
        <w:t xml:space="preserve">, </w:t>
      </w:r>
      <w:r>
        <w:rPr>
          <w:rtl w:val="true"/>
        </w:rPr>
        <w:t>ובפרט לא ניתן ביטוי לעדות אמו</w:t>
      </w:r>
      <w:r>
        <w:rPr>
          <w:rtl w:val="true"/>
        </w:rPr>
        <w:t xml:space="preserve">, </w:t>
      </w:r>
      <w:r>
        <w:rPr>
          <w:rtl w:val="true"/>
        </w:rPr>
        <w:t>לגילו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ולהודאתו במעשיו כבר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בהזדמנות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טוענת</w:t>
      </w:r>
      <w:r>
        <w:rPr>
          <w:rtl w:val="true"/>
        </w:rPr>
        <w:t xml:space="preserve">, </w:t>
      </w:r>
      <w:r>
        <w:rPr>
          <w:rtl w:val="true"/>
        </w:rPr>
        <w:t>כי לא זו בלבד שאין מדובר בענישה מחמירה</w:t>
      </w:r>
      <w:r>
        <w:rPr>
          <w:rtl w:val="true"/>
        </w:rPr>
        <w:t xml:space="preserve">, </w:t>
      </w:r>
      <w:r>
        <w:rPr>
          <w:rtl w:val="true"/>
        </w:rPr>
        <w:t>כטענת רמי ונואף</w:t>
      </w:r>
      <w:r>
        <w:rPr>
          <w:rtl w:val="true"/>
        </w:rPr>
        <w:t xml:space="preserve">, </w:t>
      </w:r>
      <w:r>
        <w:rPr>
          <w:rtl w:val="true"/>
        </w:rPr>
        <w:t>אלא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שהוטלו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ונואף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הלינץ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ונואף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לא </w:t>
      </w:r>
      <w:r>
        <w:rPr>
          <w:rtl w:val="true"/>
        </w:rPr>
        <w:t>יִחס</w:t>
      </w:r>
      <w:r>
        <w:rPr>
          <w:rtl w:val="true"/>
        </w:rPr>
        <w:t xml:space="preserve"> משקל מספיק לשיקולי הרתעה</w:t>
      </w:r>
      <w:r>
        <w:rPr>
          <w:rtl w:val="true"/>
        </w:rPr>
        <w:t xml:space="preserve">, </w:t>
      </w:r>
      <w:r>
        <w:rPr>
          <w:rtl w:val="true"/>
        </w:rPr>
        <w:t>חרף הצורך לתת להם משקל מיוחד</w:t>
      </w:r>
      <w:r>
        <w:rPr>
          <w:rtl w:val="true"/>
        </w:rPr>
        <w:t xml:space="preserve">, </w:t>
      </w:r>
      <w:r>
        <w:rPr>
          <w:rtl w:val="true"/>
        </w:rPr>
        <w:t>בנסיבות של עבירות שבוצעו על רקע גזעני</w:t>
      </w:r>
      <w:r>
        <w:rPr>
          <w:rtl w:val="true"/>
        </w:rPr>
        <w:t xml:space="preserve">, </w:t>
      </w:r>
      <w:r>
        <w:rPr>
          <w:rtl w:val="true"/>
        </w:rPr>
        <w:t>ובתקופה של גל אלימות לאומנית גואה</w:t>
      </w:r>
      <w:r>
        <w:rPr>
          <w:rtl w:val="true"/>
        </w:rPr>
        <w:t xml:space="preserve">. </w:t>
      </w:r>
      <w:r>
        <w:rPr>
          <w:rtl w:val="true"/>
        </w:rPr>
        <w:t>המדינה מוסיפה וטוענת ברוח זו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בכך שהתעלם מהנחיית המחוקק</w:t>
      </w:r>
      <w:r>
        <w:rPr>
          <w:rtl w:val="true"/>
        </w:rPr>
        <w:t xml:space="preserve">, </w:t>
      </w:r>
      <w:r>
        <w:rPr>
          <w:rtl w:val="true"/>
        </w:rPr>
        <w:t>שלפיה 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וכן בכך שלא יִחֵס משקל ראוי לריבוי המעשים המתוארים</w:t>
      </w:r>
      <w:r>
        <w:rPr>
          <w:rtl w:val="true"/>
        </w:rPr>
        <w:t xml:space="preserve">, </w:t>
      </w:r>
      <w:r>
        <w:rPr>
          <w:rtl w:val="true"/>
        </w:rPr>
        <w:t>בפרט לגבי נואף</w:t>
      </w:r>
      <w:r>
        <w:rPr>
          <w:rtl w:val="true"/>
        </w:rPr>
        <w:t xml:space="preserve">. </w:t>
      </w:r>
      <w:r>
        <w:rPr>
          <w:rtl w:val="true"/>
        </w:rPr>
        <w:t>ריבוי זה</w:t>
      </w:r>
      <w:r>
        <w:rPr>
          <w:rtl w:val="true"/>
        </w:rPr>
        <w:t xml:space="preserve">, </w:t>
      </w:r>
      <w:r>
        <w:rPr>
          <w:rtl w:val="true"/>
        </w:rPr>
        <w:t>כך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מבטא בחירה עקבית ושיטתית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המדינה גם סבורה</w:t>
      </w:r>
      <w:r>
        <w:rPr>
          <w:rtl w:val="true"/>
        </w:rPr>
        <w:t xml:space="preserve">, </w:t>
      </w:r>
      <w:r>
        <w:rPr>
          <w:rtl w:val="true"/>
        </w:rPr>
        <w:t>כי שיקול נוסף לחומרה</w:t>
      </w:r>
      <w:r>
        <w:rPr>
          <w:rtl w:val="true"/>
        </w:rPr>
        <w:t xml:space="preserve">, </w:t>
      </w:r>
      <w:r>
        <w:rPr>
          <w:rtl w:val="true"/>
        </w:rPr>
        <w:t>שלא בא לידי ביטוי בגזר הדין</w:t>
      </w:r>
      <w:r>
        <w:rPr>
          <w:rtl w:val="true"/>
        </w:rPr>
        <w:t xml:space="preserve">, </w:t>
      </w:r>
      <w:r>
        <w:rPr>
          <w:rtl w:val="true"/>
        </w:rPr>
        <w:t>נוגע לעוצמת הנזקים שנגרמו לבני הזוג</w:t>
      </w:r>
      <w:r>
        <w:rPr>
          <w:rtl w:val="true"/>
        </w:rPr>
        <w:t xml:space="preserve">. </w:t>
      </w:r>
      <w:r>
        <w:rPr>
          <w:rtl w:val="true"/>
        </w:rPr>
        <w:t>המדינה לא מסתפקת בכך</w:t>
      </w:r>
      <w:r>
        <w:rPr>
          <w:rtl w:val="true"/>
        </w:rPr>
        <w:t xml:space="preserve">, </w:t>
      </w:r>
      <w:r>
        <w:rPr>
          <w:rtl w:val="true"/>
        </w:rPr>
        <w:t>ומוסיפה וטוענת כי לא היה מקום לייחס משקל כה רב</w:t>
      </w:r>
      <w:r>
        <w:rPr>
          <w:rtl w:val="true"/>
        </w:rPr>
        <w:t xml:space="preserve">, </w:t>
      </w:r>
      <w:r>
        <w:rPr>
          <w:rtl w:val="true"/>
        </w:rPr>
        <w:t>לקוּלה</w:t>
      </w:r>
      <w:r>
        <w:rPr>
          <w:rtl w:val="true"/>
        </w:rPr>
        <w:t xml:space="preserve">, </w:t>
      </w:r>
      <w:r>
        <w:rPr>
          <w:rtl w:val="true"/>
        </w:rPr>
        <w:t>למובא בתסקיריהם של נואף ושל רמי</w:t>
      </w:r>
      <w:r>
        <w:rPr>
          <w:rtl w:val="true"/>
        </w:rPr>
        <w:t xml:space="preserve">, </w:t>
      </w:r>
      <w:r>
        <w:rPr>
          <w:rtl w:val="true"/>
        </w:rPr>
        <w:t>ובפרט להודאתם ולחרטתם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מדובר בנטילת אחריות לא מלאה</w:t>
      </w:r>
      <w:r>
        <w:rPr>
          <w:rtl w:val="true"/>
        </w:rPr>
        <w:t xml:space="preserve">, </w:t>
      </w:r>
      <w:r>
        <w:rPr>
          <w:rtl w:val="true"/>
        </w:rPr>
        <w:t>שאף נפלו בה פגמים לא מעטים</w:t>
      </w:r>
      <w:r>
        <w:rPr>
          <w:rtl w:val="true"/>
        </w:rPr>
        <w:t xml:space="preserve">. </w:t>
      </w:r>
      <w:r>
        <w:rPr>
          <w:rtl w:val="true"/>
        </w:rPr>
        <w:t>נוכח כל זאת</w:t>
      </w:r>
      <w:r>
        <w:rPr>
          <w:rtl w:val="true"/>
        </w:rPr>
        <w:t xml:space="preserve">, </w:t>
      </w:r>
      <w:r>
        <w:rPr>
          <w:rtl w:val="true"/>
        </w:rPr>
        <w:t>המדינה טוענת</w:t>
      </w:r>
      <w:r>
        <w:rPr>
          <w:rtl w:val="true"/>
        </w:rPr>
        <w:t xml:space="preserve">, </w:t>
      </w:r>
      <w:r>
        <w:rPr>
          <w:rtl w:val="true"/>
        </w:rPr>
        <w:t>כי הן מתחמי הענישה שנקבעו</w:t>
      </w:r>
      <w:r>
        <w:rPr>
          <w:rtl w:val="true"/>
        </w:rPr>
        <w:t xml:space="preserve">, </w:t>
      </w:r>
      <w:r>
        <w:rPr>
          <w:rtl w:val="true"/>
        </w:rPr>
        <w:t>הן העונשים שנגזרו בפועל</w:t>
      </w:r>
      <w:r>
        <w:rPr>
          <w:rtl w:val="true"/>
        </w:rPr>
        <w:t xml:space="preserve">, </w:t>
      </w:r>
      <w:r>
        <w:rPr>
          <w:rtl w:val="true"/>
        </w:rPr>
        <w:t>אינם הולמים לא את חומרתם היתרה של האישומים</w:t>
      </w:r>
      <w:r>
        <w:rPr>
          <w:rtl w:val="true"/>
        </w:rPr>
        <w:t xml:space="preserve">, </w:t>
      </w:r>
      <w:r>
        <w:rPr>
          <w:rtl w:val="true"/>
        </w:rPr>
        <w:t>ולא את שלל שיקולי הענישה הרלבנטיים בנסיבות המקרה דנן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בפסק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בערעורים ובנספחיהם</w:t>
      </w:r>
      <w:r>
        <w:rPr>
          <w:rtl w:val="true"/>
        </w:rPr>
        <w:t xml:space="preserve">, </w:t>
      </w:r>
      <w:r>
        <w:rPr>
          <w:rtl w:val="true"/>
        </w:rPr>
        <w:t>ולאחר ששקלתי את טיעוני הצדדים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בדיון שנערך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ערעורם של רמי ושל נואף – להידחות</w:t>
      </w:r>
      <w:r>
        <w:rPr>
          <w:rtl w:val="true"/>
        </w:rPr>
        <w:t xml:space="preserve">, </w:t>
      </w:r>
      <w:r>
        <w:rPr>
          <w:rtl w:val="true"/>
        </w:rPr>
        <w:t>ואילו דין ערעורה של המדינה – להתקבל</w:t>
      </w:r>
      <w:r>
        <w:rPr>
          <w:rtl w:val="true"/>
        </w:rPr>
        <w:t xml:space="preserve">. </w:t>
      </w:r>
      <w:r>
        <w:rPr>
          <w:rtl w:val="true"/>
        </w:rPr>
        <w:t>נקודת המוצא לדיון</w:t>
      </w:r>
      <w:r>
        <w:rPr>
          <w:rtl w:val="true"/>
        </w:rPr>
        <w:t xml:space="preserve">, </w:t>
      </w:r>
      <w:r>
        <w:rPr>
          <w:rtl w:val="true"/>
        </w:rPr>
        <w:t>היא כי ערכאת הערעור תמעט מלהתערב בגזר הדין ש</w:t>
      </w:r>
      <w:r>
        <w:rPr>
          <w:rtl w:val="true"/>
        </w:rPr>
        <w:t>ניתן ב</w:t>
      </w:r>
      <w:r>
        <w:rPr>
          <w:rtl w:val="true"/>
        </w:rPr>
        <w:t>ערכאה הדיונית</w:t>
      </w:r>
      <w:r>
        <w:rPr>
          <w:rtl w:val="true"/>
        </w:rPr>
        <w:t xml:space="preserve">. </w:t>
      </w:r>
      <w:r>
        <w:rPr>
          <w:rtl w:val="true"/>
        </w:rPr>
        <w:t>התערבות כאמור לא תֵעשה אלא במקרים נדירים</w:t>
      </w:r>
      <w:r>
        <w:rPr>
          <w:rtl w:val="true"/>
        </w:rPr>
        <w:t xml:space="preserve">, </w:t>
      </w:r>
      <w:r>
        <w:rPr>
          <w:rtl w:val="true"/>
        </w:rPr>
        <w:t>שבהם נפלה בגזר הדין טעות מהותית</w:t>
      </w:r>
      <w:r>
        <w:rPr>
          <w:rtl w:val="true"/>
        </w:rPr>
        <w:t xml:space="preserve">, </w:t>
      </w:r>
      <w:r>
        <w:rPr>
          <w:rtl w:val="true"/>
        </w:rPr>
        <w:t>או כאשר נמצא כי העונש שנקבע</w:t>
      </w:r>
      <w:r>
        <w:rPr>
          <w:rtl w:val="true"/>
        </w:rPr>
        <w:t xml:space="preserve">, </w:t>
      </w:r>
      <w:r>
        <w:rPr>
          <w:rtl w:val="true"/>
        </w:rPr>
        <w:t xml:space="preserve">חורג במידה ניכרת ממדיניות הענישה הנוהגת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ליסיצין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2.5.2022</w:t>
      </w:r>
      <w:r>
        <w:rPr>
          <w:rtl w:val="true"/>
        </w:rPr>
        <w:t xml:space="preserve">)). </w:t>
      </w:r>
      <w:r>
        <w:rPr>
          <w:rtl w:val="true"/>
        </w:rPr>
        <w:t>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בא בקהל מקרים חריגים 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אין צורך להכביר מילים על אודות החומרה הרבה הנשקפת ממעשיהם הנפשעים של נואף ורמי</w:t>
      </w:r>
      <w:r>
        <w:rPr>
          <w:rtl w:val="true"/>
        </w:rPr>
        <w:t xml:space="preserve">.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ממעשה הלינץ</w:t>
      </w:r>
      <w:r>
        <w:rPr>
          <w:rtl w:val="true"/>
        </w:rPr>
        <w:t xml:space="preserve">' </w:t>
      </w:r>
      <w:r>
        <w:rPr>
          <w:rtl w:val="true"/>
        </w:rPr>
        <w:t>האכזרי</w:t>
      </w:r>
      <w:r>
        <w:rPr>
          <w:rtl w:val="true"/>
        </w:rPr>
        <w:t xml:space="preserve">, </w:t>
      </w:r>
      <w:r>
        <w:rPr>
          <w:rtl w:val="true"/>
        </w:rPr>
        <w:t>האלים והנתעב</w:t>
      </w:r>
      <w:r>
        <w:rPr>
          <w:rtl w:val="true"/>
        </w:rPr>
        <w:t xml:space="preserve">, </w:t>
      </w:r>
      <w:r>
        <w:rPr>
          <w:rtl w:val="true"/>
        </w:rPr>
        <w:t>אשר אלמלא הצליחו בני הזוג לחמוק ממבצעיו – אחריתו מי ישׁוּרנה</w:t>
      </w:r>
      <w:r>
        <w:rPr>
          <w:rtl w:val="true"/>
        </w:rPr>
        <w:t xml:space="preserve">; </w:t>
      </w:r>
      <w:r>
        <w:rPr>
          <w:rtl w:val="true"/>
        </w:rPr>
        <w:t>אך כך כמובן גם מכל יתר ההתפרעויות שבהן נטלו חלק</w:t>
      </w:r>
      <w:r>
        <w:rPr>
          <w:rtl w:val="true"/>
        </w:rPr>
        <w:t xml:space="preserve">, </w:t>
      </w:r>
      <w:r>
        <w:rPr>
          <w:rtl w:val="true"/>
        </w:rPr>
        <w:t>שבכללן יִדוי אבנים</w:t>
      </w:r>
      <w:r>
        <w:rPr>
          <w:rtl w:val="true"/>
        </w:rPr>
        <w:t xml:space="preserve">, </w:t>
      </w:r>
      <w:r>
        <w:rPr>
          <w:rtl w:val="true"/>
        </w:rPr>
        <w:t>השלכת בקבוקי תבערה וירי זיקוקים</w:t>
      </w:r>
      <w:r>
        <w:rPr>
          <w:rtl w:val="true"/>
        </w:rPr>
        <w:t xml:space="preserve">. </w:t>
      </w:r>
      <w:r>
        <w:rPr>
          <w:rtl w:val="true"/>
        </w:rPr>
        <w:t>לא פעם ולא פעמיים</w:t>
      </w:r>
      <w:r>
        <w:rPr>
          <w:rtl w:val="true"/>
        </w:rPr>
        <w:t xml:space="preserve">, </w:t>
      </w:r>
      <w:r>
        <w:rPr>
          <w:rtl w:val="true"/>
        </w:rPr>
        <w:t>עמד בית משפט זה על חומרתן הית</w:t>
      </w:r>
      <w:r>
        <w:rPr>
          <w:rtl w:val="true"/>
        </w:rPr>
        <w:t>ֵ</w:t>
      </w:r>
      <w:r>
        <w:rPr>
          <w:rtl w:val="true"/>
        </w:rPr>
        <w:t>ירה של עבירות אלימות המבוצעות על רקע גזעני</w:t>
      </w:r>
      <w:r>
        <w:rPr>
          <w:rtl w:val="true"/>
        </w:rPr>
        <w:t xml:space="preserve">, </w:t>
      </w:r>
      <w:r>
        <w:rPr>
          <w:rtl w:val="true"/>
        </w:rPr>
        <w:t>במסגרת המון משולהב</w:t>
      </w:r>
      <w:r>
        <w:rPr>
          <w:rtl w:val="true"/>
        </w:rPr>
        <w:t xml:space="preserve">; </w:t>
      </w:r>
      <w:r>
        <w:rPr>
          <w:rtl w:val="true"/>
        </w:rPr>
        <w:t>על אחת כמה וכמה שכך הוא הדין</w:t>
      </w:r>
      <w:r>
        <w:rPr>
          <w:rtl w:val="true"/>
        </w:rPr>
        <w:t xml:space="preserve">, </w:t>
      </w:r>
      <w:r>
        <w:rPr>
          <w:rtl w:val="true"/>
        </w:rPr>
        <w:t>כאשר אותו המון מוּסת תוקף</w:t>
      </w:r>
      <w:r>
        <w:rPr>
          <w:rtl w:val="true"/>
        </w:rPr>
        <w:t xml:space="preserve">, </w:t>
      </w:r>
      <w:r>
        <w:rPr>
          <w:rtl w:val="true"/>
        </w:rPr>
        <w:t>באלימות רבה</w:t>
      </w:r>
      <w:r>
        <w:rPr>
          <w:rtl w:val="true"/>
        </w:rPr>
        <w:t xml:space="preserve">, </w:t>
      </w:r>
      <w:r>
        <w:rPr>
          <w:rtl w:val="true"/>
        </w:rPr>
        <w:t>אנשים תמימים שאִתרע מזלם ליפול לידיו</w:t>
      </w:r>
      <w:r>
        <w:rPr>
          <w:rtl w:val="true"/>
        </w:rPr>
        <w:t xml:space="preserve">. </w:t>
      </w:r>
      <w:r>
        <w:rPr>
          <w:rtl w:val="true"/>
        </w:rPr>
        <w:t>כך נאמר באחת הפרשות</w:t>
      </w:r>
      <w:r>
        <w:rPr>
          <w:rtl w:val="true"/>
        </w:rPr>
        <w:t xml:space="preserve">, </w:t>
      </w:r>
      <w:r>
        <w:rPr>
          <w:rtl w:val="true"/>
        </w:rPr>
        <w:t>שלעובדותיה הקשות ק</w:t>
      </w:r>
      <w:r>
        <w:rPr>
          <w:rtl w:val="true"/>
        </w:rPr>
        <w:t>ִ</w:t>
      </w:r>
      <w:r>
        <w:rPr>
          <w:rtl w:val="true"/>
        </w:rPr>
        <w:t>רבה רבה לנסיבות המקרה שלפנינו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עוסקים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שבפנינו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הסתיימה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שבבסיסו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שהשמיעו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וחוששני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מלאכתם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קורבנותיהם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וההרתעה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באובדן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חירותו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ממושכת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התפרעויות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וכואבת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המתפרעים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נוהגת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2285/05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חמד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5.12.2005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מהעת האחרונה</w:t>
      </w:r>
      <w:r>
        <w:rPr>
          <w:rFonts w:cs="Century" w:ascii="Century" w:hAnsi="Century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3982/22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27.10.2022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901/22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24.2.2022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דברים אלה נכונים גם ביחס לכל יתר האישומים שבהם הורשעו נואף ורמי</w:t>
      </w:r>
      <w:r>
        <w:rPr>
          <w:rtl w:val="true"/>
        </w:rPr>
        <w:t xml:space="preserve">; </w:t>
      </w:r>
      <w:r>
        <w:rPr>
          <w:rtl w:val="true"/>
        </w:rPr>
        <w:t>אף לגבי מעשים מסוג זה צוין לא אחת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היתרה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יידוי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והשלכת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תחבורה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מחמירה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הרתעה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3708/21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13.7.2021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וראו גם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בין רבים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9723/16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26.10.2017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נאצר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2337/13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קואסמה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16.9.2013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עוד אזכיר</w:t>
      </w:r>
      <w:r>
        <w:rPr>
          <w:rtl w:val="true"/>
        </w:rPr>
        <w:t xml:space="preserve">, </w:t>
      </w:r>
      <w:r>
        <w:rPr>
          <w:rtl w:val="true"/>
        </w:rPr>
        <w:t>מדברים שנקבעו בהלכה הפסוקה לגבי שיקולי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גזעני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וביטחונו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והרבים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גוברים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שיקום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pacing w:val="6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</w:rPr>
        <w:t>11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לזאת אוסיף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גישת המחוקק – כפי שבאה לידי ביטוי בשני דברי חקיקה שונים – מטה אף היא את הכף לעבר החמרה בעונשיהם של נואף ושל רמי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בראש ובראשונה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חלק ניכר מן המעשים מושא האישומים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עולה כדי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כהגדרתו </w:t>
      </w:r>
      <w:hyperlink r:id="rId1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2016</w:t>
        </w:r>
      </w:hyperlink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איני נדרש לדון בזיהוי זה לגופו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בכתב האישום המתוקן – שבעובדות</w:t>
      </w:r>
      <w:r>
        <w:rPr>
          <w:rFonts w:ascii="Century" w:hAnsi="Century" w:cs="Century"/>
          <w:sz w:val="22"/>
          <w:sz w:val="22"/>
          <w:rtl w:val="true"/>
        </w:rPr>
        <w:t>יו</w:t>
      </w:r>
      <w:r>
        <w:rPr>
          <w:rFonts w:ascii="Century" w:hAnsi="Century" w:cs="Century"/>
          <w:sz w:val="22"/>
          <w:sz w:val="22"/>
          <w:rtl w:val="true"/>
        </w:rPr>
        <w:t xml:space="preserve"> הודו נואף ורמי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הורשעו – צוין במפורש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בהתייחס לרבים מן האישומים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אלה בוצעו מתוך מניע לאומני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אידיאולוגי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במטרה לעורר פחד ובהלה בציבור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נכלל בהם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האישום נגד השניים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בביצוע עבירות של חבלה בכוונה מחמירה וניסיון 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האישום נגד נואף לבדו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בביצוע עבירות של 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חבלה בכוונה מחמירה וניסיון הצתה – הוגדרו כולם כ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מעשי טרור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תוך צירוף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המאבק בטרור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המורה כך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זו הדרך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</w:t>
      </w:r>
      <w:hyperlink r:id="rId2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144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ו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נקבעה נסיבה מחמירה 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לגבי עבירות המבוצעות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גזענות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</w:rPr>
        <w:t>144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.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כהגדרתה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נכתבו הדברים במפורש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המתאר כי נואף ורמי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במזיד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הורשעו השניים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גזעני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 xml:space="preserve">עבירה 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413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בצירוף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ascii="Century" w:hAnsi="Century" w:cs="Century"/>
            <w:rtl w:val="true"/>
          </w:rPr>
          <w:t>ו</w:t>
        </w:r>
      </w:hyperlink>
      <w:r>
        <w:rPr>
          <w:rFonts w:ascii="Century" w:hAnsi="Century" w:cs="Century"/>
          <w:rtl w:val="true"/>
        </w:rPr>
        <w:t xml:space="preserve"> לחוק העונשין</w:t>
      </w:r>
      <w:r>
        <w:rPr>
          <w:rFonts w:cs="Century" w:ascii="Century" w:hAnsi="Century"/>
          <w:rtl w:val="true"/>
        </w:rPr>
        <w:t>.</w:t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כפי שהזדמן לי לציין בעבר</w:t>
      </w:r>
      <w:r>
        <w:rPr>
          <w:rtl w:val="true"/>
        </w:rPr>
        <w:t xml:space="preserve">, </w:t>
      </w:r>
      <w:r>
        <w:rPr>
          <w:rtl w:val="true"/>
        </w:rPr>
        <w:t xml:space="preserve">חוק המאבק </w:t>
      </w:r>
      <w:r>
        <w:rPr>
          <w:rFonts w:ascii="Century" w:hAnsi="Century" w:cs="Century"/>
          <w:sz w:val="22"/>
          <w:sz w:val="22"/>
          <w:rtl w:val="true"/>
        </w:rPr>
        <w:t>בטרור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להרחיב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ארגז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במלחמת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שמנהלת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מורכבותה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והמסוכנות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הכלים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שנוספו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לארגז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להתוות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שימוש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שהוזכר לעיל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אשר מבטאת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כהגדרתו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אינהרנטית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הדגשה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הגמול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'"</w:t>
      </w:r>
      <w:r>
        <w:rPr>
          <w:rtl w:val="true"/>
        </w:rPr>
        <w:t xml:space="preserve"> (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1466/20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22.7.2020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הדברים האמורים 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בוססו על</w:t>
      </w:r>
      <w:r>
        <w:rPr>
          <w:rtl w:val="true"/>
        </w:rPr>
        <w:t xml:space="preserve"> דברי ההסבר להצעת חוק המאבק בטרור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הממשלה </w:t>
      </w:r>
      <w:r>
        <w:rPr/>
        <w:t>1066</w:t>
      </w:r>
      <w:r>
        <w:rPr>
          <w:rtl w:val="true"/>
        </w:rPr>
        <w:t xml:space="preserve">, </w:t>
      </w:r>
      <w:r>
        <w:rPr/>
        <w:t>1104</w:t>
      </w:r>
      <w:r>
        <w:rPr>
          <w:rtl w:val="true"/>
        </w:rPr>
        <w:t xml:space="preserve">). </w:t>
      </w:r>
      <w:r>
        <w:rPr>
          <w:rtl w:val="true"/>
        </w:rPr>
        <w:t>בהתאם הוספתי</w:t>
      </w:r>
      <w:r>
        <w:rPr>
          <w:rtl w:val="true"/>
        </w:rPr>
        <w:t xml:space="preserve">, </w:t>
      </w:r>
      <w:r>
        <w:rPr>
          <w:rtl w:val="true"/>
        </w:rPr>
        <w:t>באותו עניין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זוהי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המחוקק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שתפקידו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ליישמה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להנחות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עצמנו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שנהגה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לכניסתו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בטרור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לתוקף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ולהותיר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ספר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,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בהתייחס לשינוי המדיניות הנוהגת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1382/19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22.1.2020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דברים אלה נכונים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ככתבם וכלשונם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ביחס לנסיבה המחמירה שנקבעה ב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לגבי עבירות הנעשות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גזענות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לגבי סעיף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בהקשרים קרובים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נראה כי בענייננו יש לייחס משקל רב גם לנזקים הקשים שהסבו נואף ורמי</w:t>
      </w:r>
      <w:r>
        <w:rPr>
          <w:rtl w:val="true"/>
        </w:rPr>
        <w:t xml:space="preserve">, </w:t>
      </w:r>
      <w:r>
        <w:rPr>
          <w:rtl w:val="true"/>
        </w:rPr>
        <w:t>במעשיהם שפורטו באישום הראשון</w:t>
      </w:r>
      <w:r>
        <w:rPr>
          <w:rtl w:val="true"/>
        </w:rPr>
        <w:t xml:space="preserve">, </w:t>
      </w:r>
      <w:r>
        <w:rPr>
          <w:rtl w:val="true"/>
        </w:rPr>
        <w:t>לבני הזוג</w:t>
      </w:r>
      <w:r>
        <w:rPr>
          <w:rtl w:val="true"/>
        </w:rPr>
        <w:t xml:space="preserve">, </w:t>
      </w:r>
      <w:r>
        <w:rPr>
          <w:rtl w:val="true"/>
        </w:rPr>
        <w:t>צעירים שלא עשו כל רע למי מן ההמון המשולהב</w:t>
      </w:r>
      <w:r>
        <w:rPr>
          <w:rtl w:val="true"/>
        </w:rPr>
        <w:t xml:space="preserve">, </w:t>
      </w:r>
      <w:r>
        <w:rPr>
          <w:rtl w:val="true"/>
        </w:rPr>
        <w:t>שבחר לתקוף אותם באכזריות רבה</w:t>
      </w:r>
      <w:r>
        <w:rPr>
          <w:rtl w:val="true"/>
        </w:rPr>
        <w:t xml:space="preserve">. </w:t>
      </w:r>
      <w:r>
        <w:rPr>
          <w:rtl w:val="true"/>
        </w:rPr>
        <w:t>כעולה מן החומר שהונח לפנינו</w:t>
      </w:r>
      <w:r>
        <w:rPr>
          <w:rtl w:val="true"/>
        </w:rPr>
        <w:t xml:space="preserve">, </w:t>
      </w:r>
      <w:r>
        <w:rPr>
          <w:rtl w:val="true"/>
        </w:rPr>
        <w:t>לבד מן הפגיעה הפיזית החמורה שנגרמה לאביה</w:t>
      </w:r>
      <w:r>
        <w:rPr>
          <w:rtl w:val="true"/>
        </w:rPr>
        <w:t xml:space="preserve">, </w:t>
      </w:r>
      <w:r>
        <w:rPr>
          <w:rtl w:val="true"/>
        </w:rPr>
        <w:t>ושעודה מלווה אותו</w:t>
      </w:r>
      <w:r>
        <w:rPr>
          <w:rtl w:val="true"/>
        </w:rPr>
        <w:t xml:space="preserve">, </w:t>
      </w:r>
      <w:r>
        <w:rPr>
          <w:rtl w:val="true"/>
        </w:rPr>
        <w:t>נגרמה לבני הזוג גם פגיעה נפשית עמוקה</w:t>
      </w:r>
      <w:r>
        <w:rPr>
          <w:rtl w:val="true"/>
        </w:rPr>
        <w:t xml:space="preserve">; </w:t>
      </w:r>
      <w:r>
        <w:rPr>
          <w:rtl w:val="true"/>
        </w:rPr>
        <w:t>יום שׂשׂונם – כפסע היה מאסונם</w:t>
      </w:r>
      <w:r>
        <w:rPr>
          <w:rtl w:val="true"/>
        </w:rPr>
        <w:t xml:space="preserve">, </w:t>
      </w:r>
      <w:r>
        <w:rPr>
          <w:rtl w:val="true"/>
        </w:rPr>
        <w:t>ונגזר עליהם לחוות במהלכו אירוע טראומטי וקשה ביותר</w:t>
      </w:r>
      <w:r>
        <w:rPr>
          <w:rtl w:val="true"/>
        </w:rPr>
        <w:t xml:space="preserve">. </w:t>
      </w:r>
      <w:r>
        <w:rPr>
          <w:rtl w:val="true"/>
        </w:rPr>
        <w:t>מטעמי צנעת הפרט</w:t>
      </w:r>
      <w:r>
        <w:rPr>
          <w:rtl w:val="true"/>
        </w:rPr>
        <w:t xml:space="preserve">, </w:t>
      </w:r>
      <w:r>
        <w:rPr>
          <w:rtl w:val="true"/>
        </w:rPr>
        <w:t>לא ארחיב על אודות הנזקים שנגרמו לבני הזוג</w:t>
      </w:r>
      <w:r>
        <w:rPr>
          <w:rtl w:val="true"/>
        </w:rPr>
        <w:t xml:space="preserve">; </w:t>
      </w:r>
      <w:r>
        <w:rPr>
          <w:rtl w:val="true"/>
        </w:rPr>
        <w:t>אלה תוארו בהרחבה בתסקיר נפגעי העבירה</w:t>
      </w:r>
      <w:r>
        <w:rPr>
          <w:rtl w:val="true"/>
        </w:rPr>
        <w:t xml:space="preserve">, </w:t>
      </w:r>
      <w:r>
        <w:rPr>
          <w:rtl w:val="true"/>
        </w:rPr>
        <w:t>ובעדות שנתנו השניים בבית המשפט המחוזי</w:t>
      </w:r>
      <w:r>
        <w:rPr>
          <w:rtl w:val="true"/>
        </w:rPr>
        <w:t xml:space="preserve">. </w:t>
      </w:r>
      <w:r>
        <w:rPr>
          <w:rtl w:val="true"/>
        </w:rPr>
        <w:t>די אם אציין</w:t>
      </w:r>
      <w:r>
        <w:rPr>
          <w:rtl w:val="true"/>
        </w:rPr>
        <w:t xml:space="preserve">, </w:t>
      </w:r>
      <w:r>
        <w:rPr>
          <w:rtl w:val="true"/>
        </w:rPr>
        <w:t>כי לא יִפּלֵא שאירוע כה חמור וקשה</w:t>
      </w:r>
      <w:r>
        <w:rPr>
          <w:rtl w:val="true"/>
        </w:rPr>
        <w:t xml:space="preserve">, </w:t>
      </w:r>
      <w:r>
        <w:rPr>
          <w:rtl w:val="true"/>
        </w:rPr>
        <w:t>הותיר בנפשם חותם וצלקת שלא בנקל יִמחו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המכלול עולה אפוא</w:t>
      </w:r>
      <w:r>
        <w:rPr>
          <w:rtl w:val="true"/>
        </w:rPr>
        <w:t xml:space="preserve">, </w:t>
      </w:r>
      <w:r>
        <w:rPr>
          <w:rtl w:val="true"/>
        </w:rPr>
        <w:t>כי הן מתחמי הענישה</w:t>
      </w:r>
      <w:r>
        <w:rPr>
          <w:rtl w:val="true"/>
        </w:rPr>
        <w:t xml:space="preserve">, </w:t>
      </w:r>
      <w:r>
        <w:rPr>
          <w:rtl w:val="true"/>
        </w:rPr>
        <w:t>הן העונשים שנגזרו בתוכם – אינם נותנים ביטוי הולם לשיקולי הענישה הרלבנטיים לעניינם של נואף ושל רמי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 שמדובר בשלל עבירות אלימות חמורות</w:t>
      </w:r>
      <w:r>
        <w:rPr>
          <w:rtl w:val="true"/>
        </w:rPr>
        <w:t xml:space="preserve">, </w:t>
      </w:r>
      <w:r>
        <w:rPr>
          <w:rtl w:val="true"/>
        </w:rPr>
        <w:t xml:space="preserve">שרבות מהן עונות להגדרה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או בוצעו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גזענות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 מצוות המחוקק</w:t>
      </w:r>
      <w:r>
        <w:rPr>
          <w:rtl w:val="true"/>
        </w:rPr>
        <w:t xml:space="preserve">, </w:t>
      </w:r>
      <w:r>
        <w:rPr>
          <w:rtl w:val="true"/>
        </w:rPr>
        <w:t>נדרשת בעניינן ענישה מחמירה</w:t>
      </w:r>
      <w:r>
        <w:rPr>
          <w:rtl w:val="true"/>
        </w:rPr>
        <w:t xml:space="preserve">, </w:t>
      </w:r>
      <w:r>
        <w:rPr>
          <w:rtl w:val="true"/>
        </w:rPr>
        <w:t>נראה כי לא ניתן ביטוי ודגש לשיקולים אלה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מהפסיקה שהובאה לעיל עולה</w:t>
      </w:r>
      <w:r>
        <w:rPr>
          <w:rtl w:val="true"/>
        </w:rPr>
        <w:t xml:space="preserve">, </w:t>
      </w:r>
      <w:r>
        <w:rPr>
          <w:rtl w:val="true"/>
        </w:rPr>
        <w:t>כי שיקולי שיקום ונסיבות אישיות – שלהם הקנה בית המשפט המחוזי משקל לא מבוטל</w:t>
      </w:r>
      <w:r>
        <w:rPr>
          <w:rtl w:val="true"/>
        </w:rPr>
        <w:t xml:space="preserve">, </w:t>
      </w:r>
      <w:r>
        <w:rPr>
          <w:rtl w:val="true"/>
        </w:rPr>
        <w:t>במסגרת קביעתו כי מעשיהם של נואף ורמי מצויים בתחתית מתחמי הענישה שנקבעו לגביהם – נסוגים</w:t>
      </w:r>
      <w:r>
        <w:rPr>
          <w:rtl w:val="true"/>
        </w:rPr>
        <w:t xml:space="preserve">, </w:t>
      </w:r>
      <w:r>
        <w:rPr>
          <w:rtl w:val="true"/>
        </w:rPr>
        <w:t>במקרים כבענייננו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מפני שיקולי ההגנה על שלום הציבור וההרתעה 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pacing w:val="6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</w:rPr>
        <w:t>11</w:t>
      </w:r>
      <w:r>
        <w:rPr>
          <w:rFonts w:cs="FrankRuehl" w:ascii="FrankRuehl" w:hAnsi="FrankRuehl"/>
          <w:color w:val="000000"/>
          <w:spacing w:val="6"/>
          <w:sz w:val="28"/>
          <w:shd w:fill="FFFFFF" w:val="clear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 כה</w:t>
      </w:r>
      <w:r>
        <w:rPr>
          <w:rtl w:val="true"/>
        </w:rPr>
        <w:t xml:space="preserve">, </w:t>
      </w:r>
      <w:r>
        <w:rPr>
          <w:rtl w:val="true"/>
        </w:rPr>
        <w:t xml:space="preserve">נתתי דעתי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ה</w:t>
      </w:r>
      <w:r>
        <w:rPr>
          <w:rtl w:val="true"/>
        </w:rPr>
        <w:t>שיקולים המצדיקים החמרה בענישתם של נואף ורמי גם יחד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אפנה להתייחס לשיקולים נוספים</w:t>
      </w:r>
      <w:r>
        <w:rPr>
          <w:rtl w:val="true"/>
        </w:rPr>
        <w:t xml:space="preserve">, </w:t>
      </w:r>
      <w:r>
        <w:rPr>
          <w:rtl w:val="true"/>
        </w:rPr>
        <w:t>הרלבנטיים לעניינו הקונקרטי של נואף בלבד</w:t>
      </w:r>
      <w:r>
        <w:rPr>
          <w:rtl w:val="true"/>
        </w:rPr>
        <w:t xml:space="preserve">, </w:t>
      </w:r>
      <w:r>
        <w:rPr>
          <w:rtl w:val="true"/>
        </w:rPr>
        <w:t>ומטים גם הם את הכף לעבר החמרה בענישה</w:t>
      </w:r>
      <w:r>
        <w:rPr>
          <w:rtl w:val="true"/>
        </w:rPr>
        <w:t xml:space="preserve">. </w:t>
      </w:r>
      <w:r>
        <w:rPr>
          <w:rtl w:val="true"/>
        </w:rPr>
        <w:t>הראשון שבהם</w:t>
      </w:r>
      <w:r>
        <w:rPr>
          <w:rtl w:val="true"/>
        </w:rPr>
        <w:t xml:space="preserve">, </w:t>
      </w:r>
      <w:r>
        <w:rPr>
          <w:rtl w:val="true"/>
        </w:rPr>
        <w:t>נוגע למספרן הרב של העבירות שבהן הורשע</w:t>
      </w:r>
      <w:r>
        <w:rPr>
          <w:rtl w:val="true"/>
        </w:rPr>
        <w:t xml:space="preserve">. </w:t>
      </w:r>
      <w:r>
        <w:rPr>
          <w:rtl w:val="true"/>
        </w:rPr>
        <w:t>נתון זה</w:t>
      </w:r>
      <w:r>
        <w:rPr>
          <w:rtl w:val="true"/>
        </w:rPr>
        <w:t xml:space="preserve">, </w:t>
      </w:r>
      <w:r>
        <w:rPr>
          <w:rtl w:val="true"/>
        </w:rPr>
        <w:t>מלמד על בחירה עקבית ושיטתית בדרך הטרור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אינני מקבל את גישת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נתן משקל</w:t>
      </w:r>
      <w:r>
        <w:rPr>
          <w:rtl w:val="true"/>
        </w:rPr>
        <w:t xml:space="preserve">, </w:t>
      </w:r>
      <w:r>
        <w:rPr>
          <w:rtl w:val="true"/>
        </w:rPr>
        <w:t>לקוּלה</w:t>
      </w:r>
      <w:r>
        <w:rPr>
          <w:rtl w:val="true"/>
        </w:rPr>
        <w:t xml:space="preserve">, </w:t>
      </w:r>
      <w:r>
        <w:rPr>
          <w:rtl w:val="true"/>
        </w:rPr>
        <w:t>לכך שאמנם בוצעו עבירות רבות</w:t>
      </w:r>
      <w:r>
        <w:rPr>
          <w:rtl w:val="true"/>
        </w:rPr>
        <w:t xml:space="preserve">, </w:t>
      </w:r>
      <w:r>
        <w:rPr>
          <w:rtl w:val="true"/>
        </w:rPr>
        <w:t xml:space="preserve">אך זאת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למצער העובדות המתוארות באישום השלישי</w:t>
      </w:r>
      <w:r>
        <w:rPr>
          <w:rtl w:val="true"/>
        </w:rPr>
        <w:t xml:space="preserve">, </w:t>
      </w:r>
      <w:r>
        <w:rPr>
          <w:rtl w:val="true"/>
        </w:rPr>
        <w:t>התרחשו למעלה מחצי שנה קודם לביצוע יתר העבירות שבהן הואשם נואף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כפי שנקבע זה מכבר – במקרה הקרוב לענייננו 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לחוּמרה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למעורבות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הוא הדין אף ביחס למשקל</w:t>
      </w:r>
      <w:r>
        <w:rPr>
          <w:rtl w:val="true"/>
        </w:rPr>
        <w:t xml:space="preserve">, </w:t>
      </w:r>
      <w:r>
        <w:rPr>
          <w:rtl w:val="true"/>
        </w:rPr>
        <w:t>לקוּלה</w:t>
      </w:r>
      <w:r>
        <w:rPr>
          <w:rtl w:val="true"/>
        </w:rPr>
        <w:t xml:space="preserve">, </w:t>
      </w:r>
      <w:r>
        <w:rPr>
          <w:rtl w:val="true"/>
        </w:rPr>
        <w:t>שהעניק בית המשפט המחוזי לכך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נואף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באחריותו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בהתייחס לכך</w:t>
      </w:r>
      <w:r>
        <w:rPr>
          <w:rtl w:val="true"/>
        </w:rPr>
        <w:t xml:space="preserve">, </w:t>
      </w:r>
      <w:r>
        <w:rPr>
          <w:rtl w:val="true"/>
        </w:rPr>
        <w:t>די אם אציין כי לפי תסקירו של נואף</w:t>
      </w:r>
      <w:r>
        <w:rPr>
          <w:rtl w:val="true"/>
        </w:rPr>
        <w:t xml:space="preserve">, </w:t>
      </w:r>
      <w:r>
        <w:rPr>
          <w:rtl w:val="true"/>
        </w:rPr>
        <w:t>חרטתו היתה קונקרטית ומילולית</w:t>
      </w:r>
      <w:r>
        <w:rPr>
          <w:rtl w:val="true"/>
        </w:rPr>
        <w:t xml:space="preserve">, </w:t>
      </w:r>
      <w:r>
        <w:rPr>
          <w:rtl w:val="true"/>
        </w:rPr>
        <w:t>וניתנה תוך התמקדות בהשלכות הצפויות לעתידו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אגב קושי לראות את הפגיעה שנגרמה לאחר</w:t>
      </w:r>
      <w:r>
        <w:rPr>
          <w:rtl w:val="true"/>
        </w:rPr>
        <w:t xml:space="preserve">. </w:t>
      </w:r>
      <w:r>
        <w:rPr>
          <w:rtl w:val="true"/>
        </w:rPr>
        <w:t>בהקשר זה גם יובהר</w:t>
      </w:r>
      <w:r>
        <w:rPr>
          <w:rtl w:val="true"/>
        </w:rPr>
        <w:t xml:space="preserve">, </w:t>
      </w:r>
      <w:r>
        <w:rPr>
          <w:rtl w:val="true"/>
        </w:rPr>
        <w:t>כי הודאה לחוד</w:t>
      </w:r>
      <w:r>
        <w:rPr>
          <w:rtl w:val="true"/>
        </w:rPr>
        <w:t xml:space="preserve">, </w:t>
      </w:r>
      <w:r>
        <w:rPr>
          <w:rtl w:val="true"/>
        </w:rPr>
        <w:t>ונטילת אחריות לחוד</w:t>
      </w:r>
      <w:r>
        <w:rPr>
          <w:rtl w:val="true"/>
        </w:rPr>
        <w:t xml:space="preserve">, </w:t>
      </w:r>
      <w:r>
        <w:rPr>
          <w:rtl w:val="true"/>
        </w:rPr>
        <w:t xml:space="preserve">כך שמן הראשונה אין להסיק על השניה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2.11.2022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ומעניינו של נואף לעניינו של רמי – אכן</w:t>
      </w:r>
      <w:r>
        <w:rPr>
          <w:rtl w:val="true"/>
        </w:rPr>
        <w:t xml:space="preserve">, </w:t>
      </w:r>
      <w:r>
        <w:rPr>
          <w:rtl w:val="true"/>
        </w:rPr>
        <w:t>צודק רמי בטענתו</w:t>
      </w:r>
      <w:r>
        <w:rPr>
          <w:rtl w:val="true"/>
        </w:rPr>
        <w:t xml:space="preserve">, </w:t>
      </w:r>
      <w:r>
        <w:rPr>
          <w:rtl w:val="true"/>
        </w:rPr>
        <w:t>כי נפלה שגגה בקביעת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גזר הדין ניתן נוכח הרשעתו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5-4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רמי הואשם והורשע באישומים הראשון והרביעי בלבד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די בכך כדי להביא להקלה בעונש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אין בנתון זה כדי למנוע את החמרתו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משמצאתי כי לא זו בלבד שנדרש היה לקבוע לגבי רמי מתחם ענישה מחמיר יותר מזה שנקבע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שאף בתוככי מתחם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למקם את מעשיו מעל למיקום שנקבע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המחוזי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התוצאה היא כי גם הרשעה באישומים הראשון והרביעי בלבד – אינה הולמת עונש המסתכם אך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לטעות</w:t>
      </w:r>
      <w:r>
        <w:rPr>
          <w:rtl w:val="true"/>
        </w:rPr>
        <w:t xml:space="preserve">: </w:t>
      </w:r>
      <w:r>
        <w:rPr>
          <w:rtl w:val="true"/>
        </w:rPr>
        <w:t>ניתן למצוא קווי דמיון מסוימים בין המקרה דנן</w:t>
      </w:r>
      <w:r>
        <w:rPr>
          <w:rtl w:val="true"/>
        </w:rPr>
        <w:t xml:space="preserve">, </w:t>
      </w:r>
      <w:r>
        <w:rPr>
          <w:rtl w:val="true"/>
        </w:rPr>
        <w:t>לבין מקרים נוספים שהובאו גם הם לפתחן של הערכאות הפליליות</w:t>
      </w:r>
      <w:r>
        <w:rPr>
          <w:rtl w:val="true"/>
        </w:rPr>
        <w:t xml:space="preserve">, </w:t>
      </w:r>
      <w:r>
        <w:rPr>
          <w:rtl w:val="true"/>
        </w:rPr>
        <w:t xml:space="preserve">בעקבות אירועי </w:t>
      </w:r>
      <w:r>
        <w:rPr>
          <w:rtl w:val="true"/>
        </w:rPr>
        <w:t>'</w:t>
      </w:r>
      <w:r>
        <w:rPr>
          <w:rtl w:val="true"/>
        </w:rPr>
        <w:t>שומר החומות</w:t>
      </w:r>
      <w:r>
        <w:rPr>
          <w:rtl w:val="true"/>
        </w:rPr>
        <w:t xml:space="preserve">', </w:t>
      </w:r>
      <w:r>
        <w:rPr>
          <w:rtl w:val="true"/>
        </w:rPr>
        <w:t>ואשר נוגעים להתפרעויות המונים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דמיון זה – חלקי בלבד</w:t>
      </w:r>
      <w:r>
        <w:rPr>
          <w:rtl w:val="true"/>
        </w:rPr>
        <w:t xml:space="preserve">. </w:t>
      </w:r>
      <w:r>
        <w:rPr>
          <w:rtl w:val="true"/>
        </w:rPr>
        <w:t xml:space="preserve">אינן דומות התפרעויות ההמונים שנדונו במקרים כגון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שבהן – מבלי לגרוע חלילה מחומרת הדברים – גרם ההמון נזקים קשים לרכוש</w:t>
      </w:r>
      <w:r>
        <w:rPr>
          <w:rtl w:val="true"/>
        </w:rPr>
        <w:t xml:space="preserve">, </w:t>
      </w:r>
      <w:r>
        <w:rPr>
          <w:rtl w:val="true"/>
        </w:rPr>
        <w:t>השליך אבנים</w:t>
      </w:r>
      <w:r>
        <w:rPr>
          <w:rtl w:val="true"/>
        </w:rPr>
        <w:t xml:space="preserve">, </w:t>
      </w:r>
      <w:r>
        <w:rPr>
          <w:rtl w:val="true"/>
        </w:rPr>
        <w:t>ובקבוקי תבערה ועוד כיוצא באלה</w:t>
      </w:r>
      <w:r>
        <w:rPr>
          <w:rtl w:val="true"/>
        </w:rPr>
        <w:t xml:space="preserve">, </w:t>
      </w:r>
      <w:r>
        <w:rPr>
          <w:rtl w:val="true"/>
        </w:rPr>
        <w:t>למקרה הקשה שלפנינו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אין להקיש לענייננו מ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tl w:val="true"/>
        </w:rPr>
        <w:t xml:space="preserve">), </w:t>
      </w:r>
      <w:r>
        <w:rPr>
          <w:rtl w:val="true"/>
        </w:rPr>
        <w:t>שבו נדון מקרה דומה</w:t>
      </w:r>
      <w:r>
        <w:rPr>
          <w:rtl w:val="true"/>
        </w:rPr>
        <w:t xml:space="preserve">, </w:t>
      </w:r>
      <w:r>
        <w:rPr>
          <w:rtl w:val="true"/>
        </w:rPr>
        <w:t>מחריד</w:t>
      </w:r>
      <w:r>
        <w:rPr>
          <w:rtl w:val="true"/>
        </w:rPr>
        <w:t xml:space="preserve">, </w:t>
      </w:r>
      <w:r>
        <w:rPr>
          <w:rtl w:val="true"/>
        </w:rPr>
        <w:t>של המון יהודי אשר תקף בפראות עובר אורח ערבי</w:t>
      </w:r>
      <w:r>
        <w:rPr>
          <w:rtl w:val="true"/>
        </w:rPr>
        <w:t xml:space="preserve">, </w:t>
      </w:r>
      <w:r>
        <w:rPr>
          <w:rtl w:val="true"/>
        </w:rPr>
        <w:t>והסב לו פגיעות חמורות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לגבי הנאשם באותה פרשה</w:t>
      </w:r>
      <w:r>
        <w:rPr>
          <w:rtl w:val="true"/>
        </w:rPr>
        <w:t xml:space="preserve">, </w:t>
      </w:r>
      <w:r>
        <w:rPr>
          <w:rtl w:val="true"/>
        </w:rPr>
        <w:t xml:space="preserve">נקבע במפורש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בתקיפתו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מדובר באירוע לינץ</w:t>
      </w:r>
      <w:r>
        <w:rPr>
          <w:rtl w:val="true"/>
        </w:rPr>
        <w:t xml:space="preserve">' </w:t>
      </w:r>
      <w:r>
        <w:rPr>
          <w:rtl w:val="true"/>
        </w:rPr>
        <w:t>של ממש</w:t>
      </w:r>
      <w:r>
        <w:rPr>
          <w:rtl w:val="true"/>
        </w:rPr>
        <w:t xml:space="preserve">, </w:t>
      </w:r>
      <w:r>
        <w:rPr>
          <w:rtl w:val="true"/>
        </w:rPr>
        <w:t>שבו הופנתה אלימות ההמון</w:t>
      </w:r>
      <w:r>
        <w:rPr>
          <w:rtl w:val="true"/>
        </w:rPr>
        <w:t xml:space="preserve">, </w:t>
      </w:r>
      <w:r>
        <w:rPr>
          <w:rtl w:val="true"/>
        </w:rPr>
        <w:t>באופן ישיר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tl w:val="true"/>
        </w:rPr>
        <w:t xml:space="preserve">פי </w:t>
      </w:r>
      <w:r>
        <w:rPr>
          <w:rtl w:val="true"/>
        </w:rPr>
        <w:t>בני זוג שנקלעו לדרכם</w:t>
      </w:r>
      <w:r>
        <w:rPr>
          <w:rtl w:val="true"/>
        </w:rPr>
        <w:t xml:space="preserve">;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נגרם סיכון קונקרטי וממשי לחייהם</w:t>
      </w:r>
      <w:r>
        <w:rPr>
          <w:rtl w:val="true"/>
        </w:rPr>
        <w:t xml:space="preserve">, </w:t>
      </w:r>
      <w:r>
        <w:rPr>
          <w:rtl w:val="true"/>
        </w:rPr>
        <w:t>והם סבלו – ועודם סובלים – מנזקים קשים ביותר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המערערים שלפנינו</w:t>
      </w:r>
      <w:r>
        <w:rPr>
          <w:rtl w:val="true"/>
        </w:rPr>
        <w:t xml:space="preserve">, </w:t>
      </w:r>
      <w:r>
        <w:rPr>
          <w:rtl w:val="true"/>
        </w:rPr>
        <w:t>נטלו חלק פעיל ומרכזי באירוע הלינץ</w:t>
      </w:r>
      <w:r>
        <w:rPr>
          <w:rtl w:val="true"/>
        </w:rPr>
        <w:t xml:space="preserve">', </w:t>
      </w:r>
      <w:r>
        <w:rPr>
          <w:rtl w:val="true"/>
        </w:rPr>
        <w:t>פעולותיהם לא נעצרו ב</w:t>
      </w:r>
      <w:r>
        <w:rPr>
          <w:rtl w:val="true"/>
        </w:rPr>
        <w:t>'</w:t>
      </w:r>
      <w:r>
        <w:rPr>
          <w:rtl w:val="true"/>
        </w:rPr>
        <w:t>פריפריה</w:t>
      </w:r>
      <w:r>
        <w:rPr>
          <w:rtl w:val="true"/>
        </w:rPr>
        <w:t xml:space="preserve">' </w:t>
      </w:r>
      <w:r>
        <w:rPr>
          <w:rtl w:val="true"/>
        </w:rPr>
        <w:t>של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והם לא שימשו בו </w:t>
      </w:r>
      <w:r>
        <w:rPr>
          <w:rtl w:val="true"/>
        </w:rPr>
        <w:t>'</w:t>
      </w:r>
      <w:r>
        <w:rPr>
          <w:rtl w:val="true"/>
        </w:rPr>
        <w:t>כינורות שניים</w:t>
      </w:r>
      <w:r>
        <w:rPr>
          <w:rtl w:val="true"/>
        </w:rPr>
        <w:t xml:space="preserve">'. </w:t>
      </w: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 xml:space="preserve">גם האישומים שבהם הורשעו הנאשמים בפרשות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 רחוקים מרחק רב מן האישומים שבהם הורשעו נואף ורמי</w:t>
      </w:r>
      <w:r>
        <w:rPr>
          <w:rtl w:val="true"/>
        </w:rPr>
        <w:t xml:space="preserve">. </w:t>
      </w:r>
      <w:r>
        <w:rPr>
          <w:rtl w:val="true"/>
        </w:rPr>
        <w:t>רף הענישה</w:t>
      </w:r>
      <w:r>
        <w:rPr>
          <w:rtl w:val="true"/>
        </w:rPr>
        <w:t xml:space="preserve">, </w:t>
      </w:r>
      <w:r>
        <w:rPr>
          <w:rtl w:val="true"/>
        </w:rPr>
        <w:t>אמור אפוא לשקף פערים משמעותיים אלה</w:t>
      </w:r>
      <w:r>
        <w:rPr>
          <w:rtl w:val="true"/>
        </w:rPr>
        <w:t xml:space="preserve">. </w:t>
      </w:r>
      <w:r>
        <w:rPr>
          <w:rtl w:val="true"/>
        </w:rPr>
        <w:t>נוכח זאת</w:t>
      </w:r>
      <w:r>
        <w:rPr>
          <w:rtl w:val="true"/>
        </w:rPr>
        <w:t xml:space="preserve">, </w:t>
      </w:r>
      <w:r>
        <w:rPr>
          <w:rtl w:val="true"/>
        </w:rPr>
        <w:t>גם רבים מפסקי הדין שהובאו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בעת שסקר את מדיניות הענישה הנוהגת בכגון דא</w:t>
      </w:r>
      <w:r>
        <w:rPr>
          <w:rtl w:val="true"/>
        </w:rPr>
        <w:t xml:space="preserve">, </w:t>
      </w:r>
      <w:r>
        <w:rPr>
          <w:rtl w:val="true"/>
        </w:rPr>
        <w:t>מוגבלים היו ביכולתם ללמד לענייננו</w:t>
      </w:r>
      <w:r>
        <w:rPr>
          <w:rtl w:val="true"/>
        </w:rPr>
        <w:t xml:space="preserve">; </w:t>
      </w:r>
      <w:r>
        <w:rPr>
          <w:rtl w:val="true"/>
        </w:rPr>
        <w:t>כדברי בית המשפט המחוזי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שהוזכרו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עוסקים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שבפנַי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שהוזכרו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לכך אוסיף</w:t>
      </w:r>
      <w:r>
        <w:rPr>
          <w:rtl w:val="true"/>
        </w:rPr>
        <w:t xml:space="preserve">, </w:t>
      </w:r>
      <w:r>
        <w:rPr>
          <w:rtl w:val="true"/>
        </w:rPr>
        <w:t>כי בחלק מהמקרים דובר בנאשמים קטינים</w:t>
      </w:r>
      <w:r>
        <w:rPr>
          <w:rtl w:val="true"/>
        </w:rPr>
        <w:t xml:space="preserve">, </w:t>
      </w:r>
      <w:r>
        <w:rPr>
          <w:rtl w:val="true"/>
        </w:rPr>
        <w:t>אשר שיקולי הענישה הרלבנטיים לגביהם</w:t>
      </w:r>
      <w:r>
        <w:rPr>
          <w:rtl w:val="true"/>
        </w:rPr>
        <w:t xml:space="preserve">, </w:t>
      </w:r>
      <w:r>
        <w:rPr>
          <w:rtl w:val="true"/>
        </w:rPr>
        <w:t>שונים מן השיקולים שאותם יש להביא בחשבון כאשר מדובר בנאשמים בגירים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לחוות הדעת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8.3.2009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נוכח כלל האמור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ששיוויתי לפנַי גם את הכלל שלפיו ערכאת הערעור אינה מגיעה למיצוי הדין במקרה של החמרת הענישה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31.10.2007</w:t>
      </w:r>
      <w:r>
        <w:rPr>
          <w:rtl w:val="true"/>
        </w:rPr>
        <w:t xml:space="preserve">)), </w:t>
      </w:r>
      <w:r>
        <w:rPr>
          <w:rtl w:val="true"/>
        </w:rPr>
        <w:t>סבורני כי יש להוסיף שנתיים מאסר בפועל לעונשו של נואף</w:t>
      </w:r>
      <w:r>
        <w:rPr>
          <w:rtl w:val="true"/>
        </w:rPr>
        <w:t xml:space="preserve">, </w:t>
      </w:r>
      <w:r>
        <w:rPr>
          <w:rtl w:val="true"/>
        </w:rPr>
        <w:t>ושנת מאסר בפועל לעונשו של רמי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 לחברַי כי נקבל את 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כך שנעמיד את תקופת המאסר הכוללת של נואף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ואת תקופת המאסר הכוללת של רמי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כל יתר רכיבי גזר הדין – יעמדו בעינם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28.11.2022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0"/>
        <w:gridCol w:w="2771"/>
        <w:gridCol w:w="2771"/>
      </w:tblGrid>
      <w:tr>
        <w:trPr/>
        <w:tc>
          <w:tcPr>
            <w:tcW w:w="277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22056330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חי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54678313-5633/22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5633/22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רמי סאלח אל דין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52369" TargetMode="External"/><Relationship Id="rId3" Type="http://schemas.openxmlformats.org/officeDocument/2006/relationships/hyperlink" Target="http://www.nevo.co.il/law/141771" TargetMode="External"/><Relationship Id="rId4" Type="http://schemas.openxmlformats.org/officeDocument/2006/relationships/hyperlink" Target="http://www.nevo.co.il/law/141771/1" TargetMode="External"/><Relationship Id="rId5" Type="http://schemas.openxmlformats.org/officeDocument/2006/relationships/hyperlink" Target="http://www.nevo.co.il/law/141771/37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48/1a" TargetMode="External"/><Relationship Id="rId11" Type="http://schemas.openxmlformats.org/officeDocument/2006/relationships/hyperlink" Target="http://www.nevo.co.il/case/27752369" TargetMode="External"/><Relationship Id="rId12" Type="http://schemas.openxmlformats.org/officeDocument/2006/relationships/hyperlink" Target="http://www.nevo.co.il/case/27922142" TargetMode="External"/><Relationship Id="rId13" Type="http://schemas.openxmlformats.org/officeDocument/2006/relationships/hyperlink" Target="http://www.nevo.co.il/case/5823680" TargetMode="External"/><Relationship Id="rId14" Type="http://schemas.openxmlformats.org/officeDocument/2006/relationships/hyperlink" Target="http://www.nevo.co.il/case/28681545" TargetMode="External"/><Relationship Id="rId15" Type="http://schemas.openxmlformats.org/officeDocument/2006/relationships/hyperlink" Target="http://www.nevo.co.il/case/28296934" TargetMode="External"/><Relationship Id="rId16" Type="http://schemas.openxmlformats.org/officeDocument/2006/relationships/hyperlink" Target="http://www.nevo.co.il/case/27654256" TargetMode="External"/><Relationship Id="rId17" Type="http://schemas.openxmlformats.org/officeDocument/2006/relationships/hyperlink" Target="http://www.nevo.co.il/case/21771420" TargetMode="External"/><Relationship Id="rId18" Type="http://schemas.openxmlformats.org/officeDocument/2006/relationships/hyperlink" Target="http://www.nevo.co.il/case/6859579" TargetMode="External"/><Relationship Id="rId19" Type="http://schemas.openxmlformats.org/officeDocument/2006/relationships/hyperlink" Target="http://www.nevo.co.il/law/141771/1" TargetMode="External"/><Relationship Id="rId20" Type="http://schemas.openxmlformats.org/officeDocument/2006/relationships/hyperlink" Target="http://www.nevo.co.il/law/141771" TargetMode="External"/><Relationship Id="rId21" Type="http://schemas.openxmlformats.org/officeDocument/2006/relationships/hyperlink" Target="http://www.nevo.co.il/law/141771/37" TargetMode="External"/><Relationship Id="rId22" Type="http://schemas.openxmlformats.org/officeDocument/2006/relationships/hyperlink" Target="http://www.nevo.co.il/law/70301/144f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f" TargetMode="External"/><Relationship Id="rId27" Type="http://schemas.openxmlformats.org/officeDocument/2006/relationships/hyperlink" Target="http://www.nevo.co.il/law/141771/37" TargetMode="External"/><Relationship Id="rId28" Type="http://schemas.openxmlformats.org/officeDocument/2006/relationships/hyperlink" Target="http://www.nevo.co.il/case/26489415" TargetMode="External"/><Relationship Id="rId29" Type="http://schemas.openxmlformats.org/officeDocument/2006/relationships/hyperlink" Target="http://www.nevo.co.il/case/2547582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8610045" TargetMode="External"/><Relationship Id="rId32" Type="http://schemas.openxmlformats.org/officeDocument/2006/relationships/hyperlink" Target="http://www.nevo.co.il/case/28266103" TargetMode="External"/><Relationship Id="rId33" Type="http://schemas.openxmlformats.org/officeDocument/2006/relationships/hyperlink" Target="http://www.nevo.co.il/law/70348/1a" TargetMode="External"/><Relationship Id="rId34" Type="http://schemas.openxmlformats.org/officeDocument/2006/relationships/hyperlink" Target="http://www.nevo.co.il/law/70348" TargetMode="External"/><Relationship Id="rId35" Type="http://schemas.openxmlformats.org/officeDocument/2006/relationships/hyperlink" Target="http://www.nevo.co.il/case/2237972" TargetMode="External"/><Relationship Id="rId36" Type="http://schemas.openxmlformats.org/officeDocument/2006/relationships/hyperlink" Target="http://www.nevo.co.il/case/5821173" TargetMode="External"/><Relationship Id="rId37" Type="http://schemas.openxmlformats.org/officeDocument/2006/relationships/hyperlink" Target="https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2022-11-29T11:58:00Z</dcterms:created>
  <dc:creator>h4</dc:creator>
  <dc:description/>
  <cp:keywords/>
  <dc:language>en-IL</dc:language>
  <cp:lastModifiedBy>orly</cp:lastModifiedBy>
  <cp:lastPrinted>2022-11-28T18:01:00Z</cp:lastPrinted>
  <dcterms:modified xsi:type="dcterms:W3CDTF">2022-11-29T11:58:00Z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רמי סאלח אל דין;נואף אבו אלהווא;מדינת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ישראל;נואף אבו אלהווא;רמי סאלח אל דין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27752369:2;27922142;5823680;28681545;28296934;27654256;21771420;6859579;26489415;25475821;28610045;28266103;2237972;5821173</vt:lpwstr>
  </property>
  <property fmtid="{D5CDD505-2E9C-101B-9397-08002B2CF9AE}" pid="9" name="CITY">
    <vt:lpwstr/>
  </property>
  <property fmtid="{D5CDD505-2E9C-101B-9397-08002B2CF9AE}" pid="10" name="DATE">
    <vt:lpwstr>20221128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אלרון;ע' גרוסקופף</vt:lpwstr>
  </property>
  <property fmtid="{D5CDD505-2E9C-101B-9397-08002B2CF9AE}" pid="14" name="LAWLISTTMP1">
    <vt:lpwstr>141771/001;037:2</vt:lpwstr>
  </property>
  <property fmtid="{D5CDD505-2E9C-101B-9397-08002B2CF9AE}" pid="15" name="LAWLISTTMP2">
    <vt:lpwstr>70301/144f:2;413e</vt:lpwstr>
  </property>
  <property fmtid="{D5CDD505-2E9C-101B-9397-08002B2CF9AE}" pid="16" name="LAWLISTTMP3">
    <vt:lpwstr>70348/001a</vt:lpwstr>
  </property>
  <property fmtid="{D5CDD505-2E9C-101B-9397-08002B2CF9AE}" pid="17" name="LAWYER">
    <vt:lpwstr>אריה פטר;מוחמד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ענישה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1446;1446;1446;1446;1446;1446;1446</vt:lpwstr>
  </property>
  <property fmtid="{D5CDD505-2E9C-101B-9397-08002B2CF9AE}" pid="50" name="NOSE31">
    <vt:lpwstr>מדיניות ענישה: עבירות אלימות על רקע לאומני‏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אלימות על רקע אידיאולוגי</vt:lpwstr>
  </property>
  <property fmtid="{D5CDD505-2E9C-101B-9397-08002B2CF9AE}" pid="53" name="NOSE33">
    <vt:lpwstr>מדיניות ענישה: מעשה טרור</vt:lpwstr>
  </property>
  <property fmtid="{D5CDD505-2E9C-101B-9397-08002B2CF9AE}" pid="54" name="NOSE34">
    <vt:lpwstr>מדיניות ענישה: יידוי אבנים</vt:lpwstr>
  </property>
  <property fmtid="{D5CDD505-2E9C-101B-9397-08002B2CF9AE}" pid="55" name="NOSE35">
    <vt:lpwstr>מדיניות ענישה: יידוי בקבוקי תבערה</vt:lpwstr>
  </property>
  <property fmtid="{D5CDD505-2E9C-101B-9397-08002B2CF9AE}" pid="56" name="NOSE36">
    <vt:lpwstr>מדיניות ענישה: שיקולים לחומרה</vt:lpwstr>
  </property>
  <property fmtid="{D5CDD505-2E9C-101B-9397-08002B2CF9AE}" pid="57" name="NOSE37">
    <vt:lpwstr>מדיניות ענישה: התערבות ערכאת ערעור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16899;17645;18497;16102;15301;8995;8982</vt:lpwstr>
  </property>
  <property fmtid="{D5CDD505-2E9C-101B-9397-08002B2CF9AE}" pid="61" name="PADIDATE">
    <vt:lpwstr>20221129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עפ;עפ;עפ</vt:lpwstr>
  </property>
  <property fmtid="{D5CDD505-2E9C-101B-9397-08002B2CF9AE}" pid="66" name="PROCNUM">
    <vt:lpwstr>5633;5893;5952</vt:lpwstr>
  </property>
  <property fmtid="{D5CDD505-2E9C-101B-9397-08002B2CF9AE}" pid="67" name="PROCYEAR">
    <vt:lpwstr>22;22;22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410120221128</vt:lpwstr>
  </property>
  <property fmtid="{D5CDD505-2E9C-101B-9397-08002B2CF9AE}" pid="71" name="TYPE_N_DATE">
    <vt:lpwstr>41020221128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