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57/20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40006-12-18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18.11.2019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קובו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 w:val="24"/>
                <w:szCs w:val="24"/>
                <w:rtl w:val="true"/>
              </w:rPr>
              <w:t>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27.02.2020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יפתח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שגב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אושרה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רוזנברג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</w:rPr>
          <w:t>298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  <w:bookmarkStart w:id="5" w:name="LawTable_End"/>
      <w:bookmarkStart w:id="6" w:name="LawTable_End"/>
      <w:bookmarkEnd w:id="6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הפחית את עונש המאסר בפועל שנגזר על המערער בעקבות הרשעתו בהריגה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כך שירצה </w:t>
      </w:r>
      <w:r>
        <w:rPr>
          <w:rFonts w:cs="Times New Roman" w:ascii="Times New Roman" w:hAnsi="Times New Roman"/>
          <w:spacing w:val="0"/>
          <w:szCs w:val="26"/>
        </w:rPr>
        <w:t>13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שנות מאסר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חֶלֶף </w:t>
      </w:r>
      <w:r>
        <w:rPr>
          <w:rFonts w:cs="Times New Roman" w:ascii="Times New Roman" w:hAnsi="Times New Roman"/>
          <w:spacing w:val="0"/>
          <w:szCs w:val="26"/>
        </w:rPr>
        <w:t>14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בשל החיים הקשים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עד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מאד שהמערער חווה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וימשיך לחוות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באגף השמור של בית הסוהר כשהוא נתון לאיומים בשל היותו עד תביעה במשפט 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הריגה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לקולה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ערעור על חומרת עונש המאסר בפועל בן </w:t>
      </w:r>
      <w:r>
        <w:rPr>
          <w:rFonts w:cs="Times New Roman" w:ascii="Times New Roman" w:hAnsi="Times New Roman"/>
          <w:spacing w:val="0"/>
          <w:szCs w:val="26"/>
        </w:rPr>
        <w:t>14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השנים שנגזר על המערער על ידי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בעקבות הרשעתו בהריגה של לואי חיט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>מעשה ההריגה התרחש בעיר טירה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באותו יום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אחיו של המערער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שהה יחד עם ארוסתו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נ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.), </w:t>
      </w:r>
      <w:r>
        <w:rPr>
          <w:rFonts w:ascii="Times New Roman" w:hAnsi="Times New Roman" w:cs="Times New Roman"/>
          <w:spacing w:val="0"/>
          <w:szCs w:val="26"/>
          <w:rtl w:val="true"/>
        </w:rPr>
        <w:t>בעיר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בסביבתם נמצא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ארוסה הקודם של נ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הגיע למקום לבקשת עבד כאשר הוא נושא עמו סכין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הסכין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הבחין המערער כי המנוח החל להתקרב לאחיו ולארוסתו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שלף את הסכין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פתח את להבהּ והחל לדלוק אחרי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גם עבד החל ללכת לעבר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מיד לאחר מכן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הסתער על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וכך עשה גם עבד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במהלך התקיפה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דקר המערער את המנוח דקירה אחת באזור החזה והלב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ואילו עבד הלם בפניו של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כתוצאה מהתקיפה והדקירה המנוח נפטר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שטיין ובהסכמת המשנה לנשיאה מלצר והשופט מינץ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את הערעור בחלקו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עמד על כך שהקלות הבלתי נסבלת של השימוש בסכין ותרבות האלימות שמצמיחה אותה מחייבות תגובה שיפוטית נחושה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כוללת הטלת עונשי מאסר ארוכי שנים על נאשמים שנמצאו אשמים בקטילת חיי הזולת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מבחינה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העונש של </w:t>
      </w:r>
      <w:r>
        <w:rPr>
          <w:rFonts w:cs="Times New Roman" w:ascii="Times New Roman" w:hAnsi="Times New Roman"/>
          <w:spacing w:val="0"/>
          <w:szCs w:val="26"/>
        </w:rPr>
        <w:t>14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שהוטל על המערער נכון וראוי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בהתחשב בקרבתו היחסית לעונש המרבי של עשרים שנות מאסר שאותו ניתן להשית על נאשם שהורשע בהריגה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גרם למותו של המנוח שלא מתוך כוונת זדון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הוא עשה כן על ידי מעשה אסור תוך אדישות לאפשרות של גרימת המוות באמצעות אותו מעשה אסור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מבצעיהם של מעשי הריגה כגון זה נענשים ברגיל במאסר מאחורי סורג ובריח לתקופה שבין </w:t>
      </w:r>
      <w:r>
        <w:rPr>
          <w:rFonts w:cs="Times New Roman" w:ascii="Times New Roman" w:hAnsi="Times New Roman"/>
          <w:spacing w:val="0"/>
          <w:szCs w:val="26"/>
        </w:rPr>
        <w:t>13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המקרה דנן מיוחד בשל החיים הקשים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עד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מאד שהמערער חווה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וימשיך לחוות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באגף השמור של בית הסוהר כשהוא נתון לאיומים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מצא את עצמו כלוא באגף זה בשל היותו עד תביעה במשפט אחר – נסיבה מיוחדת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אם לא מיוחדת מאד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לאור הפרטים שנשמעו במהלך הדיון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ראוי להעמיד את עונש המאסר של המערער ברף התחתון של המתחם שנקבע לגביו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על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 המאסר שהושת על המערער יופחת לתקופה של </w:t>
      </w:r>
      <w:r>
        <w:rPr>
          <w:rFonts w:cs="Times New Roman" w:ascii="Times New Roman" w:hAnsi="Times New Roman"/>
          <w:spacing w:val="0"/>
          <w:szCs w:val="26"/>
        </w:rPr>
        <w:t>13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שנה בניכוי ימי מעצרו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שאר רכיבי גזר הדין יעמדו בעינם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ערעור זה מלין על חומרת העונש שנגזר על המערער על ידי בית המשפט המחוזי מרכז</w:t>
      </w:r>
      <w:r>
        <w:rPr>
          <w:rtl w:val="true"/>
        </w:rPr>
        <w:t>-</w:t>
      </w:r>
      <w:r>
        <w:rPr>
          <w:rtl w:val="true"/>
        </w:rPr>
        <w:t xml:space="preserve">לוד ביום </w:t>
      </w:r>
      <w:r>
        <w:rPr/>
        <w:t>18.11.2019</w:t>
      </w:r>
      <w:r>
        <w:rPr>
          <w:rtl w:val="true"/>
        </w:rPr>
        <w:t xml:space="preserve"> </w:t>
      </w:r>
      <w:r>
        <w:rPr>
          <w:rtl w:val="true"/>
        </w:rPr>
        <w:t xml:space="preserve">בגדרו של </w:t>
      </w:r>
      <w:hyperlink r:id="rId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40006-12-18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קובו</w:t>
      </w:r>
      <w:r>
        <w:rPr>
          <w:rtl w:val="true"/>
        </w:rPr>
        <w:t xml:space="preserve">), </w:t>
      </w:r>
      <w:r>
        <w:rPr>
          <w:rtl w:val="true"/>
        </w:rPr>
        <w:t>בעקבות הרשעתו בהריגה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 xml:space="preserve">העונש שהושת על המערער כולל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 מאסר בפועל שמניינן מיום מעצרו</w:t>
      </w:r>
      <w:r>
        <w:rPr>
          <w:rtl w:val="true"/>
        </w:rPr>
        <w:t xml:space="preserve">, </w:t>
      </w:r>
      <w:r>
        <w:rPr/>
        <w:t>7.11.2018</w:t>
      </w:r>
      <w:r>
        <w:rPr>
          <w:rtl w:val="true"/>
        </w:rPr>
        <w:t xml:space="preserve">, </w:t>
      </w:r>
      <w:r>
        <w:rPr>
          <w:rtl w:val="true"/>
        </w:rPr>
        <w:t xml:space="preserve">וכן מאסר מותנה ופיצוי כספי בסך של </w:t>
      </w:r>
      <w:r>
        <w:rPr/>
        <w:t>200,000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שעל המערער לשלמו להוריו של קורבן העבירה</w:t>
      </w:r>
      <w:r>
        <w:rPr>
          <w:rtl w:val="true"/>
        </w:rPr>
        <w:t xml:space="preserve">, </w:t>
      </w:r>
      <w:r>
        <w:rPr>
          <w:rtl w:val="true"/>
        </w:rPr>
        <w:t xml:space="preserve">המנוח </w:t>
      </w:r>
      <w:r>
        <w:rPr>
          <w:rFonts w:ascii="David" w:hAnsi="David" w:cs="David"/>
          <w:color w:val="000000"/>
          <w:rtl w:val="true"/>
        </w:rPr>
        <w:t>לואי חיט</w:t>
      </w:r>
      <w:r>
        <w:rPr>
          <w:rFonts w:ascii="David" w:hAnsi="David" w:cs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 w:cs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לואי</w:t>
      </w:r>
      <w:r>
        <w:rPr>
          <w:rFonts w:ascii="David" w:hAnsi="David" w:cs="David"/>
          <w:color w:val="000000"/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</w:t>
      </w:r>
      <w:r>
        <w:rPr>
          <w:rFonts w:cs="David" w:ascii="David" w:hAnsi="David"/>
          <w:color w:val="000000"/>
          <w:rtl w:val="true"/>
        </w:rPr>
        <w:t>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מופנה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בית משפט קמא השית על המערער עונש זה בהתבסס על העובדות הבאות</w:t>
      </w:r>
      <w:r>
        <w:rPr>
          <w:rtl w:val="true"/>
        </w:rPr>
        <w:t xml:space="preserve">, </w:t>
      </w:r>
      <w:r>
        <w:rPr>
          <w:rtl w:val="true"/>
        </w:rPr>
        <w:t>בהן המערער הודה במסגרתו של הסדר דיוני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31.10.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בעיר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טירה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אלרחים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סולטאנה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עבד</w:t>
      </w:r>
      <w:r>
        <w:rPr>
          <w:rtl w:val="true"/>
        </w:rPr>
        <w:t xml:space="preserve">),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בעיר</w:t>
      </w:r>
      <w:r>
        <w:rPr>
          <w:rtl w:val="true"/>
        </w:rPr>
        <w:t xml:space="preserve">. </w:t>
      </w:r>
      <w:r>
        <w:rPr>
          <w:rtl w:val="true"/>
        </w:rPr>
        <w:t>בסביבתם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העירייה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לואי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ארוסה הקודם של נ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ascii="David" w:hAnsi="David" w:cs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 w:cs="David"/>
          <w:color w:val="000000"/>
          <w:rtl w:val="true"/>
        </w:rPr>
        <w:t>עבד ונ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ascii="David" w:hAnsi="David" w:cs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 w:cs="David"/>
          <w:color w:val="000000"/>
          <w:rtl w:val="true"/>
        </w:rPr>
        <w:t xml:space="preserve">הבחינו בלואי בשעה שזה התהלך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והסתכל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לעברם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סלולרי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וביקשו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מקום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מתקפלת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הסכין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ומאחיו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ולואי</w:t>
      </w:r>
      <w:r>
        <w:rPr>
          <w:rtl w:val="true"/>
        </w:rPr>
        <w:t xml:space="preserve">. </w:t>
      </w:r>
      <w:r>
        <w:rPr>
          <w:rtl w:val="true"/>
        </w:rPr>
        <w:t>במהל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שיחה</w:t>
      </w:r>
      <w:r>
        <w:rPr>
          <w:rtl w:val="true"/>
        </w:rPr>
        <w:t xml:space="preserve">, </w:t>
      </w:r>
      <w:r>
        <w:rPr>
          <w:rtl w:val="true"/>
        </w:rPr>
        <w:t>החלו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דחיפות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</w:t>
      </w:r>
      <w:r>
        <w:rPr>
          <w:rtl w:val="true"/>
        </w:rPr>
        <w:t>וונם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תקרב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ולארוסתו</w:t>
      </w:r>
      <w:r>
        <w:rPr>
          <w:rtl w:val="true"/>
        </w:rPr>
        <w:t xml:space="preserve">, </w:t>
      </w:r>
      <w:r>
        <w:rPr>
          <w:rtl w:val="true"/>
        </w:rPr>
        <w:t>שלף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להבה</w:t>
      </w:r>
      <w:r>
        <w:rPr>
          <w:rtl w:val="true"/>
        </w:rPr>
        <w:t>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לדלוק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לואי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מושכת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מלהתעמת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לואי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לואי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מאחיזתה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,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והלב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תוקפיו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סמוכה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מנופף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המרדף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זרק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בקרקע</w:t>
      </w:r>
      <w:r>
        <w:rPr>
          <w:rtl w:val="true"/>
        </w:rPr>
        <w:t xml:space="preserve">. </w:t>
      </w:r>
      <w:r>
        <w:rPr>
          <w:rtl w:val="true"/>
        </w:rPr>
        <w:t>לואי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ומדמם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התמוטט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לסמטה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פצע</w:t>
      </w:r>
      <w:r>
        <w:rPr>
          <w:rtl w:val="true"/>
        </w:rPr>
        <w:t>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לואי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</w:t>
      </w:r>
      <w:r>
        <w:rPr>
          <w:rtl w:val="true"/>
        </w:rPr>
        <w:t>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והסתתרו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7.11.</w:t>
      </w:r>
      <w:r>
        <w:rPr/>
        <w:t>20</w:t>
      </w:r>
      <w:r>
        <w:rPr/>
        <w:t>18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הבריחה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זרק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טירה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שאחיו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לואי</w:t>
      </w:r>
      <w:r>
        <w:rPr>
          <w:rtl w:val="true"/>
        </w:rPr>
        <w:t xml:space="preserve">; </w:t>
      </w:r>
      <w:r>
        <w:rPr>
          <w:rtl w:val="true"/>
        </w:rPr>
        <w:t>מסיבה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בבואו לגזור את עונש המאסר שהשית על המערער</w:t>
      </w:r>
      <w:r>
        <w:rPr>
          <w:rtl w:val="true"/>
        </w:rPr>
        <w:t xml:space="preserve">, </w:t>
      </w:r>
      <w:r>
        <w:rPr>
          <w:rtl w:val="true"/>
        </w:rPr>
        <w:t>קבע בית משפט קמא את מתחם העונש ההולם בגין מעשי הריגה שבוצעו בנסיבות דומות</w:t>
      </w:r>
      <w:r>
        <w:rPr>
          <w:rtl w:val="true"/>
        </w:rPr>
        <w:t xml:space="preserve">. </w:t>
      </w:r>
      <w:r>
        <w:rPr>
          <w:rtl w:val="true"/>
        </w:rPr>
        <w:t xml:space="preserve">מתחם זה נקבע על יסוד פסקי דין שנסקרו על ידי בית המשפט והועמד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/>
        <w:t>18-13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עמד בית המשפט על נסיבותיו של המערער שאינן קשורות לביצוע העבירה</w:t>
      </w:r>
      <w:r>
        <w:rPr>
          <w:rtl w:val="true"/>
        </w:rPr>
        <w:t xml:space="preserve">, </w:t>
      </w:r>
      <w:r>
        <w:rPr>
          <w:rtl w:val="true"/>
        </w:rPr>
        <w:t>ובהן</w:t>
      </w:r>
      <w:r>
        <w:rPr>
          <w:rtl w:val="true"/>
        </w:rPr>
        <w:t xml:space="preserve">: </w:t>
      </w:r>
      <w:r>
        <w:rPr>
          <w:rtl w:val="true"/>
        </w:rPr>
        <w:t xml:space="preserve">היותו צעיר יחסית </w:t>
      </w:r>
      <w:r>
        <w:rPr>
          <w:rtl w:val="true"/>
        </w:rPr>
        <w:t>(</w:t>
      </w:r>
      <w:r>
        <w:rPr>
          <w:rtl w:val="true"/>
        </w:rPr>
        <w:t xml:space="preserve">בן </w:t>
      </w:r>
      <w:r>
        <w:rPr/>
        <w:t>24</w:t>
      </w:r>
      <w:r>
        <w:rPr>
          <w:rtl w:val="true"/>
        </w:rPr>
        <w:t xml:space="preserve">); </w:t>
      </w:r>
      <w:r>
        <w:rPr>
          <w:rtl w:val="true"/>
        </w:rPr>
        <w:t>היותו נטול עבר פלילי רלבנטי</w:t>
      </w:r>
      <w:r>
        <w:rPr>
          <w:rtl w:val="true"/>
        </w:rPr>
        <w:t xml:space="preserve">; </w:t>
      </w:r>
      <w:r>
        <w:rPr>
          <w:rtl w:val="true"/>
        </w:rPr>
        <w:t>האיומים שאליהם הוא נחשף על לא עוול בכפו</w:t>
      </w:r>
      <w:r>
        <w:rPr>
          <w:rtl w:val="true"/>
        </w:rPr>
        <w:t xml:space="preserve">, </w:t>
      </w:r>
      <w:r>
        <w:rPr>
          <w:rtl w:val="true"/>
        </w:rPr>
        <w:t>בהיותו עד תביעה במשפט פלילי אחר</w:t>
      </w:r>
      <w:r>
        <w:rPr>
          <w:rtl w:val="true"/>
        </w:rPr>
        <w:t xml:space="preserve">; </w:t>
      </w:r>
      <w:r>
        <w:rPr>
          <w:rtl w:val="true"/>
        </w:rPr>
        <w:t>העובדה שאיומים אלה הצריכו את החזקתו באגף כלא שמור תחת מגבלות שונות אשר חלות על יציאות לחצר הכלא</w:t>
      </w:r>
      <w:r>
        <w:rPr>
          <w:rtl w:val="true"/>
        </w:rPr>
        <w:t xml:space="preserve">, </w:t>
      </w:r>
      <w:r>
        <w:rPr>
          <w:rtl w:val="true"/>
        </w:rPr>
        <w:t>על תדירות הביקורים ועל אופיים</w:t>
      </w:r>
      <w:r>
        <w:rPr>
          <w:rtl w:val="true"/>
        </w:rPr>
        <w:t xml:space="preserve">, </w:t>
      </w:r>
      <w:r>
        <w:rPr>
          <w:rtl w:val="true"/>
        </w:rPr>
        <w:t>על השתתפות האסיר בקבוצות טיפול ושיקום</w:t>
      </w:r>
      <w:r>
        <w:rPr>
          <w:rtl w:val="true"/>
        </w:rPr>
        <w:t xml:space="preserve">, </w:t>
      </w:r>
      <w:r>
        <w:rPr>
          <w:rtl w:val="true"/>
        </w:rPr>
        <w:t>על חינוך ותעסוקה</w:t>
      </w:r>
      <w:r>
        <w:rPr>
          <w:rtl w:val="true"/>
        </w:rPr>
        <w:t xml:space="preserve">, </w:t>
      </w:r>
      <w:r>
        <w:rPr>
          <w:rtl w:val="true"/>
        </w:rPr>
        <w:t>על שימוש בטלפון</w:t>
      </w:r>
      <w:r>
        <w:rPr>
          <w:rtl w:val="true"/>
        </w:rPr>
        <w:t xml:space="preserve">, </w:t>
      </w:r>
      <w:r>
        <w:rPr>
          <w:rtl w:val="true"/>
        </w:rPr>
        <w:t>וכן מגבלות משמעותיות נוספות הנוגעות ליצירת קשר עם העולם שמחוץ לכלא</w:t>
      </w:r>
      <w:r>
        <w:rPr>
          <w:rtl w:val="true"/>
        </w:rPr>
        <w:t xml:space="preserve">. </w:t>
      </w:r>
      <w:r>
        <w:rPr>
          <w:rtl w:val="true"/>
        </w:rPr>
        <w:t>כמו כן נלקחו בחשבון העובדה שכליאתו של המערער הביאה לפגיעה כלכלית קשה במשפחתו ולהבאת העסק המשפחתי בו עבד אל סף קריסה</w:t>
      </w:r>
      <w:r>
        <w:rPr>
          <w:rtl w:val="true"/>
        </w:rPr>
        <w:t xml:space="preserve">, </w:t>
      </w:r>
      <w:r>
        <w:rPr>
          <w:rtl w:val="true"/>
        </w:rPr>
        <w:t>וכן ניסיון הסולחה עם משפחת המנוח שבמסגרתו נטל המערער אחריות למעשיו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 xml:space="preserve">זקף בית המשפט לחובת המערער את חומרתם המופלגת של מעשיו </w:t>
      </w:r>
      <w:r>
        <w:rPr>
          <w:rtl w:val="true"/>
        </w:rPr>
        <w:t>–</w:t>
      </w:r>
      <w:r>
        <w:rPr>
          <w:rtl w:val="true"/>
        </w:rPr>
        <w:t xml:space="preserve"> שכאמור כללו </w:t>
      </w:r>
      <w:r>
        <w:rPr>
          <w:rtl w:val="true"/>
        </w:rPr>
        <w:t>"</w:t>
      </w:r>
      <w:r>
        <w:rPr>
          <w:rtl w:val="true"/>
        </w:rPr>
        <w:t>דקירה באמצעות סכין</w:t>
      </w:r>
      <w:r>
        <w:rPr>
          <w:rtl w:val="true"/>
        </w:rPr>
        <w:t xml:space="preserve">, </w:t>
      </w:r>
      <w:r>
        <w:rPr>
          <w:rtl w:val="true"/>
        </w:rPr>
        <w:t>אשר גרמה לתוצאה קשה מכל של גדיעת חיי אדם</w:t>
      </w:r>
      <w:r>
        <w:rPr>
          <w:rtl w:val="true"/>
        </w:rPr>
        <w:t xml:space="preserve">, </w:t>
      </w:r>
      <w:r>
        <w:rPr>
          <w:rtl w:val="true"/>
        </w:rPr>
        <w:t>וזאת על רקע מחלוקת סתמית על דבר של מה בכך</w:t>
      </w:r>
      <w:r>
        <w:rPr>
          <w:rtl w:val="true"/>
        </w:rPr>
        <w:t xml:space="preserve">"; </w:t>
      </w:r>
      <w:r>
        <w:rPr>
          <w:rtl w:val="true"/>
        </w:rPr>
        <w:t>וכן את הצורך החברתי בהרתעת רבים מפני עשיית מעשים חסרי רסן כגון אלו</w:t>
      </w:r>
      <w:r>
        <w:rPr>
          <w:rtl w:val="true"/>
        </w:rPr>
        <w:t xml:space="preserve">. </w:t>
      </w:r>
      <w:r>
        <w:rPr>
          <w:rtl w:val="true"/>
        </w:rPr>
        <w:t>שיקולים אלה הביאו את בית משפט קמא למסקנה כי מן הדין להטיל על המערער מאסר בפועל למשך ארבע עשרה שנים</w:t>
      </w:r>
      <w:r>
        <w:rPr>
          <w:rtl w:val="true"/>
        </w:rPr>
        <w:t xml:space="preserve">, </w:t>
      </w:r>
      <w:r>
        <w:rPr>
          <w:rtl w:val="true"/>
        </w:rPr>
        <w:t>בניכוי ימי מעצרו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במסגרת הודעת הערעור ובמהלך הדיון שהתקיים לפנינו</w:t>
      </w:r>
      <w:r>
        <w:rPr>
          <w:rtl w:val="true"/>
        </w:rPr>
        <w:t xml:space="preserve">, </w:t>
      </w:r>
      <w:r>
        <w:rPr>
          <w:rtl w:val="true"/>
        </w:rPr>
        <w:t>הביע המערער צער וחרטה על מעשיו ופירט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את הקשיים שאותם הוא חווה באגף השמור של הכלא</w:t>
      </w:r>
      <w:r>
        <w:rPr>
          <w:rtl w:val="true"/>
        </w:rPr>
        <w:t xml:space="preserve">. </w:t>
      </w:r>
      <w:r>
        <w:rPr>
          <w:rtl w:val="true"/>
        </w:rPr>
        <w:t>המערער ביקש מאתנו כי נתחשב בקשיים אלו ונפחית מתקופת מאסרו ככל שניתן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סומכת את ידיה על פסק הדין קמא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בפסק דין זה לא נפל שום פגם אשר יכול להצדיק את התערבותה של ערכאת הערעור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לאחר ששבתי ועיינתי בכתובים ושקלתי את הטענות שבעלי הדין העלו בעל פה במהלך הדיון שנערך לפנינו</w:t>
      </w:r>
      <w:r>
        <w:rPr>
          <w:rtl w:val="true"/>
        </w:rPr>
        <w:t xml:space="preserve">, </w:t>
      </w:r>
      <w:r>
        <w:rPr>
          <w:rtl w:val="true"/>
        </w:rPr>
        <w:t>הגעתי למסקנה כי דין הערעור להתקבל באופן חלקי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לית מאן דפליג</w:t>
      </w:r>
      <w:r>
        <w:rPr>
          <w:rtl w:val="true"/>
        </w:rPr>
        <w:t xml:space="preserve">, </w:t>
      </w:r>
      <w:r>
        <w:rPr>
          <w:rtl w:val="true"/>
        </w:rPr>
        <w:t>כי הקלות הבלתי נסבלת של השימוש בסכין ותרבות האלימות שמצמיחה אותה מחייבות תגובה שיפוטית נחושה</w:t>
      </w:r>
      <w:r>
        <w:rPr>
          <w:rtl w:val="true"/>
        </w:rPr>
        <w:t xml:space="preserve">, </w:t>
      </w:r>
      <w:r>
        <w:rPr>
          <w:rtl w:val="true"/>
        </w:rPr>
        <w:t>אשר כוללת הטלת עונשי מאסר ארוכי שנים על נאשמים שנמצאו אשמים בקטילת חיי הזולת</w:t>
      </w:r>
      <w:r>
        <w:rPr>
          <w:rtl w:val="true"/>
        </w:rPr>
        <w:t xml:space="preserve">. </w:t>
      </w:r>
      <w:r>
        <w:rPr>
          <w:rtl w:val="true"/>
        </w:rPr>
        <w:t>מבחינה זו</w:t>
      </w:r>
      <w:r>
        <w:rPr>
          <w:rtl w:val="true"/>
        </w:rPr>
        <w:t xml:space="preserve">, </w:t>
      </w:r>
      <w:r>
        <w:rPr>
          <w:rtl w:val="true"/>
        </w:rPr>
        <w:t>העונש של ארבע</w:t>
      </w:r>
      <w:r>
        <w:rPr>
          <w:rtl w:val="true"/>
        </w:rPr>
        <w:t>-</w:t>
      </w:r>
      <w:r>
        <w:rPr>
          <w:rtl w:val="true"/>
        </w:rPr>
        <w:t>עשרה שנות מאסר שהוטל על המערער על ידי בית משפט קמא הוא עונש נכון וראוי</w:t>
      </w:r>
      <w:r>
        <w:rPr>
          <w:rtl w:val="true"/>
        </w:rPr>
        <w:t xml:space="preserve">, </w:t>
      </w:r>
      <w:r>
        <w:rPr>
          <w:rtl w:val="true"/>
        </w:rPr>
        <w:t>בהתחשב בקרבתו היחסית לעונש המרבי של עשרים שנות מאסר שאותו ניתן להשית על נאשם שהורשע בהריגה</w:t>
      </w:r>
      <w:r>
        <w:rPr>
          <w:rtl w:val="true"/>
        </w:rPr>
        <w:t xml:space="preserve">. </w:t>
      </w:r>
      <w:r>
        <w:rPr>
          <w:rtl w:val="true"/>
        </w:rPr>
        <w:t>ברי הוא</w:t>
      </w:r>
      <w:r>
        <w:rPr>
          <w:rtl w:val="true"/>
        </w:rPr>
        <w:t xml:space="preserve">, </w:t>
      </w:r>
      <w:r>
        <w:rPr>
          <w:rtl w:val="true"/>
        </w:rPr>
        <w:t>כי הנאשם גרם למותו של המנוח שלא מתוך כוונת זדון</w:t>
      </w:r>
      <w:r>
        <w:rPr>
          <w:rtl w:val="true"/>
        </w:rPr>
        <w:t xml:space="preserve">, </w:t>
      </w:r>
      <w:r>
        <w:rPr>
          <w:rtl w:val="true"/>
        </w:rPr>
        <w:t xml:space="preserve">אך הוא עשה כן </w:t>
      </w:r>
      <w:r>
        <w:rPr>
          <w:rtl w:val="true"/>
        </w:rPr>
        <w:t>–</w:t>
      </w:r>
      <w:r>
        <w:rPr>
          <w:rtl w:val="true"/>
        </w:rPr>
        <w:t xml:space="preserve"> כאמור בכתב האישום המתוקן בו הודה </w:t>
      </w:r>
      <w:r>
        <w:rPr>
          <w:rtl w:val="true"/>
        </w:rPr>
        <w:t>–</w:t>
      </w:r>
      <w:r>
        <w:rPr>
          <w:rtl w:val="true"/>
        </w:rPr>
        <w:t xml:space="preserve"> על ידי מעשה אסור תוך אדישות לאפשרות של גרימת המוות באמצעות אותו מעשה אסור</w:t>
      </w:r>
      <w:r>
        <w:rPr>
          <w:rtl w:val="true"/>
        </w:rPr>
        <w:t xml:space="preserve">. </w:t>
      </w:r>
      <w:r>
        <w:rPr>
          <w:rtl w:val="true"/>
        </w:rPr>
        <w:t>בצדק אפוא ציין בית משפט קמא בגזר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כי מבצעיהם של מעשי הריגה כגון זה נענשים ברגיל במאסר מאחורי סורג ובריח לתקופה שבין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שנים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6162/10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11.6.2013</w:t>
      </w:r>
      <w:r>
        <w:rPr>
          <w:rtl w:val="true"/>
        </w:rPr>
        <w:t xml:space="preserve">); 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6477/10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מינליק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8.1.2013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1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4705/11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29.6.2014</w:t>
      </w:r>
      <w:r>
        <w:rPr>
          <w:rFonts w:cs="Century" w:ascii="Century" w:hAnsi="Century"/>
          <w:sz w:val="22"/>
          <w:rtl w:val="true"/>
        </w:rPr>
        <w:t>))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המקרה שלפנינו הוא מקרה מיוחד בשל החיים הקשים</w:t>
      </w:r>
      <w:r>
        <w:rPr>
          <w:rtl w:val="true"/>
        </w:rPr>
        <w:t>-</w:t>
      </w:r>
      <w:r>
        <w:rPr>
          <w:rtl w:val="true"/>
        </w:rPr>
        <w:t>עד</w:t>
      </w:r>
      <w:r>
        <w:rPr>
          <w:rtl w:val="true"/>
        </w:rPr>
        <w:t>-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tl w:val="true"/>
        </w:rPr>
        <w:t>עליהם שמענו במהלך הדיון</w:t>
      </w:r>
      <w:r>
        <w:rPr>
          <w:rtl w:val="true"/>
        </w:rPr>
        <w:t xml:space="preserve">, </w:t>
      </w:r>
      <w:r>
        <w:rPr>
          <w:rtl w:val="true"/>
        </w:rPr>
        <w:t xml:space="preserve">שהמערער חווה </w:t>
      </w:r>
      <w:r>
        <w:rPr>
          <w:rtl w:val="true"/>
        </w:rPr>
        <w:t>–</w:t>
      </w:r>
      <w:r>
        <w:rPr>
          <w:rtl w:val="true"/>
        </w:rPr>
        <w:t xml:space="preserve"> וימשיך לחוות </w:t>
      </w:r>
      <w:r>
        <w:rPr>
          <w:rtl w:val="true"/>
        </w:rPr>
        <w:t>–</w:t>
      </w:r>
      <w:r>
        <w:rPr>
          <w:rtl w:val="true"/>
        </w:rPr>
        <w:t xml:space="preserve"> באגף השמור של בית הסוהר כשהוא נתון לאיומים</w:t>
      </w:r>
      <w:r>
        <w:rPr>
          <w:rtl w:val="true"/>
        </w:rPr>
        <w:t xml:space="preserve">. </w:t>
      </w:r>
      <w:r>
        <w:rPr>
          <w:rtl w:val="true"/>
        </w:rPr>
        <w:t xml:space="preserve">המערער מצא את עצמו כלוא באגף זה בשל היותו עד תביעה במשפט אחר </w:t>
      </w:r>
      <w:r>
        <w:rPr>
          <w:rtl w:val="true"/>
        </w:rPr>
        <w:t>–</w:t>
      </w:r>
      <w:r>
        <w:rPr>
          <w:rtl w:val="true"/>
        </w:rPr>
        <w:t xml:space="preserve"> נסיבה מיוחדת</w:t>
      </w:r>
      <w:r>
        <w:rPr>
          <w:rtl w:val="true"/>
        </w:rPr>
        <w:t xml:space="preserve">, </w:t>
      </w:r>
      <w:r>
        <w:rPr>
          <w:rtl w:val="true"/>
        </w:rPr>
        <w:t>אם לא מיוחדת מאד</w:t>
      </w:r>
      <w:r>
        <w:rPr>
          <w:rtl w:val="true"/>
        </w:rPr>
        <w:t xml:space="preserve">, </w:t>
      </w:r>
      <w:r>
        <w:rPr>
          <w:rtl w:val="true"/>
        </w:rPr>
        <w:t>שהמדינה לא חולקת על קיומה ואנוכי לא רואה טעם לפרטה מסיבות מובנות</w:t>
      </w:r>
      <w:r>
        <w:rPr>
          <w:rtl w:val="true"/>
        </w:rPr>
        <w:t xml:space="preserve">. </w:t>
      </w:r>
      <w:r>
        <w:rPr>
          <w:rtl w:val="true"/>
        </w:rPr>
        <w:t>לאור הפרטים ששמענו במהלך הדיון</w:t>
      </w:r>
      <w:r>
        <w:rPr>
          <w:rtl w:val="true"/>
        </w:rPr>
        <w:t xml:space="preserve">, </w:t>
      </w:r>
      <w:r>
        <w:rPr>
          <w:rtl w:val="true"/>
        </w:rPr>
        <w:t xml:space="preserve">סבורני שראוי להעמיד את עונש המאסר של המערער ברף התחתון של המתחם שנקבע לגביו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5833/12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12.9.2013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1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4456/14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קלנר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192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פוגלמן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29.12.2015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 xml:space="preserve">אציע לחבריי להפחית את עונש המאסר שהושת על המערער לתקופה של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שנה בניכוי ימי מעצרו</w:t>
      </w:r>
      <w:r>
        <w:rPr>
          <w:rtl w:val="true"/>
        </w:rPr>
        <w:t xml:space="preserve">. </w:t>
      </w:r>
      <w:r>
        <w:rPr>
          <w:rtl w:val="true"/>
        </w:rPr>
        <w:t>שאר רכיבי גזר הדין יעמדו בעינם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המשנה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לנשיאה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מלצר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2"/>
        <w:gridCol w:w="2782"/>
        <w:gridCol w:w="2799"/>
      </w:tblGrid>
      <w:tr>
        <w:trPr/>
        <w:tc>
          <w:tcPr>
            <w:tcW w:w="2782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2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9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מינץ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6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ט‏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15.3.2020</w:t>
      </w:r>
      <w:r>
        <w:rPr>
          <w:rtl w:val="true"/>
        </w:rPr>
        <w:t xml:space="preserve">). </w:t>
      </w:r>
      <w:bookmarkEnd w:id="16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3"/>
        <w:gridCol w:w="2783"/>
      </w:tblGrid>
      <w:tr>
        <w:trPr/>
        <w:tc>
          <w:tcPr>
            <w:tcW w:w="279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20000570</w:t>
      </w:r>
      <w:r>
        <w:rPr>
          <w:sz w:val="16"/>
          <w:rtl w:val="true"/>
        </w:rPr>
        <w:t>_</w:t>
      </w:r>
      <w:r>
        <w:rPr>
          <w:sz w:val="16"/>
        </w:rPr>
        <w:t>F01.docx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3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מינץ </w:t>
      </w:r>
      <w:r>
        <w:rPr>
          <w:rFonts w:cs="David" w:ascii="David" w:hAnsi="David"/>
          <w:color w:val="000000"/>
          <w:szCs w:val="22"/>
        </w:rPr>
        <w:t>54678313-57/20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5"/>
      <w:footerReference w:type="default" r:id="rId1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57/20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;Times New Roman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23871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8" TargetMode="External"/><Relationship Id="rId5" Type="http://schemas.openxmlformats.org/officeDocument/2006/relationships/hyperlink" Target="http://www.nevo.co.il/case/25238713" TargetMode="External"/><Relationship Id="rId6" Type="http://schemas.openxmlformats.org/officeDocument/2006/relationships/hyperlink" Target="http://www.nevo.co.il/law/70301/298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5826590" TargetMode="External"/><Relationship Id="rId9" Type="http://schemas.openxmlformats.org/officeDocument/2006/relationships/hyperlink" Target="http://www.nevo.co.il/case/6068193" TargetMode="External"/><Relationship Id="rId10" Type="http://schemas.openxmlformats.org/officeDocument/2006/relationships/hyperlink" Target="http://www.nevo.co.il/case/5787524" TargetMode="External"/><Relationship Id="rId11" Type="http://schemas.openxmlformats.org/officeDocument/2006/relationships/hyperlink" Target="http://www.nevo.co.il/case/5591978" TargetMode="External"/><Relationship Id="rId12" Type="http://schemas.openxmlformats.org/officeDocument/2006/relationships/hyperlink" Target="http://www.nevo.co.il/case/17015235" TargetMode="External"/><Relationship Id="rId13" Type="http://schemas.openxmlformats.org/officeDocument/2006/relationships/hyperlink" Target="http://supreme.court.gov.il/" TargetMode="External"/><Relationship Id="rId14" Type="http://schemas.openxmlformats.org/officeDocument/2006/relationships/hyperlink" Target="http://www.nevo.co.il/advertisements/nevo-100.doc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2020-03-16T09:01:00Z</dcterms:created>
  <dc:creator>h4</dc:creator>
  <dc:description/>
  <cp:keywords/>
  <dc:language>en-IL</dc:language>
  <cp:lastModifiedBy>orly</cp:lastModifiedBy>
  <cp:lastPrinted>2020-03-15T09:07:00Z</cp:lastPrinted>
  <dcterms:modified xsi:type="dcterms:W3CDTF">2020-03-16T09:01:00Z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25238713:2;5826590;6068193;5787524;5591978;17015235</vt:lpwstr>
  </property>
  <property fmtid="{D5CDD505-2E9C-101B-9397-08002B2CF9AE}" pid="9" name="CITY">
    <vt:lpwstr/>
  </property>
  <property fmtid="{D5CDD505-2E9C-101B-9397-08002B2CF9AE}" pid="10" name="DATE">
    <vt:lpwstr>20200315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ד' מינץ;א' שטיין;ח' מלצר</vt:lpwstr>
  </property>
  <property fmtid="{D5CDD505-2E9C-101B-9397-08002B2CF9AE}" pid="14" name="LAWLISTTMP1">
    <vt:lpwstr>70301/298</vt:lpwstr>
  </property>
  <property fmtid="{D5CDD505-2E9C-101B-9397-08002B2CF9AE}" pid="15" name="LAWYER">
    <vt:lpwstr>אושרה פטל רוזנברג;דוד יפתח;מאור שגב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</vt:lpwstr>
  </property>
  <property fmtid="{D5CDD505-2E9C-101B-9397-08002B2CF9AE}" pid="48" name="NOSE31">
    <vt:lpwstr>מדיניות ענישה: הריגה</vt:lpwstr>
  </property>
  <property fmtid="{D5CDD505-2E9C-101B-9397-08002B2CF9AE}" pid="49" name="NOSE310">
    <vt:lpwstr/>
  </property>
  <property fmtid="{D5CDD505-2E9C-101B-9397-08002B2CF9AE}" pid="50" name="NOSE32">
    <vt:lpwstr>מדיניות ענישה: שיקולים לקולה</vt:lpwstr>
  </property>
  <property fmtid="{D5CDD505-2E9C-101B-9397-08002B2CF9AE}" pid="51" name="NOSE33">
    <vt:lpwstr>מדיניות ענישה: התערבות ערכאת ערעור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14739;8996;8982</vt:lpwstr>
  </property>
  <property fmtid="{D5CDD505-2E9C-101B-9397-08002B2CF9AE}" pid="59" name="PADIDATE">
    <vt:lpwstr>20200316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57</vt:lpwstr>
  </property>
  <property fmtid="{D5CDD505-2E9C-101B-9397-08002B2CF9AE}" pid="65" name="PROCYEAR">
    <vt:lpwstr>20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410120200315</vt:lpwstr>
  </property>
  <property fmtid="{D5CDD505-2E9C-101B-9397-08002B2CF9AE}" pid="69" name="TYPE_N_DATE">
    <vt:lpwstr>41020200315</vt:lpwstr>
  </property>
  <property fmtid="{D5CDD505-2E9C-101B-9397-08002B2CF9AE}" pid="70" name="VOLUME">
    <vt:lpwstr/>
  </property>
  <property fmtid="{D5CDD505-2E9C-101B-9397-08002B2CF9AE}" pid="71" name="WORDNUMPAGES">
    <vt:lpwstr>6</vt:lpwstr>
  </property>
</Properties>
</file>