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5705/20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53411-02-19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7.5.2020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משניות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03.05.2021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הולנדר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זיקרי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הולנדר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קידר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108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בּתה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בודדת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המאוחרת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הכחשה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נפקותה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בּתה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12-11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בודדת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גרוסקופף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המאוחרת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סיטואציה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שיבטיח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ובהגנתו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דרישות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המצטיירת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תמיהות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והרושם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שסיפרה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כנעוצים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בלחץ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ממחקרים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שנחשפו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11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לתיקון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דיני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הגנת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ילדים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הכחשתו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המתבקשת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משמעיים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מסייעת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המחדלים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קיפחו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השתלשלות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בהודעותיה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שיגבה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בוריה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FrankRuehl"/>
          <w:sz w:val="24"/>
          <w:szCs w:val="26"/>
          <w:rtl w:val="true"/>
        </w:rPr>
        <w:t xml:space="preserve">."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שיאמרו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אֵם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ואביה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נגישותה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מיטיבה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האֵם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לאביה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הביולוגי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4"/>
          <w:szCs w:val="24"/>
          <w:u w:val="single"/>
        </w:rPr>
      </w:pPr>
      <w:r>
        <w:rPr>
          <w:rFonts w:cs="Miriam" w:ascii="Century" w:hAnsi="Century"/>
          <w:b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רז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משניות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53411-02-19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7.5.2020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1.7.2020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בגדרם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ּתה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בתקיפה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בודדת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מעצרו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70,000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18"/>
          <w:szCs w:val="28"/>
        </w:rPr>
      </w:pPr>
      <w:r>
        <w:rPr>
          <w:rFonts w:cs="FrankRuehl" w:ascii="Century" w:hAnsi="Century"/>
          <w:spacing w:val="10"/>
          <w:sz w:val="18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ואמהּ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(</w:t>
      </w:r>
      <w:r>
        <w:rPr>
          <w:rtl w:val="true"/>
        </w:rPr>
        <w:t>בארבע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וקיים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האֵם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שהתגוררו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ואחות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eastAsia="Arial TUR" w:cs="Arial TUR"/>
          <w:rtl w:val="true"/>
        </w:rPr>
        <w:t xml:space="preserve"> </w:t>
      </w:r>
      <w:r>
        <w:rPr/>
        <w:t>12-11</w:t>
      </w:r>
      <w:r>
        <w:rPr>
          <w:rtl w:val="true"/>
        </w:rPr>
        <w:t xml:space="preserve">, </w:t>
      </w:r>
      <w:r>
        <w:rPr>
          <w:rtl w:val="true"/>
        </w:rPr>
        <w:t>בהזדמנויות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הושיבה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,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במקרה אחר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המערער נכנס לחדרה של המתלוננת בשעות הצהריים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כשהוא לבוש בתחתונים בלבד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והתיישב על כיסא שהושאר עליו 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סליים</w:t>
      </w:r>
      <w:r>
        <w:rPr>
          <w:rFonts w:cs="Garamond" w:ascii="Garamond" w:hAnsi="Garamond"/>
          <w:sz w:val="24"/>
          <w:rtl w:val="true"/>
        </w:rPr>
        <w:t>" (</w:t>
      </w:r>
      <w:r>
        <w:rPr>
          <w:rFonts w:ascii="Garamond" w:hAnsi="Garamond" w:cs="Garamond"/>
          <w:sz w:val="24"/>
          <w:sz w:val="24"/>
          <w:rtl w:val="true"/>
        </w:rPr>
        <w:t>חומר דביק דמוי גומי המשמש למשחק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אשר נדבק לתחתוניו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המערער הסיר את תחתוניו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נותר עירום והורה למתלוננת לנקות את ה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סליים</w:t>
      </w:r>
      <w:r>
        <w:rPr>
          <w:rFonts w:cs="Garamond" w:ascii="Garamond" w:hAnsi="Garamond"/>
          <w:sz w:val="24"/>
          <w:rtl w:val="true"/>
        </w:rPr>
        <w:t xml:space="preserve">" </w:t>
      </w:r>
      <w:r>
        <w:rPr>
          <w:rFonts w:ascii="Garamond" w:hAnsi="Garamond" w:cs="Garamond"/>
          <w:sz w:val="24"/>
          <w:sz w:val="24"/>
          <w:rtl w:val="true"/>
        </w:rPr>
        <w:t>מהתחתונים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בהזדמנות זו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הציע המערער למתלוננת לגעת באיבר מינו החשוף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משעשתה כן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לקח המערער את ידה והובילה לגעת בכל איבר מינו ובאשכיו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כשבידו השניה החזיק את דלת החדר ומנע מאחיה הקטנים של המתלוננת להיכנס</w:t>
      </w:r>
      <w:r>
        <w:rPr>
          <w:rFonts w:cs="Garamond" w:ascii="Garamond" w:hAnsi="Garamond"/>
          <w:sz w:val="24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באירוע נוסף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המערער ליקק את איבר מינה של המתלוננת כאשר שכבה במיטתה והיתה ערומה בפלג גופה התחתון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באירוע אחר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בשעת ערב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כאשר שכבה המתלוננת במיטתה בכוונה לישון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נשכב המערער לצידה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שוחח עמה על יומה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תוך שהכניס את ידו מתחת לשמיכה ומתחת לבגדיה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בהזדמנות זו נגע המערער בבטנה של המתלוננת והניע את ידו בתנועה מעגלית אל איבר מינה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לאחר מכן נגע באיבר מינה באצבעותיו מבלי להניע את ידו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בשני מקרים נוספים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בשעה שהמתלוננת התקלחה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נכנס המערער לחדר האמבטיה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הסיר את בגדיו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וכשהוא עירום ועומד סמוך למתלוננת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שטף את שיערה וסיבן את גבה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בשתי הזדמנויות נוספות תקף המערער את המתלוננת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במקרה אחד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המערער הפיל את המתלוננת על הרצפה במסדרון הבית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אחז בה בצווארה בידו האחת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ובידו השניה היכה אותה בחוזקה באמצעות נעל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במקרה אחר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המערער היכה את המתלוננת בישבנה באמצעות חגורה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במקרה נוסף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בתקופה הרלוונטית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היכה המערער את אחיה של המתלוננת בישבנו באמצעות חגורה</w:t>
      </w:r>
      <w:r>
        <w:rPr>
          <w:rFonts w:cs="Garamond" w:ascii="Garamond" w:hAnsi="Garamond"/>
          <w:sz w:val="24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Miriam" w:ascii="Century" w:hAnsi="Century"/>
          <w:b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חקירותיה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tl w:val="true"/>
        </w:rPr>
        <w:t xml:space="preserve">, </w:t>
      </w:r>
      <w:r>
        <w:rPr>
          <w:rtl w:val="true"/>
        </w:rPr>
        <w:t>ואותן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והטיפול</w:t>
      </w:r>
      <w:r>
        <w:rPr>
          <w:rtl w:val="true"/>
        </w:rPr>
        <w:t xml:space="preserve">, </w:t>
      </w:r>
      <w:r>
        <w:rPr>
          <w:rtl w:val="true"/>
        </w:rPr>
        <w:t>וחברתה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אֵם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העלילה</w:t>
      </w:r>
      <w:r>
        <w:rPr>
          <w:rtl w:val="true"/>
        </w:rPr>
        <w:t xml:space="preserve">"),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</w:rPr>
        <w:t>5</w:t>
      </w:r>
      <w:r>
        <w:rPr>
          <w:rFonts w:cs="Garamond" w:ascii="Garamond" w:hAnsi="Garamond"/>
          <w:sz w:val="24"/>
          <w:rtl w:val="true"/>
        </w:rPr>
        <w:t>.</w:t>
        <w:tab/>
      </w:r>
      <w:r>
        <w:rPr>
          <w:rFonts w:ascii="Garamond" w:hAnsi="Garamond" w:cs="Garamond"/>
          <w:sz w:val="24"/>
          <w:sz w:val="24"/>
          <w:rtl w:val="true"/>
        </w:rPr>
        <w:t>במוקד התשתית הראייתית עמדו הודעותיה של המתלוננת בפני חוקרת הילדים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אשר לגביהן קבע בית המשפט המחוזי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כי מדובר בעדויות אמינות ביותר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בהן תיארה המתלוננת בכאב רב את מעשי המערער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בכלל זה נקבע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כי המתלוננת חששה לחשוף את האירועים הן בשל רגשותיה המורכבים כלפי המערער ששימש לה ולאחיה כְּאָב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והן לנוכח ה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כתף הקרה</w:t>
      </w:r>
      <w:r>
        <w:rPr>
          <w:rFonts w:cs="Garamond" w:ascii="Garamond" w:hAnsi="Garamond"/>
          <w:sz w:val="24"/>
          <w:rtl w:val="true"/>
        </w:rPr>
        <w:t xml:space="preserve">" </w:t>
      </w:r>
      <w:r>
        <w:rPr>
          <w:rFonts w:ascii="Garamond" w:hAnsi="Garamond" w:cs="Garamond"/>
          <w:sz w:val="24"/>
          <w:sz w:val="24"/>
          <w:rtl w:val="true"/>
        </w:rPr>
        <w:t>וחוסר האמון שהביעה בה אמה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בעת שסיפרה לה על חלק מהמעשים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עוד הודגש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כי מצפייה בחקירות ניכר כי המתלוננת היתה נבוכה מאוד בתיאור המעשים המיניים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פירטה את התחושות שאחזו בה תוך כדי האירועים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ואת תחושת האשמה על כך שלא התנגדה לביצוע המעשים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בית המשפט המחוזי עמד על כך כי תיאוריה המפורטים של המתלוננת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העקביות והדיוק שגילתה בכל התשובות לשאלות שנשאלה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מחזקים מאוד את הרושם כי עדותה אמינה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ומבוססת על חוויות אמת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חיזוק נוסף לאמיתות דברי המתלוננת מצא בית המשפט בהדגמות ובהסברים הרבים שליוו את עדותה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שכללו גם תיאורים ייחודיים ואותנטיים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רהוטה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בוגרת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וכנה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ומקפידה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</w:t>
      </w:r>
      <w:r>
        <w:rPr>
          <w:rtl w:val="true"/>
        </w:rPr>
        <w:t xml:space="preserve">;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סדורה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וקוהרנטית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ובחגורה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חקירתה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ביוזמתה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האמבטיה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שהתקלחה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Miriam"/>
          <w:b/>
          <w:b/>
          <w:rtl w:val="true"/>
        </w:rPr>
        <w:t>חקירתה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התבצעה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סלידתה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הביולוגי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הביולוגי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ליומן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לכתוב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עצומה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לכתוב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פנטזיות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והדמיונות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בכיתתה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סיאנס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Miriam"/>
          <w:b/>
          <w:b/>
          <w:rtl w:val="true"/>
        </w:rPr>
        <w:t>חקירתה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הרביעית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מתלונתה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ותמכה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בעמדתו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הצפוי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לפנימיי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בנוכחות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הסבתא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ובליווי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במרכז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המציאה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למטפלת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במרכז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הרביעית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משתנים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להפללת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צפתה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רעיונות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בדמיונותיה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בהשפעת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שהשתלטה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כדבריה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הרביעית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קוהרנטית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בעטיה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מתלונתה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השערות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שמועות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תופעות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טבעיות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הצליחה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הגיוניים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המתבקשות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ובסופו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להודעותיה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להחליש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עמידתה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עיתוי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והתנהגות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בתרגיל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סדרם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rtl w:val="true"/>
        </w:rPr>
        <w:t>ראשית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אמיתות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מחלישה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המאוחרת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10"/>
          <w:szCs w:val="14"/>
        </w:rPr>
      </w:pPr>
      <w:r>
        <w:rPr>
          <w:rFonts w:cs="FrankRuehl" w:ascii="Garamond" w:hAnsi="Garamond"/>
          <w:spacing w:val="10"/>
          <w:sz w:val="10"/>
          <w:szCs w:val="14"/>
          <w:rtl w:val="true"/>
        </w:rPr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10"/>
          <w:szCs w:val="14"/>
        </w:rPr>
      </w:pPr>
      <w:r>
        <w:rPr>
          <w:rFonts w:cs="FrankRuehl" w:ascii="Garamond" w:hAnsi="Garamond"/>
          <w:spacing w:val="10"/>
          <w:sz w:val="10"/>
          <w:szCs w:val="14"/>
          <w:rtl w:val="true"/>
        </w:rPr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10"/>
          <w:szCs w:val="14"/>
        </w:rPr>
      </w:pPr>
      <w:r>
        <w:rPr>
          <w:rFonts w:cs="FrankRuehl" w:ascii="Garamond" w:hAnsi="Garamond"/>
          <w:spacing w:val="10"/>
          <w:sz w:val="10"/>
          <w:szCs w:val="14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</w:t>
      </w:r>
      <w:r>
        <w:rPr>
          <w:rtl w:val="true"/>
        </w:rPr>
        <w:t xml:space="preserve">'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</w:t>
      </w:r>
      <w:r>
        <w:rPr>
          <w:rtl w:val="true"/>
        </w:rPr>
        <w:t xml:space="preserve">'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העלילה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הדיווח</w:t>
      </w:r>
      <w:r>
        <w:rPr>
          <w:rtl w:val="true"/>
        </w:rPr>
        <w:t xml:space="preserve">, </w:t>
      </w:r>
      <w:r>
        <w:rPr>
          <w:rtl w:val="true"/>
        </w:rPr>
        <w:t>ולהחליש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ההפללה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והפסיכותרפיסטית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ודבקה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rtl w:val="true"/>
        </w:rPr>
        <w:t>שלישית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והמהותיות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עיתוי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לעזוב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לפנימייה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בהחלטתה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מגרסתה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לצמידות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החירום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שבמרכז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השילוב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עזיבתה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הצפויה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החירום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השפיעו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מגרסתה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והדגיש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געגועים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עזים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התוודעה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בקרוב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לאחוז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בתלונתה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rtl w:val="true"/>
        </w:rPr>
        <w:t>רביעית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יועצת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הסוציאלית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להתרשמותם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הפוסט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טראומתי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ההיבטים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המתאימים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לתלונה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סמיכות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rtl w:val="true"/>
        </w:rPr>
        <w:t>חמישית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מתחמק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ומתחכם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עגום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, </w:t>
      </w:r>
      <w:r>
        <w:rPr>
          <w:rtl w:val="true"/>
        </w:rPr>
        <w:t>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ותמיהות</w:t>
      </w:r>
      <w:r>
        <w:rPr>
          <w:rtl w:val="true"/>
        </w:rPr>
        <w:t xml:space="preserve">, </w:t>
      </w:r>
      <w:r>
        <w:rPr>
          <w:rtl w:val="true"/>
        </w:rPr>
        <w:t>והרושם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מחושב</w:t>
      </w:r>
      <w:r>
        <w:rPr>
          <w:rtl w:val="true"/>
        </w:rPr>
        <w:t xml:space="preserve">, </w:t>
      </w:r>
      <w:r>
        <w:rPr>
          <w:rtl w:val="true"/>
        </w:rPr>
        <w:t>מתוחכם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ומניפולטיבי</w:t>
      </w:r>
      <w:r>
        <w:rPr>
          <w:rtl w:val="true"/>
        </w:rPr>
        <w:t xml:space="preserve">, </w:t>
      </w:r>
      <w:r>
        <w:rPr>
          <w:rtl w:val="true"/>
        </w:rPr>
        <w:t>המנסה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שנחשפו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האֵם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ומציאות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ורוויית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המניפולטיבית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לבדיקת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אבהות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הביולוגי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בנוסף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נקבעו מספר סיבות שבעטיין עדויותיה של המתלוננת לא מתיישבות עם עלילה נגד המערער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כך למשל נקבע כי לא ניכרו בעדותה של המתלוננת הגזמה או מגמתיות נגד המערער או ניסיון להשחיר את פניו</w:t>
      </w:r>
      <w:r>
        <w:rPr>
          <w:rFonts w:cs="Garamond" w:ascii="Garamond" w:hAnsi="Garamond"/>
          <w:sz w:val="24"/>
          <w:rtl w:val="true"/>
        </w:rPr>
        <w:t xml:space="preserve">; </w:t>
      </w:r>
      <w:r>
        <w:rPr>
          <w:rFonts w:ascii="Garamond" w:hAnsi="Garamond" w:cs="Garamond"/>
          <w:sz w:val="24"/>
          <w:sz w:val="24"/>
          <w:rtl w:val="true"/>
        </w:rPr>
        <w:t>דבריה של המתלוננת היו זהירים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מדודים ומדויקים עת תיארה את המעשים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ואף דיווחה על מעשים מצומצמים יחסית בחומרתם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כאשר כל אירוע מובחן באופן מובהק מהאירועים האחרים</w:t>
      </w:r>
      <w:r>
        <w:rPr>
          <w:rFonts w:cs="Garamond" w:ascii="Garamond" w:hAnsi="Garamond"/>
          <w:sz w:val="24"/>
          <w:rtl w:val="true"/>
        </w:rPr>
        <w:t xml:space="preserve">; </w:t>
      </w:r>
      <w:r>
        <w:rPr>
          <w:rFonts w:ascii="Garamond" w:hAnsi="Garamond" w:cs="Garamond"/>
          <w:sz w:val="24"/>
          <w:sz w:val="24"/>
          <w:rtl w:val="true"/>
        </w:rPr>
        <w:t>תיאוריה של המתלוננת היו מפורטים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לרבות בנושאים שוליים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באופן שחשף תמונה שלמה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רציפה ומשכנעת של השתלשלות העניינים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מעטות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האֵם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האבהות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להידרדר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ביסוס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האֵם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להכחשתו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הנגדית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מייחסת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rtl w:val="true"/>
        </w:rPr>
        <w:t>שישית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מפליל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בתרגיל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ולאֵם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שהחוקרים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הותירו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לשוחח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בלחש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הרוסית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המתיישבת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והצגתה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כבעלת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פסיכיאטריות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בבדיקת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האבהות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החזיונות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והדמיונות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השלישית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והרביעית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בדיווחי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דמיונותיה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במהימנותה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ערבבה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בדמיון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Ruller5"/>
        <w:ind w:end="1282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מורשת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מסבתה</w:t>
      </w:r>
      <w:r>
        <w:rPr>
          <w:rtl w:val="true"/>
        </w:rPr>
        <w:t xml:space="preserve">),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ליכולתה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הראשונות</w:t>
      </w:r>
      <w:r>
        <w:rPr>
          <w:rtl w:val="true"/>
        </w:rPr>
        <w:t xml:space="preserve">, </w:t>
      </w:r>
      <w:r>
        <w:rPr>
          <w:rtl w:val="true"/>
        </w:rPr>
        <w:t>תשובותיה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הארוכות</w:t>
      </w:r>
      <w:r>
        <w:rPr>
          <w:rtl w:val="true"/>
        </w:rPr>
        <w:t xml:space="preserve">, </w:t>
      </w:r>
      <w:r>
        <w:rPr>
          <w:rtl w:val="true"/>
        </w:rPr>
        <w:t>מסירים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נבדקה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פסיכיאטרים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ואחריה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בבוחן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המציאות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הפסיכיאטר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הנגדית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מהפרעה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בביקורת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המציאות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לבדיקתו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והסביר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חינוכיות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רגילות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תרופתי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מומחים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מקצועיים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מבעיה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בבוחן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המציאות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מצטרפת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בקלטות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ומחויבת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ושהבחינה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הדמיון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המציאות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בהתייחסו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עגום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חקירותיה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המגמתיות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העיוור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הכפשת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שהפגינה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הודגש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מתחמקת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ומפותלת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שיטתי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במחלוקת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ובייחוד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המיוחדת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המבוצעות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ובאחיה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נפרדים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בנימוקיו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לחומרא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התעוזה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היסס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הגבוה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האלימות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חוזרות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ונשנות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ואחיה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הצעיר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חגורה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תקיפתה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אכזרי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עזים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והמקיף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כתוצאה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נחשף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הנרחבת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היבטי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חשיפתם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מתסמינים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פוסט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טראומתיים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ומהתנהגות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המאפיינת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תסקיר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בגיבוש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ששימש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ובחיק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בנימוקיו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הנקי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תפקודו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הנורמטיבי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מיטיבה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שהציל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eastAsia="Garamond" w:cs="Garamond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המחמירות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מוחשי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בניכוי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המעצר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שחרורו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תשלום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70,000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ולחלופין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וסומך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המוקדמת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המאוחרת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קוהרנטית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שהניעו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להרחיק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eastAsia="Garamond" w:cs="Garamond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המזכה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אגרסיבי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ומתיש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מתפקידה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המאוחרת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ממסקנות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עיוותי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ותפיסת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מציאות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מתיאורי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הפנטזיות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וביומנה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חזיונותיה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ודמיונותיה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פוגמים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מאפשר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להרשעתו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חפותו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בהתייחסותו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לתרגיל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בנקודה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מתרגיל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בתרגיל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שביקשת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למעסיקיו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מעסיקיו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במעצר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ביכולתו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השראה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הנגדית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המליצה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מהפנימייה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חשיבות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לתלונתה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דווקא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המיוחסים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הצביע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בקריטריונים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הפסיקה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6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108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פסיכודיאגנוסטית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החירום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לשפוך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בהגנתו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לחילופין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הנימוקים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ובמיוחד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ישוחרר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בטיעוניה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סומכת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המרשיעה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המאוחרת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ומלאת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ומשתלבת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במארג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מפורטת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פנימיות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ואישררה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בהודעותיה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הקודמות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ונותרה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ונמנעה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מיצירת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לתרגיל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למעסיקיו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בתֵזת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תימוכין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התגבשה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נחשף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בחקירותיהם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הכחישו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שהוקלטו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בתרגיל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ושקרית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ומצטרפת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השתלשלות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האבהות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להטמיע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חלופי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להפללתו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הביולוגי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להעליל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הוצאתה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נתלתה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הודעתה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המאוחרת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הביולוגי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השגתו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חוזרת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מובנה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ההיפך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הנכון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הקודמות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יכולותיה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באפשרותה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חזיונותיה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ודמיונותיה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ומהתרשמות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הפנימי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הממצאים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הרפואיים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נבדקה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ואחרי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בבוחן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המציאות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החירום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הזכירה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שתכננה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הרביעית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אימצה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רעיונות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הובהר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המליצה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רלוונטית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פוטנציאלית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ונחשפה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לתכנים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הולמים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מהפנימייה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אוזכרה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הרביעית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המאוחר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תוכנם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הימנעותה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מלברר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פוטנציאל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108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הפסיכודיאגנוסטי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החירום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במעטפה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סגורה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באבחון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פוטנציאל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לתלונתה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להודעתה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הרביעית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שהאחרון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סליחה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שעיינתי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ששמעתי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טיעוני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מושרש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אמצעי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ומהשתלבותן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במארג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3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1781/19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קדיוליץ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1.10.2020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3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6080/20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21.7.2021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בהעדפתו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המאוחרת</w:t>
      </w:r>
      <w:r>
        <w:rPr>
          <w:rtl w:val="true"/>
        </w:rPr>
        <w:t xml:space="preserve">, </w:t>
      </w:r>
      <w:r>
        <w:rPr>
          <w:rtl w:val="true"/>
        </w:rPr>
        <w:t>ואסביר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בהוגנות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ההנמקה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2.4.2012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ההנמקה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נימק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סדור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ומפורט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גוּבּה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הרביעית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המוקדמת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המאוחרת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הדרישה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למציאת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מסייעת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במלואה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ואחרון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בקלטות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הארוכות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הרחיבה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בתיאוריה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שהוצגה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והיטיבה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מדויק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ומוחשי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תחושותיה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ורגשותיה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הסגולי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הרביעית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ובמסגרתה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וסותרים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תיאוריה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מגרסאותיה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הקודמות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חסרת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ליישב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הדימוי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ורצונה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לשחררו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המעצר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הודגש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הסתיימה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בנסיגתה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ביסס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המנומקת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והמפורטת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המהימנה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הגרסאות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המצטיירת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האחרונה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תמיהות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למקרא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עתירת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פנימיות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הרביעית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מהדברים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מחקירותיה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וביניהן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החירום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לביקורים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נקיטת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מאשימה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בולט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ארוכה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זרע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תמיכתם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השבח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והאהבה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הסבתא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לוחמה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פסיכולוגית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שהופעלה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ונדרשה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להתמודד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ספקולציות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וסבתה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להסיט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הזרקור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מגמתי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1"/>
        <w:ind w:firstLine="720" w:end="0"/>
        <w:jc w:val="both"/>
        <w:rPr>
          <w:rFonts w:ascii="Garamond" w:hAnsi="Garamond" w:cs="FrankRuehl"/>
          <w:sz w:val="24"/>
          <w:szCs w:val="28"/>
        </w:rPr>
      </w:pPr>
      <w:r>
        <w:rPr>
          <w:rFonts w:ascii="Garamond" w:hAnsi="Garamond" w:cs="FrankRuehl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ולהעדיף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המאוחרת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המזכה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המפלילה</w:t>
      </w:r>
      <w:r>
        <w:rPr>
          <w:rFonts w:cs="FrankRuehl" w:ascii="Garamond" w:hAnsi="Garamond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z w:val="24"/>
          <w:sz w:val="24"/>
          <w:szCs w:val="28"/>
          <w:rtl w:val="true"/>
        </w:rPr>
        <w:t>ויודגש</w:t>
      </w:r>
      <w:r>
        <w:rPr>
          <w:rFonts w:cs="FrankRuehl" w:ascii="Garamond" w:hAnsi="Garamond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התמידה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בגרסתה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העת</w:t>
      </w:r>
      <w:r>
        <w:rPr>
          <w:rFonts w:cs="FrankRuehl" w:ascii="Garamond" w:hAnsi="Garamond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z w:val="24"/>
          <w:sz w:val="24"/>
          <w:szCs w:val="28"/>
          <w:rtl w:val="true"/>
        </w:rPr>
        <w:t>ובפני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אותם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עדים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חשפה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בפניהם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z w:val="24"/>
          <w:sz w:val="24"/>
          <w:szCs w:val="28"/>
          <w:rtl w:val="true"/>
        </w:rPr>
        <w:t>והנה</w:t>
      </w:r>
      <w:r>
        <w:rPr>
          <w:rFonts w:cs="FrankRuehl" w:ascii="Garamond" w:hAnsi="Garamond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פתאומי</w:t>
      </w:r>
      <w:r>
        <w:rPr>
          <w:rFonts w:cs="FrankRuehl" w:ascii="Garamond" w:hAnsi="Garamond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z w:val="24"/>
          <w:sz w:val="24"/>
          <w:szCs w:val="28"/>
          <w:rtl w:val="true"/>
        </w:rPr>
        <w:t>משחלפו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שבעה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שהחלה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שמיעת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z w:val="24"/>
          <w:sz w:val="24"/>
          <w:szCs w:val="28"/>
          <w:rtl w:val="true"/>
        </w:rPr>
        <w:t>חזרה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בגרסה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מאוחרת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z w:val="24"/>
          <w:szCs w:val="28"/>
          <w:rtl w:val="true"/>
        </w:rPr>
        <w:t>"</w:t>
      </w:r>
      <w:r>
        <w:rPr>
          <w:rFonts w:ascii="Garamond" w:hAnsi="Garamond" w:cs="FrankRuehl"/>
          <w:sz w:val="24"/>
          <w:sz w:val="24"/>
          <w:szCs w:val="28"/>
          <w:rtl w:val="true"/>
        </w:rPr>
        <w:t>מזכה</w:t>
      </w:r>
      <w:r>
        <w:rPr>
          <w:rFonts w:cs="FrankRuehl" w:ascii="Garamond" w:hAnsi="Garamond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z w:val="24"/>
          <w:sz w:val="24"/>
          <w:szCs w:val="28"/>
          <w:rtl w:val="true"/>
        </w:rPr>
        <w:t>לכאורה</w:t>
      </w:r>
      <w:r>
        <w:rPr>
          <w:rFonts w:cs="FrankRuehl" w:ascii="Garamond" w:hAnsi="Garamond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הרקע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והמניע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לשינוי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גרסת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כנעוצים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בלחץ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הבלתי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פוסק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נתונה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מאז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התלונה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מצד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משפחתה</w:t>
      </w:r>
      <w:r>
        <w:rPr>
          <w:rFonts w:cs="FrankRuehl" w:ascii="Garamond" w:hAnsi="Garamond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z w:val="24"/>
          <w:sz w:val="24"/>
          <w:szCs w:val="28"/>
          <w:rtl w:val="true"/>
        </w:rPr>
        <w:t>ובייחוד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מצד</w:t>
      </w:r>
      <w:r>
        <w:rPr>
          <w:rFonts w:ascii="Garamond" w:hAnsi="Garamond" w:eastAsia="Garamond" w:cs="Garamond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z w:val="24"/>
          <w:sz w:val="24"/>
          <w:szCs w:val="28"/>
          <w:rtl w:val="true"/>
        </w:rPr>
        <w:t>אמה</w:t>
      </w:r>
      <w:r>
        <w:rPr>
          <w:rFonts w:cs="FrankRuehl" w:ascii="Garamond" w:hAnsi="Garamond"/>
          <w:sz w:val="24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Garamond" w:hAnsi="Garamond" w:cs="FrankRuehl"/>
          <w:sz w:val="24"/>
          <w:szCs w:val="28"/>
        </w:rPr>
      </w:pPr>
      <w:r>
        <w:rPr>
          <w:rFonts w:cs="FrankRuehl" w:ascii="Garamond" w:hAnsi="Garamond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חוזרת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מתלונתה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ונחקרת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3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3744/07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11.2.2008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10"/>
          <w:szCs w:val="14"/>
        </w:rPr>
      </w:pPr>
      <w:r>
        <w:rPr>
          <w:rFonts w:cs="FrankRuehl" w:ascii="Garamond" w:hAnsi="Garamond"/>
          <w:spacing w:val="10"/>
          <w:sz w:val="10"/>
          <w:szCs w:val="1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הנכוחים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ובראן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Ruller5"/>
        <w:ind w:firstLine="518" w:end="1282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eastAsia="Calibri" w:cs="Miriam"/>
          <w:b/>
          <w:spacing w:val="0"/>
          <w:szCs w:val="24"/>
        </w:rPr>
      </w:pPr>
      <w:r>
        <w:rPr>
          <w:rtl w:val="true"/>
        </w:rPr>
        <w:t>"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[...]"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8805/15</w:t>
        </w:r>
      </w:hyperlink>
      <w:r>
        <w:rPr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2.4.2017</w:t>
      </w:r>
      <w:r>
        <w:rPr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eastAsia="Calibri" w:cs="Miriam"/>
          <w:b/>
          <w:spacing w:val="0"/>
          <w:szCs w:val="24"/>
        </w:rPr>
      </w:pPr>
      <w:r>
        <w:rPr>
          <w:rFonts w:eastAsia="Calibri" w:cs="Miriam" w:ascii="Century" w:hAnsi="Century"/>
          <w:b/>
          <w:spacing w:val="0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מהספרות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המקצועית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בלחץ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להשפיע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רצונם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לחשוף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התכחשותם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שחשפו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מתלונתם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והתכחשות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תובנה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לדמויות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תומכות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השפעה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להכחשת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מגילוי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ממחקרים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שנחשפו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מדיווח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שחוו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להרחבה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cs="FrankRuehl" w:ascii="Garamond" w:hAnsi="Garamond"/>
          <w:spacing w:val="10"/>
          <w:sz w:val="24"/>
          <w:szCs w:val="28"/>
        </w:rPr>
        <w:t>Carmit Katz, "</w:t>
      </w:r>
      <w:r>
        <w:rPr>
          <w:rFonts w:cs="FrankRuehl" w:ascii="Garamond" w:hAnsi="Garamond"/>
          <w:i/>
          <w:iCs/>
          <w:spacing w:val="10"/>
          <w:sz w:val="24"/>
          <w:szCs w:val="28"/>
        </w:rPr>
        <w:t>Please believe me; I am the biggest liar that exists": Characterising children's recantations during forensic investigations</w:t>
      </w:r>
      <w:r>
        <w:rPr>
          <w:rFonts w:cs="FrankRuehl" w:ascii="Garamond" w:hAnsi="Garamond"/>
          <w:spacing w:val="10"/>
          <w:sz w:val="24"/>
          <w:szCs w:val="28"/>
        </w:rPr>
        <w:t xml:space="preserve">, </w:t>
      </w:r>
      <w:r>
        <w:rPr>
          <w:rFonts w:cs="Times New Roman"/>
          <w:smallCaps/>
          <w:szCs w:val="20"/>
        </w:rPr>
        <w:t>Children and Youth Services Review</w:t>
      </w:r>
      <w:r>
        <w:rPr>
          <w:rFonts w:cs="FrankRuehl" w:ascii="Garamond" w:hAnsi="Garamond"/>
          <w:i/>
          <w:iCs/>
          <w:spacing w:val="10"/>
          <w:sz w:val="24"/>
          <w:szCs w:val="28"/>
        </w:rPr>
        <w:t xml:space="preserve"> </w:t>
      </w:r>
      <w:r>
        <w:rPr>
          <w:rFonts w:cs="FrankRuehl" w:ascii="Garamond" w:hAnsi="Garamond"/>
          <w:sz w:val="24"/>
          <w:szCs w:val="28"/>
        </w:rPr>
        <w:t>43, 160 (2014)</w:t>
      </w:r>
      <w:r>
        <w:rPr>
          <w:rFonts w:cs="FrankRuehl" w:ascii="Garamond" w:hAnsi="Garamond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לטפל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דרישת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הסיוע</w:t>
      </w:r>
      <w:r>
        <w:rPr>
          <w:rFonts w:cs="Miriam" w:ascii="Century" w:hAnsi="Century"/>
          <w:bCs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לתיקון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דיני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הגנת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ילדים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1955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התומכות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באמיתות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מציאתן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ופירוטן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המאוחרת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הנדרשת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מצומצם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המחלוקת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הגורפת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המאוחרת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בזהירות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המתבקשת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שפירטתי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המסייעות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Miriam"/>
          <w:b/>
          <w:b/>
          <w:rtl w:val="true"/>
        </w:rPr>
        <w:t>ראשית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לדרישת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בספרות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מוסברת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Ruller5"/>
        <w:ind w:end="1282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שקרים</w:t>
      </w:r>
      <w:r>
        <w:rPr>
          <w:rtl w:val="true"/>
        </w:rPr>
        <w:t>." (</w:t>
      </w:r>
      <w:r>
        <w:rPr>
          <w:rtl w:val="true"/>
        </w:rPr>
        <w:t>יניב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" w:cs="Arial TUR"/>
          <w:rtl w:val="true"/>
        </w:rPr>
        <w:t xml:space="preserve"> </w:t>
      </w:r>
      <w:hyperlink r:id="rId3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1487-1486</w:t>
      </w:r>
      <w:r>
        <w:rPr>
          <w:rtl w:val="true"/>
        </w:rPr>
        <w:t xml:space="preserve"> (</w:t>
      </w:r>
      <w:r>
        <w:rPr/>
        <w:t>2021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מצטברים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בהתקיימם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מוכחים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נאמרו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לסלף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3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ע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814/81</w:t>
        </w:r>
      </w:hyperlink>
      <w:r>
        <w:rPr>
          <w:rFonts w:cs="FrankRuehl" w:ascii="Garamond" w:hAnsi="Garamond"/>
          <w:color w:val="000000"/>
          <w:spacing w:val="10"/>
          <w:sz w:val="24"/>
          <w:szCs w:val="28"/>
          <w:rtl w:val="true"/>
        </w:rPr>
        <w:t>‏</w:t>
      </w:r>
      <w:r>
        <w:rPr>
          <w:rFonts w:cs="Miriam" w:ascii="Century" w:hAnsi="Century"/>
          <w:b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rtl w:val="true"/>
        </w:rPr>
        <w:t>אל</w:t>
      </w:r>
      <w:r>
        <w:rPr>
          <w:rFonts w:ascii="Century" w:hAnsi="Century" w:eastAsia="Century" w:cs="Century"/>
          <w:b/>
          <w:b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rtl w:val="true"/>
        </w:rPr>
        <w:t>שבאב</w:t>
      </w:r>
      <w:r>
        <w:rPr>
          <w:rFonts w:ascii="Century" w:hAnsi="Century" w:cs="Miriam"/>
          <w:b/>
          <w:b/>
          <w:color w:val="000000"/>
        </w:rPr>
        <w:t>‎</w:t>
      </w:r>
      <w:r>
        <w:rPr>
          <w:rFonts w:ascii="Century" w:hAnsi="Century" w:eastAsia="Century" w:cs="Century"/>
          <w:b/>
          <w:b/>
          <w:color w:val="000000"/>
        </w:rPr>
        <w:t xml:space="preserve"> </w:t>
      </w:r>
      <w:r>
        <w:rPr>
          <w:rFonts w:ascii="Century" w:hAnsi="Century" w:cs="Miriam"/>
          <w:b/>
          <w:b/>
          <w:color w:val="000000"/>
        </w:rPr>
        <w:t>‎</w:t>
      </w:r>
      <w:r>
        <w:rPr>
          <w:rFonts w:ascii="Century" w:hAnsi="Century" w:cs="Miriam"/>
          <w:b/>
          <w:b/>
          <w:color w:val="000000"/>
          <w:rtl w:val="true"/>
        </w:rPr>
        <w:t>נ</w:t>
      </w:r>
      <w:r>
        <w:rPr>
          <w:rFonts w:cs="Miriam" w:ascii="Century" w:hAnsi="Century"/>
          <w:b/>
          <w:color w:val="000000"/>
          <w:rtl w:val="true"/>
        </w:rPr>
        <w:t xml:space="preserve">' </w:t>
      </w:r>
      <w:r>
        <w:rPr>
          <w:rFonts w:ascii="Century" w:hAnsi="Century" w:cs="Miriam"/>
          <w:b/>
          <w:b/>
          <w:color w:val="000000"/>
          <w:rtl w:val="true"/>
        </w:rPr>
        <w:t>מדינת</w:t>
      </w:r>
      <w:r>
        <w:rPr>
          <w:rFonts w:ascii="Century" w:hAnsi="Century" w:eastAsia="Century" w:cs="Century"/>
          <w:b/>
          <w:b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rtl w:val="true"/>
        </w:rPr>
        <w:t>ישראל</w:t>
      </w:r>
      <w:r>
        <w:rPr>
          <w:rFonts w:cs="FrankRuehl" w:ascii="Garamond" w:hAnsi="Garamond"/>
          <w:color w:val="000000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color w:val="000000"/>
          <w:spacing w:val="10"/>
          <w:sz w:val="24"/>
          <w:sz w:val="24"/>
          <w:szCs w:val="28"/>
          <w:rtl w:val="true"/>
        </w:rPr>
        <w:t>פ</w:t>
      </w:r>
      <w:r>
        <w:rPr>
          <w:rFonts w:cs="FrankRuehl" w:ascii="Garamond" w:hAnsi="Garamond"/>
          <w:color w:val="000000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color w:val="000000"/>
          <w:spacing w:val="10"/>
          <w:sz w:val="24"/>
          <w:sz w:val="24"/>
          <w:szCs w:val="28"/>
          <w:rtl w:val="true"/>
        </w:rPr>
        <w:t>ד</w:t>
      </w:r>
      <w:r>
        <w:rPr>
          <w:rFonts w:ascii="Garamond" w:hAnsi="Garamond" w:eastAsia="Garamond" w:cs="Garamond"/>
          <w:color w:val="000000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826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833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1982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39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ע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557/06</w:t>
        </w:r>
      </w:hyperlink>
      <w:r>
        <w:rPr>
          <w:rFonts w:cs="FrankRuehl" w:ascii="Garamond" w:hAnsi="Garamond"/>
          <w:color w:val="000000"/>
          <w:spacing w:val="10"/>
          <w:sz w:val="24"/>
          <w:szCs w:val="28"/>
          <w:rtl w:val="true"/>
        </w:rPr>
        <w:t>‏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4"/>
          <w:szCs w:val="28"/>
          <w:rtl w:val="true"/>
        </w:rPr>
        <w:t>‏</w:t>
      </w:r>
      <w:r>
        <w:rPr>
          <w:rFonts w:ascii="Century" w:hAnsi="Century" w:cs="Miriam"/>
          <w:b/>
          <w:b/>
          <w:rtl w:val="true"/>
        </w:rPr>
        <w:t>עלאק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11.4.2207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4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2854/18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63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27.8.2019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בכללותה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ונפלו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ושקרים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במישרין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לתלונתה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נועדו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הביולוגי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ושקריו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ושינוי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שזורים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השתלשלות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בהצטברותם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מקיימים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Miriam"/>
          <w:b/>
          <w:b/>
          <w:rtl w:val="true"/>
        </w:rPr>
        <w:t>שנית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מסייעת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אובייקטיבית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hyperlink r:id="rId4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6080/20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21.7.2021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ודיבורה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ומפוחד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יועצת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והעובדת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הסוציאלית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רצינית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ומודאגת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כשדיברה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הסוציאלית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ושיתפה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בפחדיה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וחששותיה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מהעתיד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למשפחתה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מתגובתה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יאמינו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הסנגור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לתלונתה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לדיווחיה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ליועצת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לייחסם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דווקא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מגילויי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שלגביהם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דווקא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cs="FrankRuehl" w:ascii="Garamond" w:hAnsi="Garamond"/>
          <w:sz w:val="24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z w:val="4"/>
          <w:szCs w:val="6"/>
        </w:rPr>
      </w:pPr>
      <w:r>
        <w:rPr>
          <w:rFonts w:cs="Miriam" w:ascii="Century" w:hAnsi="Century"/>
          <w:b/>
          <w:sz w:val="4"/>
          <w:szCs w:val="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  <w:sz w:val="4"/>
          <w:szCs w:val="6"/>
        </w:rPr>
      </w:pPr>
      <w:r>
        <w:rPr>
          <w:rFonts w:cs="Miriam" w:ascii="Century" w:hAnsi="Century"/>
          <w:b/>
          <w:sz w:val="4"/>
          <w:szCs w:val="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ובוודאי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יודגש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ולתקן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לרפא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4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1645/08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3.9.2009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לסנגוריה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להוכחת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בקיומם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לזיכויו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4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5386/05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אלחורטי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18.5.2006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המחדלים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הנטענים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קיפחו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פוגמים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hyperlink r:id="rId4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9284/17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חורש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5.3.2020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שרקמה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השתלשלות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עזרתה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מזיהוי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והתגלגל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יועצת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ביוזמת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ואגב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בפגיעות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מההשלכות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ארוכה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יזמה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נזכרה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במקלחת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מתוארת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נוגדת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האותנטיות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תיאוריה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זוכרת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שסיפרה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בסיפור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שבדתה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ניתן אף ללמוד מאופן חשיפת </w:t>
      </w:r>
      <w:r>
        <w:rPr>
          <w:rtl w:val="true"/>
        </w:rPr>
        <w:t>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ascii="Garamond" w:hAnsi="Garamond" w:cs="Garamond"/>
          <w:sz w:val="24"/>
          <w:sz w:val="24"/>
          <w:rtl w:val="true"/>
        </w:rPr>
        <w:t xml:space="preserve"> בחקירתה הראשונה של המתלוננת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על כך שלא הגיעה לחקירה עם סיפור מוכן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מתוך רצון להפליל לשווא את המערער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כך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לאחר שסיימה לספר לחוקרת את כל הפרטים על האירועים המיניים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לשאלת החוקרת אם יש משהו חשוב שברצונה לספר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ענתה המתלוננת</w:t>
      </w:r>
      <w:r>
        <w:rPr>
          <w:rFonts w:cs="Garamond" w:ascii="Garamond" w:hAnsi="Garamond"/>
          <w:sz w:val="24"/>
          <w:rtl w:val="true"/>
        </w:rPr>
        <w:t>: "</w:t>
      </w:r>
      <w:r>
        <w:rPr>
          <w:rFonts w:ascii="Garamond" w:hAnsi="Garamond" w:cs="Garamond"/>
          <w:sz w:val="24"/>
          <w:sz w:val="24"/>
          <w:rtl w:val="true"/>
        </w:rPr>
        <w:t>לא יודעת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מכות זה נחשב</w:t>
      </w:r>
      <w:r>
        <w:rPr>
          <w:rFonts w:cs="Garamond" w:ascii="Garamond" w:hAnsi="Garamond"/>
          <w:sz w:val="24"/>
          <w:rtl w:val="true"/>
        </w:rPr>
        <w:t>?" (</w:t>
      </w:r>
      <w:r>
        <w:rPr>
          <w:rFonts w:ascii="Garamond" w:hAnsi="Garamond" w:cs="Garamond"/>
          <w:sz w:val="24"/>
          <w:sz w:val="24"/>
          <w:rtl w:val="true"/>
        </w:rPr>
        <w:t>ת</w:t>
      </w:r>
      <w:r>
        <w:rPr>
          <w:rFonts w:cs="Garamond" w:ascii="Garamond" w:hAnsi="Garamond"/>
          <w:sz w:val="24"/>
          <w:rtl w:val="true"/>
        </w:rPr>
        <w:t>/</w:t>
      </w:r>
      <w:r>
        <w:rPr>
          <w:rFonts w:cs="Garamond" w:ascii="Garamond" w:hAnsi="Garamond"/>
          <w:sz w:val="24"/>
        </w:rPr>
        <w:t>1</w:t>
      </w:r>
      <w:r>
        <w:rPr>
          <w:rFonts w:ascii="Garamond" w:hAnsi="Garamond" w:cs="Garamond"/>
          <w:sz w:val="24"/>
          <w:sz w:val="24"/>
          <w:rtl w:val="true"/>
        </w:rPr>
        <w:t>ג</w:t>
      </w:r>
      <w:r>
        <w:rPr>
          <w:rFonts w:cs="Garamond" w:ascii="Garamond" w:hAnsi="Garamond"/>
          <w:sz w:val="24"/>
          <w:rtl w:val="true"/>
        </w:rPr>
        <w:t xml:space="preserve">', </w:t>
      </w:r>
      <w:r>
        <w:rPr>
          <w:rFonts w:ascii="Garamond" w:hAnsi="Garamond" w:cs="Garamond"/>
          <w:sz w:val="24"/>
          <w:sz w:val="24"/>
          <w:rtl w:val="true"/>
        </w:rPr>
        <w:t>עמ</w:t>
      </w:r>
      <w:r>
        <w:rPr>
          <w:rFonts w:cs="Garamond" w:ascii="Garamond" w:hAnsi="Garamond"/>
          <w:sz w:val="24"/>
          <w:rtl w:val="true"/>
        </w:rPr>
        <w:t xml:space="preserve">' </w:t>
      </w:r>
      <w:r>
        <w:rPr>
          <w:rFonts w:cs="Garamond" w:ascii="Garamond" w:hAnsi="Garamond"/>
          <w:sz w:val="24"/>
        </w:rPr>
        <w:t>30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שורה </w:t>
      </w:r>
      <w:r>
        <w:rPr>
          <w:rFonts w:cs="Garamond" w:ascii="Garamond" w:hAnsi="Garamond"/>
          <w:sz w:val="24"/>
        </w:rPr>
        <w:t>9</w:t>
      </w:r>
      <w:r>
        <w:rPr>
          <w:rFonts w:cs="Garamond" w:ascii="Garamond" w:hAnsi="Garamond"/>
          <w:sz w:val="24"/>
          <w:rtl w:val="true"/>
        </w:rPr>
        <w:t xml:space="preserve">). </w:t>
      </w:r>
      <w:r>
        <w:rPr>
          <w:rFonts w:ascii="Garamond" w:hAnsi="Garamond" w:cs="Garamond"/>
          <w:sz w:val="24"/>
          <w:sz w:val="24"/>
          <w:rtl w:val="true"/>
        </w:rPr>
        <w:t>ורק אז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מששאלה אותה החוקרת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חשפה המתלוננת את אירועי האלימות כלפיה ואת אירוע התקיפה כלפי אחיה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ויודגש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דיווחים אלה של המתלוננת אושרו על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ascii="Garamond" w:hAnsi="Garamond" w:cs="Garamond"/>
          <w:sz w:val="24"/>
          <w:sz w:val="24"/>
          <w:rtl w:val="true"/>
        </w:rPr>
        <w:t>ידי המערער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אשר הודה בהם בחקירותיו ובעדותו בבית המשפט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והם אינם במחלוקת כאמור</w:t>
      </w:r>
      <w:r>
        <w:rPr>
          <w:rFonts w:cs="Garamond" w:ascii="Garamond" w:hAnsi="Garamond"/>
          <w:sz w:val="24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החזיונות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והדמיונות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במהימנותה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הדמיון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והפנטזיה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והרחיבה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דמיונותיה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לתלונתה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ויודגש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ונחרץ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ייתכן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שהתבלבלה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'). 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יודגש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מסיכום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הבדיקה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הפסיכיאטרית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בפברואר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השלישית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נחשפה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ולאירועי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טראומה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הבעיות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וכתוצאה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סימנים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להפרעה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בביקורת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המציאות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מסיכום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הבדיקה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להפרעה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פסיכוטית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להפרעה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ביכולת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השגותיו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6"/>
          <w:szCs w:val="10"/>
        </w:rPr>
      </w:pPr>
      <w:r>
        <w:rPr>
          <w:rFonts w:cs="FrankRuehl" w:ascii="Garamond" w:hAnsi="Garamond"/>
          <w:spacing w:val="10"/>
          <w:sz w:val="6"/>
          <w:szCs w:val="1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  <w:spacing w:val="10"/>
          <w:sz w:val="6"/>
          <w:szCs w:val="10"/>
        </w:rPr>
      </w:pPr>
      <w:r>
        <w:rPr>
          <w:rFonts w:cs="Miriam" w:ascii="Century" w:hAnsi="Century"/>
          <w:b/>
          <w:spacing w:val="10"/>
          <w:sz w:val="6"/>
          <w:szCs w:val="1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אמצעית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ועבודתה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מקצועית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בהודעותיה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"/>
          <w:szCs w:val="6"/>
        </w:rPr>
      </w:pPr>
      <w:r>
        <w:rPr>
          <w:rFonts w:cs="FrankRuehl" w:ascii="Garamond" w:hAnsi="Garamond"/>
          <w:spacing w:val="10"/>
          <w:sz w:val="2"/>
          <w:szCs w:val="6"/>
          <w:rtl w:val="true"/>
        </w:rPr>
      </w:r>
    </w:p>
    <w:p>
      <w:pPr>
        <w:pStyle w:val="Ruller5"/>
        <w:ind w:end="1282"/>
        <w:jc w:val="both"/>
        <w:rPr>
          <w:rFonts w:ascii="Garamond" w:hAnsi="Garamond" w:cs="FrankRuehl"/>
          <w:spacing w:val="10"/>
          <w:sz w:val="2"/>
          <w:szCs w:val="6"/>
        </w:rPr>
      </w:pPr>
      <w:r>
        <w:rPr>
          <w:rFonts w:cs="FrankRuehl" w:ascii="Garamond" w:hAnsi="Garamond"/>
          <w:spacing w:val="10"/>
          <w:sz w:val="2"/>
          <w:szCs w:val="6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ומכיר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הרביעית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תשובות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ועימתה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פנימיות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הקודמות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שהופיעו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והמהודקת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בהודעותיה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אזכורם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להחליש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אמיתות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שמישהו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יקרא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ומבוכה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יתגלו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יתפרסמו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ביומן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קצר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בנבכי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נכתבו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מחלוקת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4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108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4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דלמטה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המבוקש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לקפח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המפורסמות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סטייה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קיצונית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4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6807/17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24.4.2018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4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4121/20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1.7.2021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שבחנתי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מאוזן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והראויה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החמורות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שיאמרו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נגישותה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ואחיה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מיטיבה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הביולוגי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היטב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25.8.2021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20057050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54678313-5705/20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5705/20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Century" w:hAnsi="Century" w:eastAsia="Calibri" w:cs="Century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erChar">
    <w:name w:val="Header Char"/>
    <w:qFormat/>
    <w:rPr>
      <w:rFonts w:cs="David"/>
      <w:szCs w:val="24"/>
    </w:rPr>
  </w:style>
  <w:style w:type="character" w:styleId="FooterChar">
    <w:name w:val="Footer Char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4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ruller41">
    <w:name w:val="ruller41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474049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4173" TargetMode="External"/><Relationship Id="rId5" Type="http://schemas.openxmlformats.org/officeDocument/2006/relationships/hyperlink" Target="http://www.nevo.co.il/law/70387" TargetMode="External"/><Relationship Id="rId6" Type="http://schemas.openxmlformats.org/officeDocument/2006/relationships/hyperlink" Target="http://www.nevo.co.il/law/70387/1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51.c.2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382.b.2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108" TargetMode="External"/><Relationship Id="rId16" Type="http://schemas.openxmlformats.org/officeDocument/2006/relationships/hyperlink" Target="http://www.nevo.co.il/law/70387/11" TargetMode="External"/><Relationship Id="rId17" Type="http://schemas.openxmlformats.org/officeDocument/2006/relationships/hyperlink" Target="http://www.nevo.co.il/law/70387" TargetMode="External"/><Relationship Id="rId18" Type="http://schemas.openxmlformats.org/officeDocument/2006/relationships/hyperlink" Target="http://www.nevo.co.il/case/25474049" TargetMode="External"/><Relationship Id="rId19" Type="http://schemas.openxmlformats.org/officeDocument/2006/relationships/hyperlink" Target="http://www.nevo.co.il/law/70301/351.c.2" TargetMode="External"/><Relationship Id="rId20" Type="http://schemas.openxmlformats.org/officeDocument/2006/relationships/hyperlink" Target="http://www.nevo.co.il/law/70301/348.b" TargetMode="External"/><Relationship Id="rId21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79" TargetMode="External"/><Relationship Id="rId25" Type="http://schemas.openxmlformats.org/officeDocument/2006/relationships/hyperlink" Target="http://www.nevo.co.il/law/70301/382.b.2" TargetMode="External"/><Relationship Id="rId26" Type="http://schemas.openxmlformats.org/officeDocument/2006/relationships/hyperlink" Target="http://www.nevo.co.il/law/74903/108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law/74903/108" TargetMode="External"/><Relationship Id="rId29" Type="http://schemas.openxmlformats.org/officeDocument/2006/relationships/hyperlink" Target="http://www.nevo.co.il/law/74903" TargetMode="External"/><Relationship Id="rId30" Type="http://schemas.openxmlformats.org/officeDocument/2006/relationships/hyperlink" Target="http://www.nevo.co.il/case/25524768" TargetMode="External"/><Relationship Id="rId31" Type="http://schemas.openxmlformats.org/officeDocument/2006/relationships/hyperlink" Target="http://www.nevo.co.il/case/26964729" TargetMode="External"/><Relationship Id="rId32" Type="http://schemas.openxmlformats.org/officeDocument/2006/relationships/hyperlink" Target="http://www.nevo.co.il/case/5799892" TargetMode="External"/><Relationship Id="rId33" Type="http://schemas.openxmlformats.org/officeDocument/2006/relationships/hyperlink" Target="http://www.nevo.co.il/case/6245166" TargetMode="External"/><Relationship Id="rId34" Type="http://schemas.openxmlformats.org/officeDocument/2006/relationships/hyperlink" Target="http://www.nevo.co.il/case/20991830" TargetMode="External"/><Relationship Id="rId35" Type="http://schemas.openxmlformats.org/officeDocument/2006/relationships/hyperlink" Target="http://www.nevo.co.il/law/70387/11" TargetMode="External"/><Relationship Id="rId36" Type="http://schemas.openxmlformats.org/officeDocument/2006/relationships/hyperlink" Target="http://www.nevo.co.il/law/70387" TargetMode="External"/><Relationship Id="rId37" Type="http://schemas.openxmlformats.org/officeDocument/2006/relationships/hyperlink" Target="http://www.nevo.co.il/safrut/bookgroup/4173" TargetMode="External"/><Relationship Id="rId38" Type="http://schemas.openxmlformats.org/officeDocument/2006/relationships/hyperlink" Target="http://www.nevo.co.il/case/17931845" TargetMode="External"/><Relationship Id="rId39" Type="http://schemas.openxmlformats.org/officeDocument/2006/relationships/hyperlink" Target="http://www.nevo.co.il/case/5709800" TargetMode="External"/><Relationship Id="rId40" Type="http://schemas.openxmlformats.org/officeDocument/2006/relationships/hyperlink" Target="http://www.nevo.co.il/case/23855492" TargetMode="External"/><Relationship Id="rId41" Type="http://schemas.openxmlformats.org/officeDocument/2006/relationships/hyperlink" Target="http://www.nevo.co.il/case/26964729" TargetMode="External"/><Relationship Id="rId42" Type="http://schemas.openxmlformats.org/officeDocument/2006/relationships/hyperlink" Target="http://www.nevo.co.il/case/6103934" TargetMode="External"/><Relationship Id="rId43" Type="http://schemas.openxmlformats.org/officeDocument/2006/relationships/hyperlink" Target="http://www.nevo.co.il/case/6009110" TargetMode="External"/><Relationship Id="rId44" Type="http://schemas.openxmlformats.org/officeDocument/2006/relationships/hyperlink" Target="http://www.nevo.co.il/case/23506677" TargetMode="External"/><Relationship Id="rId45" Type="http://schemas.openxmlformats.org/officeDocument/2006/relationships/hyperlink" Target="http://www.nevo.co.il/law/74903/108" TargetMode="External"/><Relationship Id="rId46" Type="http://schemas.openxmlformats.org/officeDocument/2006/relationships/hyperlink" Target="http://www.nevo.co.il/law/74903" TargetMode="External"/><Relationship Id="rId47" Type="http://schemas.openxmlformats.org/officeDocument/2006/relationships/hyperlink" Target="http://www.nevo.co.il/case/23507449" TargetMode="External"/><Relationship Id="rId48" Type="http://schemas.openxmlformats.org/officeDocument/2006/relationships/hyperlink" Target="http://www.nevo.co.il/case/26781969" TargetMode="External"/><Relationship Id="rId49" Type="http://schemas.openxmlformats.org/officeDocument/2006/relationships/hyperlink" Target="https://supreme.court.gov.il/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2023-07-10T10:59:00Z</dcterms:created>
  <dc:creator> </dc:creator>
  <dc:description/>
  <cp:keywords/>
  <dc:language>en-IL</dc:language>
  <cp:lastModifiedBy>h1</cp:lastModifiedBy>
  <cp:lastPrinted>2021-08-25T09:03:00Z</cp:lastPrinted>
  <dcterms:modified xsi:type="dcterms:W3CDTF">2023-07-10T10:59:00Z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4173:2</vt:lpwstr>
  </property>
  <property fmtid="{D5CDD505-2E9C-101B-9397-08002B2CF9AE}" pid="5" name="CASESLISTTMP1">
    <vt:lpwstr>25474049:2;25524768;26964729:2;5799892;6245166;20991830;17931845;5709800;23855492;6103934;6009110;23506677;23507449;26781969</vt:lpwstr>
  </property>
  <property fmtid="{D5CDD505-2E9C-101B-9397-08002B2CF9AE}" pid="6" name="DATE">
    <vt:lpwstr>20210825</vt:lpwstr>
  </property>
  <property fmtid="{D5CDD505-2E9C-101B-9397-08002B2CF9AE}" pid="7" name="ISABSTRACT">
    <vt:lpwstr>Y</vt:lpwstr>
  </property>
  <property fmtid="{D5CDD505-2E9C-101B-9397-08002B2CF9AE}" pid="8" name="JUDGE">
    <vt:lpwstr>י' אלרון;ע' גרוסקופף;ה נ' הנדל</vt:lpwstr>
  </property>
  <property fmtid="{D5CDD505-2E9C-101B-9397-08002B2CF9AE}" pid="9" name="LAWLISTTMP1">
    <vt:lpwstr>70387/011</vt:lpwstr>
  </property>
  <property fmtid="{D5CDD505-2E9C-101B-9397-08002B2CF9AE}" pid="10" name="LAWLISTTMP2">
    <vt:lpwstr>70301/351.c.2;348.b;345.b.1;345.a.1;379;382.b.2</vt:lpwstr>
  </property>
  <property fmtid="{D5CDD505-2E9C-101B-9397-08002B2CF9AE}" pid="11" name="LAWLISTTMP3">
    <vt:lpwstr>74903/108:3</vt:lpwstr>
  </property>
  <property fmtid="{D5CDD505-2E9C-101B-9397-08002B2CF9AE}" pid="12" name="LAWYER">
    <vt:lpwstr>יובל קידר;ספיר הולנדר זיקרי;חן הולנדר</vt:lpwstr>
  </property>
  <property fmtid="{D5CDD505-2E9C-101B-9397-08002B2CF9AE}" pid="13" name="METAKZER">
    <vt:lpwstr>נעה</vt:lpwstr>
  </property>
  <property fmtid="{D5CDD505-2E9C-101B-9397-08002B2CF9AE}" pid="14" name="NOSE11">
    <vt:lpwstr>עונשין</vt:lpwstr>
  </property>
  <property fmtid="{D5CDD505-2E9C-101B-9397-08002B2CF9AE}" pid="15" name="NOSE110">
    <vt:lpwstr>עונשין</vt:lpwstr>
  </property>
  <property fmtid="{D5CDD505-2E9C-101B-9397-08002B2CF9AE}" pid="16" name="NOSE111">
    <vt:lpwstr>עונשין</vt:lpwstr>
  </property>
  <property fmtid="{D5CDD505-2E9C-101B-9397-08002B2CF9AE}" pid="17" name="NOSE12">
    <vt:lpwstr>עונשין</vt:lpwstr>
  </property>
  <property fmtid="{D5CDD505-2E9C-101B-9397-08002B2CF9AE}" pid="18" name="NOSE13">
    <vt:lpwstr>ראיות</vt:lpwstr>
  </property>
  <property fmtid="{D5CDD505-2E9C-101B-9397-08002B2CF9AE}" pid="19" name="NOSE14">
    <vt:lpwstr>ראיות</vt:lpwstr>
  </property>
  <property fmtid="{D5CDD505-2E9C-101B-9397-08002B2CF9AE}" pid="20" name="NOSE15">
    <vt:lpwstr>ראיות</vt:lpwstr>
  </property>
  <property fmtid="{D5CDD505-2E9C-101B-9397-08002B2CF9AE}" pid="21" name="NOSE16">
    <vt:lpwstr>ראיות</vt:lpwstr>
  </property>
  <property fmtid="{D5CDD505-2E9C-101B-9397-08002B2CF9AE}" pid="22" name="NOSE17">
    <vt:lpwstr>ראיות</vt:lpwstr>
  </property>
  <property fmtid="{D5CDD505-2E9C-101B-9397-08002B2CF9AE}" pid="23" name="NOSE18">
    <vt:lpwstr>ראיות</vt:lpwstr>
  </property>
  <property fmtid="{D5CDD505-2E9C-101B-9397-08002B2CF9AE}" pid="24" name="NOSE19">
    <vt:lpwstr>דיון פלילי</vt:lpwstr>
  </property>
  <property fmtid="{D5CDD505-2E9C-101B-9397-08002B2CF9AE}" pid="25" name="NOSE1ID">
    <vt:lpwstr>77;77;89;89;89;89;89;89;18;77;77</vt:lpwstr>
  </property>
  <property fmtid="{D5CDD505-2E9C-101B-9397-08002B2CF9AE}" pid="26" name="NOSE21">
    <vt:lpwstr>עבירות</vt:lpwstr>
  </property>
  <property fmtid="{D5CDD505-2E9C-101B-9397-08002B2CF9AE}" pid="27" name="NOSE210">
    <vt:lpwstr>ענישה</vt:lpwstr>
  </property>
  <property fmtid="{D5CDD505-2E9C-101B-9397-08002B2CF9AE}" pid="28" name="NOSE211">
    <vt:lpwstr>ענישה</vt:lpwstr>
  </property>
  <property fmtid="{D5CDD505-2E9C-101B-9397-08002B2CF9AE}" pid="29" name="NOSE22">
    <vt:lpwstr>עבירות</vt:lpwstr>
  </property>
  <property fmtid="{D5CDD505-2E9C-101B-9397-08002B2CF9AE}" pid="30" name="NOSE23">
    <vt:lpwstr>מהימנות</vt:lpwstr>
  </property>
  <property fmtid="{D5CDD505-2E9C-101B-9397-08002B2CF9AE}" pid="31" name="NOSE24">
    <vt:lpwstr>עדות</vt:lpwstr>
  </property>
  <property fmtid="{D5CDD505-2E9C-101B-9397-08002B2CF9AE}" pid="32" name="NOSE25">
    <vt:lpwstr>עדות</vt:lpwstr>
  </property>
  <property fmtid="{D5CDD505-2E9C-101B-9397-08002B2CF9AE}" pid="33" name="NOSE26">
    <vt:lpwstr>סיוע</vt:lpwstr>
  </property>
  <property fmtid="{D5CDD505-2E9C-101B-9397-08002B2CF9AE}" pid="34" name="NOSE27">
    <vt:lpwstr>סיוע</vt:lpwstr>
  </property>
  <property fmtid="{D5CDD505-2E9C-101B-9397-08002B2CF9AE}" pid="35" name="NOSE28">
    <vt:lpwstr>הכחשה כוללת של האישום</vt:lpwstr>
  </property>
  <property fmtid="{D5CDD505-2E9C-101B-9397-08002B2CF9AE}" pid="36" name="NOSE29">
    <vt:lpwstr>חקירה במשטרה</vt:lpwstr>
  </property>
  <property fmtid="{D5CDD505-2E9C-101B-9397-08002B2CF9AE}" pid="37" name="NOSE2ID">
    <vt:lpwstr>1443;1443;1635;1654;1654;1651;1651;1624;475;1446;1446</vt:lpwstr>
  </property>
  <property fmtid="{D5CDD505-2E9C-101B-9397-08002B2CF9AE}" pid="38" name="NOSE31">
    <vt:lpwstr>עבירות מין בקטין</vt:lpwstr>
  </property>
  <property fmtid="{D5CDD505-2E9C-101B-9397-08002B2CF9AE}" pid="39" name="NOSE310">
    <vt:lpwstr>מדיניות ענישה: עבירות מין במשפחה</vt:lpwstr>
  </property>
  <property fmtid="{D5CDD505-2E9C-101B-9397-08002B2CF9AE}" pid="40" name="NOSE311">
    <vt:lpwstr>מדיניות ענישה: עבירות מין בקטינים</vt:lpwstr>
  </property>
  <property fmtid="{D5CDD505-2E9C-101B-9397-08002B2CF9AE}" pid="41" name="NOSE32">
    <vt:lpwstr>עבירות מין במשפחה</vt:lpwstr>
  </property>
  <property fmtid="{D5CDD505-2E9C-101B-9397-08002B2CF9AE}" pid="42" name="NOSE33">
    <vt:lpwstr>בחינתה על-ידי ערכאת הערעור</vt:lpwstr>
  </property>
  <property fmtid="{D5CDD505-2E9C-101B-9397-08002B2CF9AE}" pid="43" name="NOSE34">
    <vt:lpwstr>קורבן עבירת מין</vt:lpwstr>
  </property>
  <property fmtid="{D5CDD505-2E9C-101B-9397-08002B2CF9AE}" pid="44" name="NOSE35">
    <vt:lpwstr>חוקרת ילדים</vt:lpwstr>
  </property>
  <property fmtid="{D5CDD505-2E9C-101B-9397-08002B2CF9AE}" pid="45" name="NOSE36">
    <vt:lpwstr>עדות קטין לפני חוקר נוער</vt:lpwstr>
  </property>
  <property fmtid="{D5CDD505-2E9C-101B-9397-08002B2CF9AE}" pid="46" name="NOSE37">
    <vt:lpwstr>שקרי הנאשם</vt:lpwstr>
  </property>
  <property fmtid="{D5CDD505-2E9C-101B-9397-08002B2CF9AE}" pid="47" name="NOSE38">
    <vt:lpwstr>נפקותה</vt:lpwstr>
  </property>
  <property fmtid="{D5CDD505-2E9C-101B-9397-08002B2CF9AE}" pid="48" name="NOSE39">
    <vt:lpwstr>מחדלי חקירה</vt:lpwstr>
  </property>
  <property fmtid="{D5CDD505-2E9C-101B-9397-08002B2CF9AE}" pid="49" name="NOSE3ID">
    <vt:lpwstr>16634;12407;10196;12270;14122;10364;10370;10093;3672;16241;16970</vt:lpwstr>
  </property>
  <property fmtid="{D5CDD505-2E9C-101B-9397-08002B2CF9AE}" pid="50" name="PADIDATE">
    <vt:lpwstr>20210826</vt:lpwstr>
  </property>
  <property fmtid="{D5CDD505-2E9C-101B-9397-08002B2CF9AE}" pid="51" name="PADIMAIL">
    <vt:lpwstr>YES</vt:lpwstr>
  </property>
  <property fmtid="{D5CDD505-2E9C-101B-9397-08002B2CF9AE}" pid="52" name="PROCESS">
    <vt:lpwstr>עפ</vt:lpwstr>
  </property>
  <property fmtid="{D5CDD505-2E9C-101B-9397-08002B2CF9AE}" pid="53" name="PROCNUM">
    <vt:lpwstr>5705</vt:lpwstr>
  </property>
  <property fmtid="{D5CDD505-2E9C-101B-9397-08002B2CF9AE}" pid="54" name="PROCYEAR">
    <vt:lpwstr>20</vt:lpwstr>
  </property>
  <property fmtid="{D5CDD505-2E9C-101B-9397-08002B2CF9AE}" pid="55" name="PSAKDIN">
    <vt:lpwstr>פסק-דין</vt:lpwstr>
  </property>
  <property fmtid="{D5CDD505-2E9C-101B-9397-08002B2CF9AE}" pid="56" name="TYPE">
    <vt:lpwstr>1</vt:lpwstr>
  </property>
  <property fmtid="{D5CDD505-2E9C-101B-9397-08002B2CF9AE}" pid="57" name="TYPE_ABS_DATE">
    <vt:lpwstr>410120210825</vt:lpwstr>
  </property>
  <property fmtid="{D5CDD505-2E9C-101B-9397-08002B2CF9AE}" pid="58" name="TYPE_N_DATE">
    <vt:lpwstr>41020210825</vt:lpwstr>
  </property>
  <property fmtid="{D5CDD505-2E9C-101B-9397-08002B2CF9AE}" pid="59" name="WORDNUMPAGES">
    <vt:lpwstr>29</vt:lpwstr>
  </property>
</Properties>
</file>