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1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5721/17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הנשיאה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נאור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אלפתאח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חאג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יחיא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בכפר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סבא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6.7.2017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1583-05-17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גרינברג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rFonts w:cs="Miriam"/>
                <w:sz w:val="24"/>
                <w:sz w:val="24"/>
                <w:szCs w:val="24"/>
                <w:rtl w:val="true"/>
              </w:rPr>
              <w:t>תגובת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המשיבה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Cs w:val="24"/>
              </w:rPr>
              <w:t>8.8.2017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:  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איהאב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לג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ולי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</w:t>
      </w:r>
      <w:r>
        <w:rPr>
          <w:sz w:val="28"/>
          <w:sz w:val="28"/>
          <w:szCs w:val="28"/>
          <w:rtl w:val="true"/>
        </w:rPr>
        <w:t xml:space="preserve"> </w:t>
      </w:r>
    </w:p>
    <w:p>
      <w:pPr>
        <w:pStyle w:val="Ruller31"/>
        <w:ind w:end="0"/>
        <w:jc w:val="start"/>
        <w:rPr/>
      </w:pPr>
      <w:bookmarkStart w:id="3" w:name="FirstLawyer"/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bookmarkEnd w:id="3"/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:                      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חמודות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inks_Start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z w:val="24"/>
          <w:szCs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על סדר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הליכים שלפני משפ 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1984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77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szCs w:val="24"/>
        </w:rPr>
        <w:t>1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77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143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143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147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147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11" w:name="ABSTRACT_START"/>
      <w:bookmarkEnd w:id="11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להכריע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בשאלת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הפגמים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הפרוצדוראליים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שנפלו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בהנחה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קיימים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להידחות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hyperlink r:id="rId14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143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לחסד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חזקה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סטטוטורית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המצטרפת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הקבועות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15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77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1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hyperlink r:id="rId16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בתי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המשפט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ומחייבת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כמגשר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מקדמי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כגון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לחלוטין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החשש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למשוא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מקדמי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[</w:t>
      </w:r>
      <w:r>
        <w:rPr>
          <w:rFonts w:ascii="Times New Roman" w:hAnsi="Times New Roman" w:cs="FrankRuehl"/>
          <w:spacing w:val="0"/>
          <w:szCs w:val="26"/>
          <w:rtl w:val="true"/>
        </w:rPr>
        <w:t>נוסח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משולב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], </w:t>
      </w:r>
      <w:r>
        <w:rPr>
          <w:rFonts w:ascii="Times New Roman" w:hAnsi="Times New Roman" w:cs="FrankRuehl"/>
          <w:spacing w:val="0"/>
          <w:szCs w:val="26"/>
          <w:rtl w:val="true"/>
        </w:rPr>
        <w:t>תשמב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1982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FrankRuehl"/>
          <w:spacing w:val="0"/>
          <w:szCs w:val="26"/>
          <w:rtl w:val="true"/>
        </w:rPr>
        <w:t>פרשנות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בתי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למשוא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בירור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האשמה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גישור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שלום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שניתנה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חוזרת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בהסתמך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17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143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hyperlink r:id="rId18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סדר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הדין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הפלילי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להעביר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המתנהל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הטיעונים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הנוכחי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ניהל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צלח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מקדמי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כמגשר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מקדמי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להעביר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לשיטתו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לנהוג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עקב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פרוצדוראליים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הנשיאה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Cs w:val="26"/>
          <w:rtl w:val="true"/>
        </w:rPr>
        <w:t>נאור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בקשתה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להחלפת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הוגשה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בהסתמך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19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143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hyperlink r:id="rId20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סדר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הדין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הפלילי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מקדמי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יעביר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שימשיך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לדון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[...]".</w:t>
      </w:r>
      <w:r>
        <w:rPr>
          <w:rFonts w:ascii="Times New Roman" w:hAnsi="Times New Roman" w:cs="FrankRuehl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</w:t>
      </w:r>
      <w:hyperlink r:id="rId21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ע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4877/13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עווידה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בהליכי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גישור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מצוין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במפורש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בלשון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הסעיף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ושיש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המוגשת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שופט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סדרי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הרלוונטיים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להליכי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שופט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לציין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22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147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לחסד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הקובעות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השאר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המתכוון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להודיע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ולהגיש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הודגש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23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77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ג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hyperlink r:id="rId24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בתי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המשפט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[</w:t>
      </w:r>
      <w:r>
        <w:rPr>
          <w:rFonts w:ascii="Times New Roman" w:hAnsi="Times New Roman" w:cs="FrankRuehl"/>
          <w:spacing w:val="0"/>
          <w:szCs w:val="26"/>
          <w:rtl w:val="true"/>
        </w:rPr>
        <w:t>נוסח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משולב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],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יוגש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לנשיא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הוראות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שעומדות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בבסיס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טענותיו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הפרוצדוראליות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בקשתה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החוזרת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פסלות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שהוגש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הודעה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המתאימה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ההחלטה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המקורית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חלוטה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לעמדת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הנשיאה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להכריע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בשאלת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הפגמים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הפרוצדוראליים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שנפלו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לכאורה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בהליך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בהנחה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קיימים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להידחות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לזכור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חשיבותם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בפרט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חזקה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המחייבת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לפסיקת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hyperlink r:id="rId25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143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חזקה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סטטוטורית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המצטרפת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הקבועות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26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77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pacing w:val="0"/>
            <w:szCs w:val="26"/>
          </w:rPr>
          <w:t>1</w:t>
        </w:r>
        <w:r>
          <w:rPr>
            <w:rStyle w:val="Hyperlink"/>
            <w:rFonts w:cs="FrankRuehl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hyperlink r:id="rId27"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בתי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Cs w:val="26"/>
            <w:rtl w:val="true"/>
          </w:rPr>
          <w:t>המשפט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ומחייבת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החלפת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כגון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לחלוטין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החשש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למשוא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מקדמי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חשש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מאופיו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המיוחד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לעודד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הידברות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פתוחה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הצדדים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חזקה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מייתרת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להוכיח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חשש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למשוא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הקונקרטי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ומצדיקה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למותב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ודחיית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Cs w:val="26"/>
        </w:rPr>
      </w:pPr>
      <w:r>
        <w:rPr>
          <w:rFonts w:cs="FrankRuehl"/>
          <w:spacing w:val="0"/>
          <w:szCs w:val="26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r>
              <w:rPr>
                <w:rtl w:val="true"/>
              </w:rPr>
              <w:t xml:space="preserve"> </w:t>
            </w:r>
            <w:bookmarkStart w:id="14" w:name="PsakDin"/>
            <w:bookmarkStart w:id="15" w:name="secretary"/>
            <w:bookmarkStart w:id="16" w:name="BeginProtocol"/>
            <w:bookmarkEnd w:id="14"/>
            <w:bookmarkEnd w:id="15"/>
            <w:bookmarkEnd w:id="16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bookmarkStart w:id="17" w:name="Writer_Name"/>
      <w:bookmarkEnd w:id="17"/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גרינברג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6.7.2017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1583-05-17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למותב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"/>
          <w:rtl w:val="true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1</w:t>
      </w:r>
      <w:r>
        <w:rPr>
          <w:rFonts w:cs="Times New Roman" w:ascii="Times New Roman" w:hAnsi="Times New Roman"/>
          <w:sz w:val="20"/>
          <w:szCs w:val="20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tl w:val="true"/>
        </w:rPr>
        <w:t xml:space="preserve">נגד המערער הוגש כתב אישום המייחס לו עבירות שונות לפי </w:t>
      </w:r>
      <w:hyperlink r:id="rId2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22.6.2017</w:t>
      </w:r>
      <w:r>
        <w:rPr>
          <w:rtl w:val="true"/>
        </w:rPr>
        <w:t xml:space="preserve"> </w:t>
      </w:r>
      <w:r>
        <w:rPr>
          <w:rtl w:val="true"/>
        </w:rPr>
        <w:t>התקיים דיון גישור בין הצדדים</w:t>
      </w:r>
      <w:r>
        <w:rPr>
          <w:rtl w:val="true"/>
        </w:rPr>
        <w:t xml:space="preserve">. </w:t>
      </w:r>
      <w:r>
        <w:rPr>
          <w:rtl w:val="true"/>
        </w:rPr>
        <w:t>הליך הגישור לא צלח</w:t>
      </w:r>
      <w:r>
        <w:rPr>
          <w:rtl w:val="true"/>
        </w:rPr>
        <w:t xml:space="preserve">, </w:t>
      </w:r>
      <w:r>
        <w:rPr>
          <w:rtl w:val="true"/>
        </w:rPr>
        <w:t>אך בסוף הדיון הודה המערער בעבירות שיוחסו לו שלא במסגרת הסדר טיעון</w:t>
      </w:r>
      <w:r>
        <w:rPr>
          <w:rtl w:val="true"/>
        </w:rPr>
        <w:t xml:space="preserve">. </w:t>
      </w:r>
      <w:r>
        <w:rPr>
          <w:rtl w:val="true"/>
        </w:rPr>
        <w:t>בתום דברים אלה החליט המותב לקבוע דיון לטיעונים לעונש בפניו</w:t>
      </w:r>
      <w:r>
        <w:rPr>
          <w:rtl w:val="true"/>
        </w:rPr>
        <w:t xml:space="preserve">. </w:t>
      </w:r>
      <w:r>
        <w:rPr>
          <w:rtl w:val="true"/>
        </w:rPr>
        <w:t>בתגובה להחלטה זו המשיבה ביקשה שהדיון יועבר למותב אחר לשם שמיעת הטיעונים לעונש</w:t>
      </w:r>
      <w:r>
        <w:rPr>
          <w:rtl w:val="true"/>
        </w:rPr>
        <w:t xml:space="preserve">. </w:t>
      </w:r>
      <w:r>
        <w:rPr>
          <w:rtl w:val="true"/>
        </w:rPr>
        <w:t>זאת משום שהמותב ניהל את הליך הגישור ובמסגרת זו</w:t>
      </w:r>
      <w:r>
        <w:rPr>
          <w:rtl w:val="true"/>
        </w:rPr>
        <w:t xml:space="preserve">, </w:t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>הביע דעתו על טיבן של העבירות המיוחסות למערער ועל סוגיות הקשורות למתחם הענישה הראוי</w:t>
      </w:r>
      <w:r>
        <w:rPr>
          <w:rtl w:val="true"/>
        </w:rPr>
        <w:t xml:space="preserve">. </w:t>
      </w:r>
      <w:r>
        <w:rPr>
          <w:rtl w:val="true"/>
        </w:rPr>
        <w:t xml:space="preserve">הבקשה להחלפת המותב נדחתה על ידי בית המשפט קמא </w:t>
      </w:r>
      <w:r>
        <w:rPr>
          <w:rtl w:val="true"/>
        </w:rPr>
        <w:t>(</w:t>
      </w:r>
      <w:r>
        <w:rPr>
          <w:rtl w:val="true"/>
        </w:rPr>
        <w:t xml:space="preserve">החלטה מיום </w:t>
      </w:r>
      <w:r>
        <w:rPr/>
        <w:t>22.6.2017</w:t>
      </w:r>
      <w:r>
        <w:rPr>
          <w:rtl w:val="true"/>
        </w:rPr>
        <w:t xml:space="preserve">). </w:t>
      </w:r>
      <w:r>
        <w:rPr>
          <w:rtl w:val="true"/>
        </w:rPr>
        <w:t xml:space="preserve">ביום </w:t>
      </w:r>
      <w:r>
        <w:rPr/>
        <w:t>27.6.2017</w:t>
      </w:r>
      <w:r>
        <w:rPr>
          <w:rtl w:val="true"/>
        </w:rPr>
        <w:t xml:space="preserve"> </w:t>
      </w:r>
      <w:r>
        <w:rPr>
          <w:rtl w:val="true"/>
        </w:rPr>
        <w:t>הגישה המשיבה בקשה חוזרת באותו עניין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קמא נעתר לבקשה זו וקבע שהמשך הדיון בתיק יישמע בפני מותב אחר </w:t>
      </w:r>
      <w:r>
        <w:rPr>
          <w:rtl w:val="true"/>
        </w:rPr>
        <w:t>(</w:t>
      </w:r>
      <w:r>
        <w:rPr>
          <w:rtl w:val="true"/>
        </w:rPr>
        <w:t xml:space="preserve">החלטה מיום </w:t>
      </w:r>
      <w:r>
        <w:rPr/>
        <w:t>6.7.2017</w:t>
      </w:r>
      <w:r>
        <w:rPr>
          <w:rtl w:val="true"/>
        </w:rPr>
        <w:t xml:space="preserve">). </w:t>
      </w:r>
      <w:r>
        <w:rPr>
          <w:rtl w:val="true"/>
        </w:rPr>
        <w:t>זאת על אף שקבע שהבקשה לא הוגשה על פי סדרי הדין הקבועים בחוק</w:t>
      </w:r>
      <w:r>
        <w:rPr>
          <w:rtl w:val="true"/>
        </w:rPr>
        <w:t xml:space="preserve">. 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כמגשר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פרוצדורליים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ופט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22.6.2017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כחלוטה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והפיכתה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לסיום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6.7.2017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בתגובתה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27.6.2017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פרוצדוראליים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והתבטאויותיו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</w:p>
    <w:p>
      <w:pPr>
        <w:pStyle w:val="Ruller4"/>
        <w:spacing w:lineRule="auto" w:line="480"/>
        <w:ind w:end="0"/>
        <w:jc w:val="both"/>
        <w:rPr>
          <w:rFonts w:eastAsia="Arial TUR"/>
        </w:rPr>
      </w:pPr>
      <w:r>
        <w:rPr>
          <w:rFonts w:eastAsia="Arial TUR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143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: </w:t>
      </w:r>
    </w:p>
    <w:tbl>
      <w:tblPr>
        <w:bidiVisual w:val="true"/>
        <w:tblW w:w="5954" w:type="dxa"/>
        <w:jc w:val="start"/>
        <w:tblInd w:w="124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92"/>
        <w:gridCol w:w="4962"/>
      </w:tblGrid>
      <w:tr>
        <w:trPr/>
        <w:tc>
          <w:tcPr>
            <w:tcW w:w="992" w:type="dxa"/>
            <w:tcBorders/>
          </w:tcPr>
          <w:p>
            <w:pPr>
              <w:pStyle w:val="Normal"/>
              <w:overflowPunct w:val="true"/>
              <w:ind w:end="0"/>
              <w:jc w:val="start"/>
              <w:rPr>
                <w:sz w:val="18"/>
                <w:szCs w:val="18"/>
              </w:rPr>
            </w:pPr>
            <w:r>
              <w:rPr>
                <w:rFonts w:cs="Miriam"/>
                <w:sz w:val="18"/>
                <w:sz w:val="18"/>
                <w:szCs w:val="18"/>
                <w:rtl w:val="true"/>
              </w:rPr>
              <w:t>דיון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cs="Miriam"/>
                <w:sz w:val="18"/>
                <w:sz w:val="18"/>
                <w:szCs w:val="18"/>
                <w:rtl w:val="true"/>
              </w:rPr>
              <w:t>מקדמי</w:t>
            </w:r>
          </w:p>
        </w:tc>
        <w:tc>
          <w:tcPr>
            <w:tcW w:w="4962" w:type="dxa"/>
            <w:tcBorders/>
          </w:tcPr>
          <w:p>
            <w:pPr>
              <w:pStyle w:val="Ruller4"/>
              <w:spacing w:lineRule="auto" w:line="240"/>
              <w:ind w:firstLine="743" w:end="0"/>
              <w:jc w:val="both"/>
              <w:rPr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לא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הסתיים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הדיון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בכתב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האישום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במסגרת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דיון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מקדמי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לפי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סעיף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זה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יעביר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את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הדיון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בכתב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האישום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לשופט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אחר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שימשיך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לדון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[...]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במפורש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4877/13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עווידה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9-6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גרוניס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22.4.2014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עווידה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המשפט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הפרוצדוראליות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הפרוצדוראליים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שלדידי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1/48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סילוסטר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היועץ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המשפטי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לממשלת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19-18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1949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6292/00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חורי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523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528-526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קדמי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סדר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הדין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בפלילים</w:t>
      </w:r>
      <w:r>
        <w:rPr>
          <w:rFonts w:cs="Miriam"/>
          <w:spacing w:val="0"/>
          <w:rtl w:val="true"/>
        </w:rPr>
        <w:t xml:space="preserve">: </w:t>
      </w:r>
      <w:r>
        <w:rPr>
          <w:rFonts w:cs="Miriam"/>
          <w:spacing w:val="0"/>
          <w:rtl w:val="true"/>
        </w:rPr>
        <w:t>חלק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הליכים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שלאחר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כתב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2135-2129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עווידה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השיהוי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גרוניס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spacing w:lineRule="auto" w:line="480"/>
        <w:ind w:end="0"/>
        <w:jc w:val="both"/>
        <w:rPr>
          <w:rFonts w:eastAsia="Arial TUR"/>
        </w:rPr>
      </w:pPr>
      <w:r>
        <w:rPr>
          <w:rFonts w:eastAsia="Arial TUR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לשיטתי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עווידה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143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143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סטטוטורית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77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המקדמי</w:t>
      </w:r>
      <w:r>
        <w:rPr>
          <w:rFonts w:cs="FrankRuehl"/>
          <w:sz w:val="28"/>
          <w:szCs w:val="28"/>
          <w:rtl w:val="true"/>
        </w:rPr>
        <w:t>. [...]."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גרוניס</w:t>
      </w:r>
      <w:r>
        <w:rPr>
          <w:rFonts w:cs="FrankRuehl"/>
          <w:sz w:val="28"/>
          <w:szCs w:val="28"/>
          <w:rtl w:val="true"/>
        </w:rPr>
        <w:t>)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143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סטטוטורית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המצטרפת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המשפט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ומחייבת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1061/16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רובינוב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9-7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11.2.2016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לעודד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מקדמי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158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עווידה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11-9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גרוניס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מייתרת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ומצדיקה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6.7.2017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פרוצדוראליים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זוהי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cs="FrankRuehl"/>
          <w:sz w:val="28"/>
          <w:szCs w:val="28"/>
          <w:rtl w:val="true"/>
        </w:rPr>
        <w:t xml:space="preserve">.   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"/>
        </w:rPr>
      </w:pPr>
      <w:r>
        <w:rPr>
          <w:rFonts w:eastAsia="Arial TUR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21.8.2017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color w:val="FFFFFF"/>
                <w:sz w:val="2"/>
                <w:szCs w:val="2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17057210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C03.doc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דז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4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ה 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נאור </w:t>
      </w:r>
      <w:r>
        <w:rPr>
          <w:rFonts w:cs="David" w:ascii="David" w:hAnsi="David"/>
          <w:color w:val="000000"/>
        </w:rPr>
        <w:t>54678313-5721/17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50"/>
      <w:footerReference w:type="default" r:id="rId5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5721/17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מוחמד בן עבד אלפתאח חאג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יחיא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">
    <w:name w:val=" Char Char"/>
    <w:qFormat/>
    <w:rPr>
      <w:rFonts w:ascii="Century" w:hAnsi="Century" w:cs="Century"/>
      <w:spacing w:val="10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pPr>
      <w:ind w:hanging="0" w:start="0" w:end="0"/>
      <w:jc w:val="start"/>
    </w:pPr>
    <w:rPr>
      <w:rFonts w:ascii="Century" w:hAnsi="Century" w:cs="Century"/>
      <w:spacing w:val="1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4">
    <w:name w:val="טקסט הערת שולי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580301" TargetMode="External"/><Relationship Id="rId3" Type="http://schemas.openxmlformats.org/officeDocument/2006/relationships/hyperlink" Target="http://www.nevo.co.il/safrut/bookgroup/2344" TargetMode="External"/><Relationship Id="rId4" Type="http://schemas.openxmlformats.org/officeDocument/2006/relationships/hyperlink" Target="http://www.nevo.co.il/safrut/bookgroup/2344" TargetMode="External"/><Relationship Id="rId5" Type="http://schemas.openxmlformats.org/officeDocument/2006/relationships/hyperlink" Target="http://www.nevo.co.il/law/74849" TargetMode="External"/><Relationship Id="rId6" Type="http://schemas.openxmlformats.org/officeDocument/2006/relationships/hyperlink" Target="http://www.nevo.co.il/law/74849/77a.a1" TargetMode="External"/><Relationship Id="rId7" Type="http://schemas.openxmlformats.org/officeDocument/2006/relationships/hyperlink" Target="http://www.nevo.co.il/law/74849/77a.c" TargetMode="External"/><Relationship Id="rId8" Type="http://schemas.openxmlformats.org/officeDocument/2006/relationships/hyperlink" Target="http://www.nevo.co.il/law/74849/143a.e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/143a.e" TargetMode="External"/><Relationship Id="rId11" Type="http://schemas.openxmlformats.org/officeDocument/2006/relationships/hyperlink" Target="http://www.nevo.co.il/law/74903/147" TargetMode="External"/><Relationship Id="rId12" Type="http://schemas.openxmlformats.org/officeDocument/2006/relationships/hyperlink" Target="http://www.nevo.co.il/law/74903/147.b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74849/143a.e" TargetMode="External"/><Relationship Id="rId15" Type="http://schemas.openxmlformats.org/officeDocument/2006/relationships/hyperlink" Target="http://www.nevo.co.il/law/74849/77a.a1" TargetMode="External"/><Relationship Id="rId16" Type="http://schemas.openxmlformats.org/officeDocument/2006/relationships/hyperlink" Target="http://www.nevo.co.il/law/74849" TargetMode="External"/><Relationship Id="rId17" Type="http://schemas.openxmlformats.org/officeDocument/2006/relationships/hyperlink" Target="http://www.nevo.co.il/law/74903/143a.e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law/74903/143a.e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case/7776265" TargetMode="External"/><Relationship Id="rId22" Type="http://schemas.openxmlformats.org/officeDocument/2006/relationships/hyperlink" Target="http://www.nevo.co.il/law/74903/147" TargetMode="External"/><Relationship Id="rId23" Type="http://schemas.openxmlformats.org/officeDocument/2006/relationships/hyperlink" Target="http://www.nevo.co.il/law/74849/77a.c" TargetMode="External"/><Relationship Id="rId24" Type="http://schemas.openxmlformats.org/officeDocument/2006/relationships/hyperlink" Target="http://www.nevo.co.il/law/74849" TargetMode="External"/><Relationship Id="rId25" Type="http://schemas.openxmlformats.org/officeDocument/2006/relationships/hyperlink" Target="http://www.nevo.co.il/law/74849/143a.e" TargetMode="External"/><Relationship Id="rId26" Type="http://schemas.openxmlformats.org/officeDocument/2006/relationships/hyperlink" Target="http://www.nevo.co.il/law/74849/77a.a1" TargetMode="External"/><Relationship Id="rId27" Type="http://schemas.openxmlformats.org/officeDocument/2006/relationships/hyperlink" Target="http://www.nevo.co.il/law/74849" TargetMode="External"/><Relationship Id="rId28" Type="http://schemas.openxmlformats.org/officeDocument/2006/relationships/hyperlink" Target="http://www.nevo.co.il/case/22580301" TargetMode="External"/><Relationship Id="rId29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evo.co.il/law/74903/147.b" TargetMode="External"/><Relationship Id="rId31" Type="http://schemas.openxmlformats.org/officeDocument/2006/relationships/hyperlink" Target="http://www.nevo.co.il/law/74903" TargetMode="External"/><Relationship Id="rId32" Type="http://schemas.openxmlformats.org/officeDocument/2006/relationships/hyperlink" Target="http://www.nevo.co.il/law/74903/143a.e" TargetMode="External"/><Relationship Id="rId33" Type="http://schemas.openxmlformats.org/officeDocument/2006/relationships/hyperlink" Target="http://www.nevo.co.il/law/74903" TargetMode="External"/><Relationship Id="rId34" Type="http://schemas.openxmlformats.org/officeDocument/2006/relationships/hyperlink" Target="http://www.nevo.co.il/case/7776265" TargetMode="External"/><Relationship Id="rId35" Type="http://schemas.openxmlformats.org/officeDocument/2006/relationships/hyperlink" Target="http://www.nevo.co.il/law/74903/147" TargetMode="External"/><Relationship Id="rId36" Type="http://schemas.openxmlformats.org/officeDocument/2006/relationships/hyperlink" Target="http://www.nevo.co.il/law/74903" TargetMode="External"/><Relationship Id="rId37" Type="http://schemas.openxmlformats.org/officeDocument/2006/relationships/hyperlink" Target="http://www.nevo.co.il/law/74849/77a.c" TargetMode="External"/><Relationship Id="rId38" Type="http://schemas.openxmlformats.org/officeDocument/2006/relationships/hyperlink" Target="http://www.nevo.co.il/law/74849" TargetMode="External"/><Relationship Id="rId39" Type="http://schemas.openxmlformats.org/officeDocument/2006/relationships/hyperlink" Target="http://www.nevo.co.il/case/16996017" TargetMode="External"/><Relationship Id="rId40" Type="http://schemas.openxmlformats.org/officeDocument/2006/relationships/hyperlink" Target="http://www.nevo.co.il/case/6057649" TargetMode="External"/><Relationship Id="rId41" Type="http://schemas.openxmlformats.org/officeDocument/2006/relationships/hyperlink" Target="http://www.nevo.co.il/safrut/bookgroup/2344" TargetMode="External"/><Relationship Id="rId42" Type="http://schemas.openxmlformats.org/officeDocument/2006/relationships/hyperlink" Target="http://www.nevo.co.il/law/74903" TargetMode="External"/><Relationship Id="rId43" Type="http://schemas.openxmlformats.org/officeDocument/2006/relationships/hyperlink" Target="http://www.nevo.co.il/law/74849/143a.e" TargetMode="External"/><Relationship Id="rId44" Type="http://schemas.openxmlformats.org/officeDocument/2006/relationships/hyperlink" Target="http://www.nevo.co.il/law/74849/77a.a1" TargetMode="External"/><Relationship Id="rId45" Type="http://schemas.openxmlformats.org/officeDocument/2006/relationships/hyperlink" Target="http://www.nevo.co.il/law/74849" TargetMode="External"/><Relationship Id="rId46" Type="http://schemas.openxmlformats.org/officeDocument/2006/relationships/hyperlink" Target="http://www.nevo.co.il/case/20952933" TargetMode="External"/><Relationship Id="rId47" Type="http://schemas.openxmlformats.org/officeDocument/2006/relationships/hyperlink" Target="http://www.nevo.co.il/law/74903" TargetMode="External"/><Relationship Id="rId48" Type="http://schemas.openxmlformats.org/officeDocument/2006/relationships/hyperlink" Target="http://www.court.gov.il/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2022-08-31T13:14:00Z</dcterms:created>
  <dc:creator> </dc:creator>
  <dc:description/>
  <cp:keywords/>
  <dc:language>en-IL</dc:language>
  <cp:lastModifiedBy>h11</cp:lastModifiedBy>
  <dcterms:modified xsi:type="dcterms:W3CDTF">2022-08-31T13:14:00Z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בן עבד אלפתאח חאג' יחיא</vt:lpwstr>
  </property>
  <property fmtid="{D5CDD505-2E9C-101B-9397-08002B2CF9AE}" pid="3" name="APPELLEE">
    <vt:lpwstr>מדינת ישראל</vt:lpwstr>
  </property>
  <property fmtid="{D5CDD505-2E9C-101B-9397-08002B2CF9AE}" pid="4" name="BOOKGROUPTMP1">
    <vt:lpwstr>2344</vt:lpwstr>
  </property>
  <property fmtid="{D5CDD505-2E9C-101B-9397-08002B2CF9AE}" pid="5" name="CASESLISTTMP1">
    <vt:lpwstr>22580301:2;7776265:2;16996017;6057649;20952933</vt:lpwstr>
  </property>
  <property fmtid="{D5CDD505-2E9C-101B-9397-08002B2CF9AE}" pid="6" name="DATE">
    <vt:lpwstr>20170821</vt:lpwstr>
  </property>
  <property fmtid="{D5CDD505-2E9C-101B-9397-08002B2CF9AE}" pid="7" name="ISABSTRACT">
    <vt:lpwstr>Y</vt:lpwstr>
  </property>
  <property fmtid="{D5CDD505-2E9C-101B-9397-08002B2CF9AE}" pid="8" name="JUDGE">
    <vt:lpwstr>מ' נאור</vt:lpwstr>
  </property>
  <property fmtid="{D5CDD505-2E9C-101B-9397-08002B2CF9AE}" pid="9" name="LAWLISTTMP1">
    <vt:lpwstr>74849/143a.e;077a.a1;077a.c</vt:lpwstr>
  </property>
  <property fmtid="{D5CDD505-2E9C-101B-9397-08002B2CF9AE}" pid="10" name="LAWLISTTMP2">
    <vt:lpwstr>74903/143a.e;147;147.b</vt:lpwstr>
  </property>
  <property fmtid="{D5CDD505-2E9C-101B-9397-08002B2CF9AE}" pid="11" name="LAWLISTTMP3">
    <vt:lpwstr>4216</vt:lpwstr>
  </property>
  <property fmtid="{D5CDD505-2E9C-101B-9397-08002B2CF9AE}" pid="12" name="LAWYER">
    <vt:lpwstr>יאיר חמודות;איהאב ג'לג'ולי;משה מאור</vt:lpwstr>
  </property>
  <property fmtid="{D5CDD505-2E9C-101B-9397-08002B2CF9AE}" pid="13" name="METAKZER">
    <vt:lpwstr>נעה</vt:lpwstr>
  </property>
  <property fmtid="{D5CDD505-2E9C-101B-9397-08002B2CF9AE}" pid="14" name="NOSE11">
    <vt:lpwstr>דיון פלילי</vt:lpwstr>
  </property>
  <property fmtid="{D5CDD505-2E9C-101B-9397-08002B2CF9AE}" pid="15" name="NOSE12">
    <vt:lpwstr>בתי-משפט</vt:lpwstr>
  </property>
  <property fmtid="{D5CDD505-2E9C-101B-9397-08002B2CF9AE}" pid="16" name="NOSE13">
    <vt:lpwstr>דיון פלילי</vt:lpwstr>
  </property>
  <property fmtid="{D5CDD505-2E9C-101B-9397-08002B2CF9AE}" pid="17" name="NOSE1ID">
    <vt:lpwstr>18;14;18</vt:lpwstr>
  </property>
  <property fmtid="{D5CDD505-2E9C-101B-9397-08002B2CF9AE}" pid="18" name="NOSE21">
    <vt:lpwstr>חוק סדר הדין הפלילי [נוסח משולב], תשמב-1982</vt:lpwstr>
  </property>
  <property fmtid="{D5CDD505-2E9C-101B-9397-08002B2CF9AE}" pid="19" name="NOSE22">
    <vt:lpwstr>פסלות שופט</vt:lpwstr>
  </property>
  <property fmtid="{D5CDD505-2E9C-101B-9397-08002B2CF9AE}" pid="20" name="NOSE23">
    <vt:lpwstr>בירור האשמה</vt:lpwstr>
  </property>
  <property fmtid="{D5CDD505-2E9C-101B-9397-08002B2CF9AE}" pid="21" name="NOSE2ID">
    <vt:lpwstr>471;336;449</vt:lpwstr>
  </property>
  <property fmtid="{D5CDD505-2E9C-101B-9397-08002B2CF9AE}" pid="22" name="NOSE31">
    <vt:lpwstr>פרשנות</vt:lpwstr>
  </property>
  <property fmtid="{D5CDD505-2E9C-101B-9397-08002B2CF9AE}" pid="23" name="NOSE32">
    <vt:lpwstr>אפשרות ממשית למשוא פנים</vt:lpwstr>
  </property>
  <property fmtid="{D5CDD505-2E9C-101B-9397-08002B2CF9AE}" pid="24" name="NOSE33">
    <vt:lpwstr>הליך גישור</vt:lpwstr>
  </property>
  <property fmtid="{D5CDD505-2E9C-101B-9397-08002B2CF9AE}" pid="25" name="NOSE3ID">
    <vt:lpwstr>11798;11840;17428</vt:lpwstr>
  </property>
  <property fmtid="{D5CDD505-2E9C-101B-9397-08002B2CF9AE}" pid="26" name="PADIDATE">
    <vt:lpwstr>20170823</vt:lpwstr>
  </property>
  <property fmtid="{D5CDD505-2E9C-101B-9397-08002B2CF9AE}" pid="27" name="PADIMAIL">
    <vt:lpwstr>YES</vt:lpwstr>
  </property>
  <property fmtid="{D5CDD505-2E9C-101B-9397-08002B2CF9AE}" pid="28" name="PROCESS">
    <vt:lpwstr>עפ</vt:lpwstr>
  </property>
  <property fmtid="{D5CDD505-2E9C-101B-9397-08002B2CF9AE}" pid="29" name="PROCNUM">
    <vt:lpwstr>5721</vt:lpwstr>
  </property>
  <property fmtid="{D5CDD505-2E9C-101B-9397-08002B2CF9AE}" pid="30" name="PROCYEAR">
    <vt:lpwstr>17</vt:lpwstr>
  </property>
  <property fmtid="{D5CDD505-2E9C-101B-9397-08002B2CF9AE}" pid="31" name="PSAKDIN">
    <vt:lpwstr>פסק-דין</vt:lpwstr>
  </property>
  <property fmtid="{D5CDD505-2E9C-101B-9397-08002B2CF9AE}" pid="32" name="TYPE">
    <vt:lpwstr>1</vt:lpwstr>
  </property>
  <property fmtid="{D5CDD505-2E9C-101B-9397-08002B2CF9AE}" pid="33" name="TYPE_ABS_DATE">
    <vt:lpwstr>410120170821</vt:lpwstr>
  </property>
  <property fmtid="{D5CDD505-2E9C-101B-9397-08002B2CF9AE}" pid="34" name="TYPE_N_DATE">
    <vt:lpwstr>41020170821</vt:lpwstr>
  </property>
  <property fmtid="{D5CDD505-2E9C-101B-9397-08002B2CF9AE}" pid="35" name="WORDNUMPAGES">
    <vt:lpwstr>7</vt:lpwstr>
  </property>
</Properties>
</file>