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5736/22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מוחיי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אלדין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עסאספה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2"/>
        <w:gridCol w:w="5102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gridSpan w:val="2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gridSpan w:val="2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/>
        <w:tc>
          <w:tcPr>
            <w:tcW w:w="3262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5102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 xml:space="preserve">- 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מרשק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מרום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29.9.2021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וביום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19.7.2022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19411-10-18</w:t>
              </w:r>
            </w:hyperlink>
            <w:r>
              <w:rPr>
                <w:color w:val="0000FF"/>
                <w:sz w:val="24"/>
                <w:szCs w:val="24"/>
                <w:u w:val="single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י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באייר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התשפ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ג</w:t>
            </w:r>
          </w:p>
        </w:tc>
        <w:tc>
          <w:tcPr>
            <w:tcW w:w="271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10.5.2023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עודד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ציון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298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333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]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62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64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64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217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פסק כי המערער יורשע בעבירה של גרימת מוות בקלות דעת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ג לחוק העונשין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חלף הרשעתו בעבירת הריגה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298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אשר בוטל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המערער נכנס ברכבו לצומת באור אדום ועל ידי כך גרם לתאונה הקטלנית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עמד על הצורך בהשתת עונשים מחמירים ומרתיעים במציאות העגומה של הקטל בכבישי מדינת ישראל ופסק כי אין מקום להתערב בעונש מאסר בפועל בן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שהושת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בנסיבות העניין אף היה מקום להחמיר 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המדינה לא ערערה על קולת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המתה בקלות דעת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מחשבה פלילית – קלות דעת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המתה בקלות דעת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תאונות דרכים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הכרעת 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גזר דין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לפיהם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קמא מצא את המערער אשם בעבירת הריגה כהגדרתה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298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והענישו תחת תקרת העונש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שקבועה כעת בצדה של המתה בקלות דעת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עבירה שנקבעה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301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 לחוק במסגרת הרפורמה בעבירות המתה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כן נמצא המערער אשם בנהיגה בשכרות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ובחבלה חמורה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העונש שהושת על המערער בגין עבירות אלה כולל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לריצוי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פסילה בפועל מלהחזיק או לקבל רישיון נהיגה למשך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וכן פיצוי כספי לנפגעי העבירה בסך כולל של </w:t>
      </w:r>
      <w:r>
        <w:rPr>
          <w:rFonts w:cs="Times New Roman" w:ascii="Times New Roman" w:hAnsi="Times New Roman"/>
          <w:spacing w:val="0"/>
          <w:sz w:val="24"/>
          <w:szCs w:val="26"/>
        </w:rPr>
        <w:t>120,000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שטיין ובהסכמת השופטים אלרון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כנפי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שטייניץ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אשר ל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 על ההרשעה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מחלוקת לגבי התאונה ותוצאותיה וכן לגבי שכרותו של המערער בזמן התאונה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המחלוקת העובדתית מתמצית בשאלה האם המערער חצה את הצומת ברכבו באור אדום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אם </w:t>
      </w:r>
      <w:r>
        <w:rPr>
          <w:rFonts w:ascii="Times New Roman" w:hAnsi="Times New Roman" w:cs="Times New Roman"/>
          <w:spacing w:val="0"/>
          <w:szCs w:val="26"/>
          <w:rtl w:val="true"/>
        </w:rPr>
        <w:t>יי</w:t>
      </w:r>
      <w:r>
        <w:rPr>
          <w:rFonts w:ascii="Times New Roman" w:hAnsi="Times New Roman" w:cs="Times New Roman"/>
          <w:spacing w:val="0"/>
          <w:szCs w:val="26"/>
          <w:rtl w:val="true"/>
        </w:rPr>
        <w:t>מצא כי המערער אכן חצה ברכבו את הצומת באור אדום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אשם בהמתה בקלות דעת לפי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לחוק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הרכיב הנפשי הדרוש להתהוות העבירה של חבלה חמורה הוא מודעות לטיב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מעשה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לחציית צומת באור אדום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וקלות דעת או אדישות ביחס לחבלה שנהיגה מסוכנת בכלי רכב עלולה לגרום לאחד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רכיב זה </w:t>
      </w:r>
      <w:r>
        <w:rPr>
          <w:rFonts w:ascii="Times New Roman" w:hAnsi="Times New Roman" w:cs="Times New Roman"/>
          <w:spacing w:val="0"/>
          <w:szCs w:val="26"/>
          <w:rtl w:val="true"/>
        </w:rPr>
        <w:t>אכן מ</w:t>
      </w:r>
      <w:r>
        <w:rPr>
          <w:rFonts w:ascii="Times New Roman" w:hAnsi="Times New Roman" w:cs="Times New Roman"/>
          <w:spacing w:val="0"/>
          <w:szCs w:val="26"/>
          <w:rtl w:val="true"/>
        </w:rPr>
        <w:t>תקיים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מסקנה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עובדתית שקבע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>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 אין מקום להתערב היא כי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נכנס ברכבו לצומת באור אדום ועל ידי כך גרם לתאונה הקטלנית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במקרה זה 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הרשעת המערער בגרימת מוות בקלות דעת ובעבירות נוספות עומדת על יסודות איתנים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על ההרשעה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בכפוף להחלפת סעיף </w:t>
      </w:r>
      <w:r>
        <w:rPr>
          <w:rFonts w:cs="Times New Roman" w:ascii="Times New Roman" w:hAnsi="Times New Roman"/>
          <w:spacing w:val="0"/>
          <w:szCs w:val="26"/>
        </w:rPr>
        <w:t>298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>חוק העונשין שבוטל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ג 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עבירה של המתה בקלות דעת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אשר ל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 על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במציאות העגומה של קטל בכבישים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העונש של 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עונש מקל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בגזרו עונש זה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התחשב בגילו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במצבו הבריאותי ובשאר נסיבות חייו הלא פשוטות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התחשבות זו הי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>תה במקומה אילו המערער היה מודה במיוחס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מביע חרטה אמיתית ומבקש רחמים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המערער לא עשה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באין ערעור המדינה על קולת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להחמיר את עונשו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העובדה שהמערער ראוי היה לעונש חמור יותר מזה שנגזר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לשעות לבקשתו להתחשבות נוספת בנסיבות חייו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למערער עבר פלילי מכביד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שכולל עבירות תעבורה 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והתסקיר העדכני אינו ממליץ על הקלה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תאונות דרכים קשות בכבישי ישראל שנגרמות על ידי נהגים קלי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פזיזים ובלתי זהירים הן בגדר מכת 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מסיבה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בתי המשפט לדאוג למיצוי דין מלא עם העבריין מבלי להתחשב בנסיבותיו האישיות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שאם לא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נשיג את הרתעת הרבים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ענישת עברייני תנועה שנהיגתם הפרועה והבלתי מתחשבת בזולת גורמת לתאונת דרכים קשה היא בגדר משחק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סכום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אפס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בית משפט שמרחם על העבריין אינו מרחם על הקורבן הבא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הקלה בעונשיהם של עבריינים כאלה אף עלולה להוזיל את ערכם המוסרי של נפגעי התאונות הקשות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שאותו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לשקם ולהעמיד על מכונו על ידי הטלת עונשים שהולמים את חומרת העבירה ואינם נמצאים מתחתיה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מנקודת ראות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 שראוי היה להטיל על המערער צריך היה להגיע לכדי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לריצוי בפועל בהתחשב במכלול העבירות שביצע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ביצוען ובתוצאותיהן הקשות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באין ערעור מטעם המדינה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להחמיר בעונשו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להעביר מסר חד וברור לפורעי החוק בכבישי ישראל כי נדאג להענישם בחומרה ולא נטה אוזן קשבת לבקשות רחמים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לפיכך יש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לדחות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גם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את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 על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סכום הפיצויים לנפגעי העבירה סביר לחלוטין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  <w:bookmarkStart w:id="15" w:name="Start_Write"/>
      <w:bookmarkEnd w:id="15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numPr>
          <w:ilvl w:val="0"/>
          <w:numId w:val="1"/>
        </w:numPr>
        <w:spacing w:before="280" w:after="240"/>
        <w:ind w:hanging="0" w:start="0" w:end="0"/>
        <w:jc w:val="both"/>
        <w:rPr/>
      </w:pPr>
      <w:r>
        <w:rPr>
          <w:rtl w:val="true"/>
        </w:rPr>
        <w:t xml:space="preserve">לפנינו ערעור על פסק הדין שניתן ביום </w:t>
      </w:r>
      <w:r>
        <w:rPr/>
        <w:t>29.9.2021</w:t>
      </w:r>
      <w:r>
        <w:rPr>
          <w:rtl w:val="true"/>
        </w:rPr>
        <w:t xml:space="preserve">  (</w:t>
      </w:r>
      <w:r>
        <w:rPr>
          <w:rtl w:val="true"/>
        </w:rPr>
        <w:t>הכרעת הדין</w:t>
      </w:r>
      <w:r>
        <w:rPr>
          <w:rtl w:val="true"/>
        </w:rPr>
        <w:t xml:space="preserve">) </w:t>
      </w:r>
      <w:r>
        <w:rPr>
          <w:rtl w:val="true"/>
        </w:rPr>
        <w:t xml:space="preserve">וביום </w:t>
      </w:r>
      <w:r>
        <w:rPr/>
        <w:t>19.7.2022</w:t>
      </w:r>
      <w:r>
        <w:rPr>
          <w:rtl w:val="true"/>
        </w:rPr>
        <w:t xml:space="preserve"> (</w:t>
      </w:r>
      <w:r>
        <w:rPr>
          <w:rtl w:val="true"/>
        </w:rPr>
        <w:t>גזר הדין</w:t>
      </w:r>
      <w:r>
        <w:rPr>
          <w:rtl w:val="true"/>
        </w:rPr>
        <w:t xml:space="preserve">) </w:t>
      </w:r>
      <w:r>
        <w:rPr>
          <w:rtl w:val="true"/>
        </w:rPr>
        <w:t xml:space="preserve">על ידי בית המשפט המחוזי </w:t>
      </w:r>
      <w:r>
        <w:rPr>
          <w:rtl w:val="true"/>
        </w:rPr>
        <w:t>(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tl w:val="true"/>
        </w:rPr>
        <w:t>) 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מרשק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מרום</w:t>
      </w:r>
      <w:r>
        <w:rPr>
          <w:rtl w:val="true"/>
        </w:rPr>
        <w:t xml:space="preserve">) </w:t>
      </w:r>
      <w:r>
        <w:rPr>
          <w:rtl w:val="true"/>
        </w:rPr>
        <w:t xml:space="preserve">בגדרו של 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19411-10-18</w:t>
        </w:r>
      </w:hyperlink>
      <w:r>
        <w:rPr>
          <w:color w:val="0000FF"/>
          <w:u w:val="single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כאמור בפסק דין זה</w:t>
      </w:r>
      <w:r>
        <w:rPr>
          <w:rtl w:val="true"/>
        </w:rPr>
        <w:t xml:space="preserve">, </w:t>
      </w:r>
      <w:r>
        <w:rPr>
          <w:rtl w:val="true"/>
        </w:rPr>
        <w:t xml:space="preserve">בית משפט קמא מצא את המערער אשם בעבירת הריגה כהגדרתה </w:t>
      </w:r>
      <w:hyperlink r:id="rId1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 xml:space="preserve">והענישו תחת תקרת העונש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אשר קבועה כעת בצדה של המתה בקלות דעת </w:t>
      </w:r>
      <w:r>
        <w:rPr>
          <w:rtl w:val="true"/>
        </w:rPr>
        <w:t>–</w:t>
      </w:r>
      <w:r>
        <w:rPr>
          <w:rtl w:val="true"/>
        </w:rPr>
        <w:t xml:space="preserve"> עבירה שנקבעה </w:t>
      </w:r>
      <w:hyperlink r:id="rId1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לחוק במסגרת הרפורמה בעבירות המתה</w:t>
      </w:r>
      <w:r>
        <w:rPr>
          <w:rtl w:val="true"/>
        </w:rPr>
        <w:t xml:space="preserve">. </w:t>
      </w:r>
      <w:r>
        <w:rPr>
          <w:rtl w:val="true"/>
        </w:rPr>
        <w:t>כמו כן נמצא המערער אשם ב</w:t>
      </w:r>
      <w:r>
        <w:rPr>
          <w:rtl w:val="true"/>
        </w:rPr>
        <w:t>נהיגה</w:t>
      </w:r>
      <w:r>
        <w:rPr>
          <w:rtl w:val="true"/>
        </w:rPr>
        <w:t xml:space="preserve"> </w:t>
      </w:r>
      <w:r>
        <w:rPr>
          <w:rtl w:val="true"/>
        </w:rPr>
        <w:t>בשכרות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2">
        <w:r>
          <w:rPr>
            <w:rStyle w:val="Hyperlink"/>
          </w:rPr>
          <w:t>64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ב</w:t>
      </w:r>
      <w:r>
        <w:rPr>
          <w:rtl w:val="true"/>
        </w:rPr>
        <w:t>חבלה</w:t>
      </w:r>
      <w:r>
        <w:rPr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 xml:space="preserve">עבירה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העונש שהושת על המערער בגין עבירות אלה כולל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 לריצוי בפועל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</w:t>
      </w:r>
      <w:r>
        <w:rPr>
          <w:rtl w:val="true"/>
        </w:rPr>
        <w:t>-</w:t>
      </w:r>
      <w:r>
        <w:rPr>
          <w:rtl w:val="true"/>
        </w:rPr>
        <w:t xml:space="preserve">תנאי </w:t>
      </w:r>
      <w:r>
        <w:rPr>
          <w:rtl w:val="true"/>
        </w:rPr>
        <w:t>לבל</w:t>
      </w:r>
      <w:r>
        <w:rPr>
          <w:rtl w:val="true"/>
        </w:rPr>
        <w:t xml:space="preserve"> יעבור בתוך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מיום שחרורו </w:t>
      </w:r>
      <w:r>
        <w:rPr>
          <w:rtl w:val="true"/>
        </w:rPr>
        <w:t>מן הכלא אחת ה</w:t>
      </w:r>
      <w:r>
        <w:rPr>
          <w:rtl w:val="true"/>
        </w:rPr>
        <w:t>עבירות בהן הורשע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 xml:space="preserve">פסילה בפועל מלהחזיק או לקבל רישיון נהיגה למשך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וכן פיצוי כספי לנפגעי העבירה</w:t>
      </w:r>
      <w:r>
        <w:rPr>
          <w:rtl w:val="true"/>
        </w:rPr>
        <w:t xml:space="preserve">, </w:t>
      </w:r>
      <w:r>
        <w:rPr>
          <w:rtl w:val="true"/>
        </w:rPr>
        <w:t>בהתאם לחלוקה פנימית שנקבעה על ידי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בסך כולל של </w:t>
      </w:r>
      <w:r>
        <w:rPr/>
        <w:t>120,000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tl w:val="true"/>
        </w:rPr>
        <w:t xml:space="preserve">בערעור שלפנינו מלין המערער על הרשעתו בעבירת הריגה בנסיבות של קלות דעת כאמור ובעבירה של חבלה חמורה </w:t>
      </w:r>
      <w:r>
        <w:rPr>
          <w:rtl w:val="true"/>
        </w:rPr>
        <w:t>–</w:t>
      </w:r>
      <w:r>
        <w:rPr>
          <w:rtl w:val="true"/>
        </w:rPr>
        <w:t xml:space="preserve"> מבלי לתקוף את הרשעתו בעבירה של נהיגה בשכרות</w:t>
      </w:r>
      <w:r>
        <w:rPr>
          <w:rtl w:val="true"/>
        </w:rPr>
        <w:t xml:space="preserve">. </w:t>
      </w:r>
      <w:r>
        <w:rPr>
          <w:rtl w:val="true"/>
        </w:rPr>
        <w:t>במילים אחרות</w:t>
      </w:r>
      <w:r>
        <w:rPr>
          <w:rtl w:val="true"/>
        </w:rPr>
        <w:t xml:space="preserve">: </w:t>
      </w:r>
      <w:r>
        <w:rPr>
          <w:rtl w:val="true"/>
        </w:rPr>
        <w:t xml:space="preserve">המערער מודה שנהג את רכבו בהיותו נתון להשפעת אלכוהול וסמים וכי היה מעורב בתאונת דרכים </w:t>
      </w:r>
      <w:r>
        <w:rPr>
          <w:rtl w:val="true"/>
        </w:rPr>
        <w:t>–</w:t>
      </w:r>
      <w:r>
        <w:rPr>
          <w:rtl w:val="true"/>
        </w:rPr>
        <w:t xml:space="preserve"> בה מצא אדם אחד את מותו ואחרים נחבלו בדרגות שונות של חבלה </w:t>
      </w:r>
      <w:r>
        <w:rPr>
          <w:rtl w:val="true"/>
        </w:rPr>
        <w:t>–</w:t>
      </w:r>
      <w:r>
        <w:rPr>
          <w:rtl w:val="true"/>
        </w:rPr>
        <w:t xml:space="preserve"> אך טוען להגנתו כי אינו אחראי לתאונה</w:t>
      </w:r>
      <w:r>
        <w:rPr>
          <w:rtl w:val="true"/>
        </w:rPr>
        <w:t xml:space="preserve">. </w:t>
      </w:r>
      <w:r>
        <w:rPr>
          <w:rtl w:val="true"/>
        </w:rPr>
        <w:t xml:space="preserve">כמו כן טוען המערער כי בית משפט קמא הענישו בחומרה יתרה בגזרו עליו עונש מאסר מאחורי סורג ובריח לתקופה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המערער אינו מלין ב</w:t>
      </w:r>
      <w:r>
        <w:rPr>
          <w:rtl w:val="true"/>
        </w:rPr>
        <w:t>"</w:t>
      </w:r>
      <w:r>
        <w:rPr>
          <w:rtl w:val="true"/>
        </w:rPr>
        <w:t>רחל בתך הקטנה</w:t>
      </w:r>
      <w:r>
        <w:rPr>
          <w:rtl w:val="true"/>
        </w:rPr>
        <w:t xml:space="preserve">" </w:t>
      </w:r>
      <w:r>
        <w:rPr>
          <w:rtl w:val="true"/>
        </w:rPr>
        <w:t>על יתר רכיבי העונש ועל גובה הפיצוי</w:t>
      </w:r>
      <w:r>
        <w:rPr>
          <w:rtl w:val="true"/>
        </w:rPr>
        <w:t xml:space="preserve">, </w:t>
      </w:r>
      <w:r>
        <w:rPr>
          <w:rtl w:val="true"/>
        </w:rPr>
        <w:t xml:space="preserve">אותו חויב לשלם </w:t>
      </w:r>
      <w:r>
        <w:rPr>
          <w:rtl w:val="true"/>
        </w:rPr>
        <w:t>–</w:t>
      </w:r>
      <w:r>
        <w:rPr>
          <w:rtl w:val="true"/>
        </w:rPr>
        <w:t xml:space="preserve"> אם כי ברור שקבלת טענות הזיכוי שבפיו תוביל מניה וביה לביטול חיובו בפיצוי</w:t>
      </w:r>
      <w:r>
        <w:rPr>
          <w:rtl w:val="true"/>
        </w:rPr>
        <w:t xml:space="preserve">.  </w:t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tl w:val="true"/>
        </w:rPr>
        <w:t>בטרם אכנס לעובי הקורה</w:t>
      </w:r>
      <w:r>
        <w:rPr>
          <w:rtl w:val="true"/>
        </w:rPr>
        <w:t xml:space="preserve">, </w:t>
      </w:r>
      <w:r>
        <w:rPr>
          <w:rtl w:val="true"/>
        </w:rPr>
        <w:t xml:space="preserve">עלי לקבוע כי בית משפט קמא טעה בהחליטו להרשיע את המערער בעבירת ההריגה הישנה לפי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אשר היתה קיימת בזמן האירוע שבו עסקינן</w:t>
      </w:r>
      <w:r>
        <w:rPr>
          <w:rtl w:val="true"/>
        </w:rPr>
        <w:t xml:space="preserve">, </w:t>
      </w:r>
      <w:r>
        <w:rPr>
          <w:rtl w:val="true"/>
        </w:rPr>
        <w:t>ואשר נמחקה מספר החוקים במסגרת הרפורמה בעבירות המתה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שהאירוע חוסה כעת בצלו של דין מקל</w:t>
      </w:r>
      <w:r>
        <w:rPr>
          <w:rtl w:val="true"/>
        </w:rPr>
        <w:t xml:space="preserve">: </w:t>
      </w:r>
      <w:r>
        <w:rPr>
          <w:rtl w:val="true"/>
        </w:rPr>
        <w:t xml:space="preserve">הוראת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אשר קובעת כי </w:t>
      </w:r>
      <w:r>
        <w:rPr>
          <w:rtl w:val="true"/>
        </w:rPr>
        <w:t>"</w:t>
      </w:r>
      <w:r>
        <w:rPr>
          <w:rtl w:val="true"/>
        </w:rPr>
        <w:t>הגורם</w:t>
      </w:r>
      <w:r>
        <w:rPr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בקלות</w:t>
      </w:r>
      <w:r>
        <w:rPr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tl w:val="true"/>
        </w:rPr>
        <w:t xml:space="preserve"> –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שתים</w:t>
      </w:r>
      <w:r>
        <w:rPr>
          <w:rtl w:val="true"/>
        </w:rPr>
        <w:t xml:space="preserve"> </w:t>
      </w:r>
      <w:r>
        <w:rPr>
          <w:rtl w:val="true"/>
        </w:rPr>
        <w:t>עשרה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להבדיל מעשרים שנות מאסר שניתן היה להטיל על נאשם שנמצא אשם בהריגה בגדרו של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שהיה ואיננו</w:t>
      </w:r>
      <w:r>
        <w:rPr>
          <w:rtl w:val="true"/>
        </w:rPr>
        <w:t xml:space="preserve">.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מצווה כי בנסיבות כאלה </w:t>
      </w:r>
      <w:r>
        <w:rPr>
          <w:rtl w:val="true"/>
        </w:rPr>
        <w:t>"</w:t>
      </w:r>
      <w:r>
        <w:rPr>
          <w:rtl w:val="true"/>
        </w:rPr>
        <w:t>יחול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 </w:t>
      </w:r>
      <w:r>
        <w:rPr>
          <w:rtl w:val="true"/>
        </w:rPr>
        <w:t>החיקוק</w:t>
      </w:r>
      <w:r>
        <w:rPr>
          <w:rtl w:val="true"/>
        </w:rPr>
        <w:t xml:space="preserve"> </w:t>
      </w:r>
      <w:r>
        <w:rPr>
          <w:rtl w:val="true"/>
        </w:rPr>
        <w:t>המקל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":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. </w:t>
      </w:r>
      <w:r>
        <w:rPr>
          <w:rtl w:val="true"/>
        </w:rPr>
        <w:t>בית משפט קמא היה בלי ספק ער למסכת דינים זו</w:t>
      </w:r>
      <w:r>
        <w:rPr>
          <w:rtl w:val="true"/>
        </w:rPr>
        <w:t xml:space="preserve">, </w:t>
      </w:r>
      <w:r>
        <w:rPr>
          <w:rtl w:val="true"/>
        </w:rPr>
        <w:t>אך סבר כי היא קובעת רק את העונש המרבי שניתן להשית על הנאשם שעל מעשיו חל דין מקל</w:t>
      </w:r>
      <w:r>
        <w:rPr>
          <w:rtl w:val="true"/>
        </w:rPr>
        <w:t xml:space="preserve">. </w:t>
      </w:r>
      <w:r>
        <w:rPr>
          <w:rtl w:val="true"/>
        </w:rPr>
        <w:t>סברתו זו של בית משפט קמא לא היתה נכונה מאחר שעסקינן ב</w:t>
      </w:r>
      <w:r>
        <w:rPr>
          <w:rtl w:val="true"/>
        </w:rPr>
        <w:t>"</w:t>
      </w:r>
      <w:r>
        <w:rPr>
          <w:rtl w:val="true"/>
        </w:rPr>
        <w:t xml:space="preserve">שינוי בנוגע </w:t>
      </w:r>
      <w:r>
        <w:rPr>
          <w:rtl w:val="true"/>
        </w:rPr>
        <w:t xml:space="preserve">[...] </w:t>
      </w:r>
      <w:r>
        <w:rPr>
          <w:rtl w:val="true"/>
        </w:rPr>
        <w:t>לאחריות</w:t>
      </w:r>
      <w:r>
        <w:rPr>
          <w:rtl w:val="true"/>
        </w:rPr>
        <w:t xml:space="preserve">", </w:t>
      </w:r>
      <w:r>
        <w:rPr>
          <w:rtl w:val="true"/>
        </w:rPr>
        <w:t xml:space="preserve">במובנו של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ועל כן מן הדין היה לקבוע כי המערער אשם בהמתה בקלות דעת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>ולא בהריגה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tl w:val="true"/>
        </w:rPr>
        <w:t>טעות זו של בית משפט קמא היתה טעות טכנית</w:t>
      </w:r>
      <w:r>
        <w:rPr>
          <w:rtl w:val="true"/>
        </w:rPr>
        <w:t>-</w:t>
      </w:r>
      <w:r>
        <w:rPr>
          <w:rtl w:val="true"/>
        </w:rPr>
        <w:t>פורמאלית גרידא</w:t>
      </w:r>
      <w:r>
        <w:rPr>
          <w:rtl w:val="true"/>
        </w:rPr>
        <w:t xml:space="preserve">, </w:t>
      </w:r>
      <w:r>
        <w:rPr>
          <w:rtl w:val="true"/>
        </w:rPr>
        <w:t xml:space="preserve">שכן בית המשפט קבע במפורש </w:t>
      </w:r>
      <w:r>
        <w:rPr>
          <w:rtl w:val="true"/>
        </w:rPr>
        <w:t>–</w:t>
      </w:r>
      <w:r>
        <w:rPr>
          <w:rtl w:val="true"/>
        </w:rPr>
        <w:t xml:space="preserve"> הן בהכרעת הדין והן בגזר הדין </w:t>
      </w:r>
      <w:r>
        <w:rPr>
          <w:rtl w:val="true"/>
        </w:rPr>
        <w:t>–</w:t>
      </w:r>
      <w:r>
        <w:rPr>
          <w:rtl w:val="true"/>
        </w:rPr>
        <w:t xml:space="preserve"> כי המערער אשם אמנם בעבירת הריגה</w:t>
      </w:r>
      <w:r>
        <w:rPr>
          <w:rtl w:val="true"/>
        </w:rPr>
        <w:t xml:space="preserve">, </w:t>
      </w:r>
      <w:r>
        <w:rPr>
          <w:rtl w:val="true"/>
        </w:rPr>
        <w:t>אך עונשו ייקבע במסגרת העבירה של המתה בקלות דעת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המערער אינו יכול אפוא להלין על עיוות דין כלשהו בהקשרה של טעות כאמור</w:t>
      </w:r>
      <w:r>
        <w:rPr>
          <w:rtl w:val="true"/>
        </w:rPr>
        <w:t xml:space="preserve">, </w:t>
      </w:r>
      <w:r>
        <w:rPr>
          <w:rtl w:val="true"/>
        </w:rPr>
        <w:t>והוא אכן אינו מלין על כך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 xml:space="preserve">עלינו לתקן את סעיפי הרשעתו של המערער באופן שהרשעתו בעבירה של המתה בקלות דעת לפי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תבוא במקום ההרשעה בעבירת הריגה לפי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שכאמור בוטל</w:t>
      </w:r>
      <w:r>
        <w:rPr>
          <w:rtl w:val="true"/>
        </w:rPr>
        <w:t xml:space="preserve">; </w:t>
      </w:r>
      <w:r>
        <w:rPr>
          <w:rtl w:val="true"/>
        </w:rPr>
        <w:t>וכך אציע לחבריי לעשות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spacing w:before="0" w:after="280"/>
        <w:ind w:hanging="0" w:start="0" w:end="0"/>
        <w:jc w:val="both"/>
        <w:rPr/>
      </w:pPr>
      <w:r>
        <w:rPr>
          <w:rtl w:val="true"/>
        </w:rPr>
        <w:t>כאן המקום לעבור מהפרוזדור לטרקלין ולבחון את הערעור גופו תוך התמקדות בעניינים שבמהות</w:t>
      </w:r>
      <w:r>
        <w:rPr>
          <w:rtl w:val="true"/>
        </w:rPr>
        <w:t xml:space="preserve">. </w:t>
      </w:r>
      <w:r>
        <w:rPr>
          <w:rtl w:val="true"/>
        </w:rPr>
        <w:t>כמקובל</w:t>
      </w:r>
      <w:r>
        <w:rPr>
          <w:rtl w:val="true"/>
        </w:rPr>
        <w:t xml:space="preserve">, </w:t>
      </w:r>
      <w:r>
        <w:rPr>
          <w:rtl w:val="true"/>
        </w:rPr>
        <w:t>אתייחס תחילה לטענות המערער אשר מופנות נגד הרשעתו בדין</w:t>
      </w:r>
      <w:r>
        <w:rPr>
          <w:rtl w:val="true"/>
        </w:rPr>
        <w:t xml:space="preserve">, </w:t>
      </w:r>
      <w:r>
        <w:rPr>
          <w:rtl w:val="true"/>
        </w:rPr>
        <w:t>ואחר</w:t>
      </w:r>
      <w:r>
        <w:rPr>
          <w:rtl w:val="true"/>
        </w:rPr>
        <w:t>-</w:t>
      </w:r>
      <w:r>
        <w:rPr>
          <w:rtl w:val="true"/>
        </w:rPr>
        <w:t>כך אדון בעונשו</w:t>
      </w:r>
      <w:r>
        <w:rPr>
          <w:rtl w:val="true"/>
        </w:rPr>
        <w:t xml:space="preserve">. </w:t>
      </w:r>
    </w:p>
    <w:p>
      <w:pPr>
        <w:pStyle w:val="Ruller4"/>
        <w:spacing w:before="28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ההרשעה</w:t>
      </w:r>
    </w:p>
    <w:p>
      <w:pPr>
        <w:pStyle w:val="Ruller4"/>
        <w:spacing w:before="28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numPr>
          <w:ilvl w:val="0"/>
          <w:numId w:val="1"/>
        </w:numPr>
        <w:spacing w:before="280" w:after="280"/>
        <w:ind w:hanging="0" w:start="0" w:end="0"/>
        <w:jc w:val="both"/>
        <w:rPr/>
      </w:pPr>
      <w:r>
        <w:rPr>
          <w:rtl w:val="true"/>
        </w:rPr>
        <w:t>כתב האישום אשר הוגש נגד המערער</w:t>
      </w:r>
      <w:r>
        <w:rPr>
          <w:rtl w:val="true"/>
        </w:rPr>
        <w:t xml:space="preserve">, </w:t>
      </w:r>
      <w:r>
        <w:rPr>
          <w:rtl w:val="true"/>
        </w:rPr>
        <w:t>ואשר ייחס לו עבירות בהן הוא נמצא אשם</w:t>
      </w:r>
      <w:r>
        <w:rPr>
          <w:rtl w:val="true"/>
        </w:rPr>
        <w:t xml:space="preserve">, </w:t>
      </w:r>
      <w:r>
        <w:rPr>
          <w:rtl w:val="true"/>
        </w:rPr>
        <w:t>סיפר את הסיפור הבא</w:t>
      </w:r>
      <w:r>
        <w:rPr>
          <w:rtl w:val="true"/>
        </w:rPr>
        <w:t xml:space="preserve">: </w:t>
      </w:r>
    </w:p>
    <w:p>
      <w:pPr>
        <w:pStyle w:val="Ruller4"/>
        <w:spacing w:before="28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21.3.2018</w:t>
      </w:r>
      <w:r>
        <w:rPr>
          <w:rtl w:val="true"/>
        </w:rPr>
        <w:t xml:space="preserve">, </w:t>
      </w:r>
      <w:r>
        <w:rPr>
          <w:rtl w:val="true"/>
        </w:rPr>
        <w:t>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לחצות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בכביש</w:t>
      </w:r>
      <w:r>
        <w:rPr>
          <w:rFonts w:eastAsia="Arial TUR" w:cs="Arial TUR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מצפון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לדרום</w:t>
      </w:r>
      <w:r>
        <w:rPr>
          <w:rtl w:val="true"/>
        </w:rPr>
        <w:t xml:space="preserve">,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כביש</w:t>
      </w:r>
      <w:r>
        <w:rPr>
          <w:rFonts w:eastAsia="Arial TUR" w:cs="Arial TUR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ודרך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הצומת</w:t>
      </w:r>
      <w:r>
        <w:rPr>
          <w:rtl w:val="true"/>
        </w:rPr>
        <w:t xml:space="preserve">").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שיכור</w:t>
      </w:r>
      <w:r>
        <w:rPr>
          <w:rtl w:val="true"/>
        </w:rPr>
        <w:t xml:space="preserve">: </w:t>
      </w:r>
      <w:r>
        <w:rPr>
          <w:rtl w:val="true"/>
        </w:rPr>
        <w:t>בגופו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בריכוז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קנביס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בריכוז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נהגה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מיטל</w:t>
      </w:r>
      <w:r>
        <w:rPr>
          <w:rtl w:val="true"/>
        </w:rPr>
        <w:t xml:space="preserve">) </w:t>
      </w:r>
      <w:r>
        <w:rPr>
          <w:rtl w:val="true"/>
        </w:rPr>
        <w:t>ברכבה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לצומת</w:t>
      </w:r>
      <w:r>
        <w:rPr>
          <w:rtl w:val="true"/>
        </w:rPr>
        <w:t xml:space="preserve">. </w:t>
      </w:r>
      <w:r>
        <w:rPr>
          <w:rtl w:val="true"/>
        </w:rPr>
        <w:t>לצדה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חן</w:t>
      </w:r>
      <w:r>
        <w:rPr>
          <w:rtl w:val="true"/>
        </w:rPr>
        <w:t xml:space="preserve">); </w:t>
      </w:r>
      <w:r>
        <w:rPr>
          <w:rtl w:val="true"/>
        </w:rPr>
        <w:t>במושב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אוקנינו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אלעד</w:t>
      </w:r>
      <w:r>
        <w:rPr>
          <w:rtl w:val="true"/>
        </w:rPr>
        <w:t xml:space="preserve">);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קארין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קארין</w:t>
      </w:r>
      <w:r>
        <w:rPr>
          <w:rtl w:val="true"/>
        </w:rPr>
        <w:t xml:space="preserve">);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וקארין</w:t>
      </w:r>
      <w:r>
        <w:rPr>
          <w:rtl w:val="true"/>
        </w:rPr>
        <w:t xml:space="preserve">, </w:t>
      </w:r>
      <w:r>
        <w:rPr>
          <w:rtl w:val="true"/>
        </w:rPr>
        <w:t>באמצע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האחורי</w:t>
      </w:r>
      <w:r>
        <w:rPr>
          <w:rtl w:val="true"/>
        </w:rPr>
        <w:t xml:space="preserve">, </w:t>
      </w:r>
      <w:r>
        <w:rPr>
          <w:rtl w:val="true"/>
        </w:rPr>
        <w:t>ישבה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ילידת</w:t>
      </w:r>
      <w:r>
        <w:rPr>
          <w:rFonts w:eastAsia="Arial TUR" w:cs="Arial TUR"/>
          <w:rtl w:val="true"/>
        </w:rPr>
        <w:t xml:space="preserve"> </w:t>
      </w:r>
      <w:r>
        <w:rPr/>
        <w:t>1995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נופר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). </w:t>
      </w:r>
      <w:r>
        <w:rPr>
          <w:rtl w:val="true"/>
        </w:rPr>
        <w:t>רכבה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  <w:r>
        <w:rPr>
          <w:rtl w:val="true"/>
        </w:rPr>
        <w:t>מיטל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למופע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ברמזור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ברמזור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לירוק</w:t>
      </w:r>
      <w:r>
        <w:rPr>
          <w:rtl w:val="true"/>
        </w:rPr>
        <w:t xml:space="preserve">, </w:t>
      </w:r>
      <w:r>
        <w:rPr>
          <w:rtl w:val="true"/>
        </w:rPr>
        <w:t>החלה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הרמזור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אדום</w:t>
      </w:r>
      <w:r>
        <w:rPr>
          <w:rtl w:val="true"/>
        </w:rPr>
        <w:t xml:space="preserve">. </w:t>
      </w:r>
      <w:r>
        <w:rPr>
          <w:rtl w:val="true"/>
        </w:rPr>
        <w:t>במרכז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הצומת</w:t>
      </w:r>
      <w:r>
        <w:rPr>
          <w:rtl w:val="true"/>
        </w:rPr>
        <w:t xml:space="preserve">, </w:t>
      </w:r>
      <w:r>
        <w:rPr>
          <w:rtl w:val="true"/>
        </w:rPr>
        <w:t>התנגש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בעוצמה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בדלתו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מיטל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רכבה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נהדף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ונעצר</w:t>
      </w:r>
      <w:r>
        <w:rPr>
          <w:rtl w:val="true"/>
        </w:rPr>
        <w:t>.</w:t>
      </w:r>
    </w:p>
    <w:p>
      <w:pPr>
        <w:pStyle w:val="Ruller4"/>
        <w:spacing w:before="28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קריטי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באמבולנס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. </w:t>
      </w:r>
      <w:r>
        <w:rPr>
          <w:rtl w:val="true"/>
        </w:rPr>
        <w:t>בדרכה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איבדה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בדחיפות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הניתוח</w:t>
      </w:r>
      <w:r>
        <w:rPr>
          <w:rtl w:val="true"/>
        </w:rPr>
        <w:t xml:space="preserve">. </w:t>
      </w:r>
      <w:r>
        <w:rPr>
          <w:rtl w:val="true"/>
        </w:rPr>
        <w:t>ניסיונות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נפטרה</w:t>
      </w:r>
      <w:r>
        <w:rPr>
          <w:rtl w:val="true"/>
        </w:rPr>
        <w:t xml:space="preserve">. </w:t>
      </w:r>
    </w:p>
    <w:p>
      <w:pPr>
        <w:pStyle w:val="Ruller4"/>
        <w:spacing w:before="28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קארין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הטראומה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החולים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מטראומה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>-</w:t>
      </w:r>
      <w:r>
        <w:rPr>
          <w:rtl w:val="true"/>
        </w:rPr>
        <w:t>איברית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והונשמה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פשוטים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מחודש</w:t>
      </w:r>
      <w:r>
        <w:rPr>
          <w:rtl w:val="true"/>
        </w:rPr>
        <w:t xml:space="preserve">. </w:t>
      </w:r>
      <w:r>
        <w:rPr>
          <w:rtl w:val="true"/>
        </w:rPr>
        <w:t>קארין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שוחררה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מהאשפוז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29.4.2018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אשפוז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בשיקום</w:t>
      </w:r>
      <w:r>
        <w:rPr>
          <w:rtl w:val="true"/>
        </w:rPr>
        <w:t>.</w:t>
      </w:r>
    </w:p>
    <w:p>
      <w:pPr>
        <w:pStyle w:val="Ruller4"/>
        <w:spacing w:before="28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אלעד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החולים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משבר</w:t>
      </w:r>
      <w:r>
        <w:rPr>
          <w:rtl w:val="true"/>
        </w:rPr>
        <w:t>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שוחרר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תרופתי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ולחופשת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שבועיים</w:t>
      </w:r>
      <w:r>
        <w:rPr>
          <w:rtl w:val="true"/>
        </w:rPr>
        <w:t xml:space="preserve">. </w:t>
      </w:r>
    </w:p>
    <w:p>
      <w:pPr>
        <w:pStyle w:val="Ruller4"/>
        <w:spacing w:before="28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מיטל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העין</w:t>
      </w:r>
      <w:r>
        <w:rPr>
          <w:rtl w:val="true"/>
        </w:rPr>
        <w:t xml:space="preserve">, </w:t>
      </w:r>
      <w:r>
        <w:rPr>
          <w:rtl w:val="true"/>
        </w:rPr>
        <w:t>מחתך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בעפעף</w:t>
      </w:r>
      <w:r>
        <w:rPr>
          <w:rtl w:val="true"/>
        </w:rPr>
        <w:t xml:space="preserve">, </w:t>
      </w:r>
      <w:r>
        <w:rPr>
          <w:rtl w:val="true"/>
        </w:rPr>
        <w:t>מכאבי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ומכאבי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שחררהּ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תרופתי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ולחופשת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</w:p>
    <w:p>
      <w:pPr>
        <w:pStyle w:val="Ruller4"/>
        <w:spacing w:before="28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החולים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בירך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ניתוח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מסובבת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ומשפשופים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בסנטר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ובידיים</w:t>
      </w:r>
      <w:r>
        <w:rPr>
          <w:rtl w:val="true"/>
        </w:rPr>
        <w:t xml:space="preserve">. </w:t>
      </w:r>
      <w:r>
        <w:rPr>
          <w:rtl w:val="true"/>
        </w:rPr>
        <w:t>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ולפיזיותרפיה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שוחררה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26.3.2018</w:t>
      </w:r>
      <w:r>
        <w:rPr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ופיזיותרפיה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ביתי</w:t>
      </w:r>
      <w:r>
        <w:rPr>
          <w:rtl w:val="true"/>
        </w:rPr>
        <w:t>.</w:t>
      </w:r>
    </w:p>
    <w:p>
      <w:pPr>
        <w:pStyle w:val="Ruller4"/>
        <w:spacing w:before="280" w:after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</w:t>
      </w:r>
      <w:r>
        <w:rPr>
          <w:rtl w:val="true"/>
        </w:rPr>
        <w:t>חולים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, </w:t>
      </w:r>
      <w:r>
        <w:rPr>
          <w:rtl w:val="true"/>
        </w:rPr>
        <w:t>מדימום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ומהמטומה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עורית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למחרת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spacing w:before="280" w:after="280"/>
        <w:ind w:hanging="0" w:start="0" w:end="0"/>
        <w:jc w:val="both"/>
        <w:rPr/>
      </w:pPr>
      <w:r>
        <w:rPr>
          <w:rtl w:val="true"/>
        </w:rPr>
        <w:t>המערער כפר במיוחס לו בכתב האישום</w:t>
      </w:r>
      <w:r>
        <w:rPr>
          <w:rtl w:val="true"/>
        </w:rPr>
        <w:t xml:space="preserve">. </w:t>
      </w:r>
      <w:r>
        <w:rPr>
          <w:rtl w:val="true"/>
        </w:rPr>
        <w:t>עיקר טענתו היה זה</w:t>
      </w:r>
      <w:r>
        <w:rPr>
          <w:rtl w:val="true"/>
        </w:rPr>
        <w:t xml:space="preserve">: </w:t>
      </w:r>
      <w:r>
        <w:rPr>
          <w:rtl w:val="true"/>
        </w:rPr>
        <w:t>הוא חצה את הצומת ברכבו באור ירוק</w:t>
      </w:r>
      <w:r>
        <w:rPr>
          <w:rtl w:val="true"/>
        </w:rPr>
        <w:t xml:space="preserve">, </w:t>
      </w:r>
      <w:r>
        <w:rPr>
          <w:rtl w:val="true"/>
        </w:rPr>
        <w:t>ולא באור אדום</w:t>
      </w:r>
      <w:r>
        <w:rPr>
          <w:rtl w:val="true"/>
        </w:rPr>
        <w:t xml:space="preserve">; </w:t>
      </w:r>
      <w:r>
        <w:rPr>
          <w:rtl w:val="true"/>
        </w:rPr>
        <w:t>מיטל היתה זאת שהסיעה את רכבה אל תוך הצומת באור אדום</w:t>
      </w:r>
      <w:r>
        <w:rPr>
          <w:rtl w:val="true"/>
        </w:rPr>
        <w:t xml:space="preserve">, </w:t>
      </w:r>
      <w:r>
        <w:rPr>
          <w:rtl w:val="true"/>
        </w:rPr>
        <w:t>תוך עקיפת הרכבים שעמדו ברמזור בניגוד לחוקי התנועה</w:t>
      </w:r>
      <w:r>
        <w:rPr>
          <w:rtl w:val="true"/>
        </w:rPr>
        <w:t xml:space="preserve">; </w:t>
      </w:r>
      <w:r>
        <w:rPr>
          <w:rtl w:val="true"/>
        </w:rPr>
        <w:t>התאונה ותוצאותיה נובעות אפוא מנהיגתה הרשלנית של מיטל ואין להטיל עליו בגינן אחריות פלילית</w:t>
      </w:r>
      <w:r>
        <w:rPr>
          <w:rtl w:val="true"/>
        </w:rPr>
        <w:t xml:space="preserve">. </w:t>
      </w:r>
      <w:r>
        <w:rPr>
          <w:rtl w:val="true"/>
        </w:rPr>
        <w:t>המערער גם כפר בנהיגה בשכרות שיוחסה לו כאמור</w:t>
      </w:r>
      <w:r>
        <w:rPr>
          <w:rtl w:val="true"/>
        </w:rPr>
        <w:t xml:space="preserve">, </w:t>
      </w:r>
      <w:r>
        <w:rPr>
          <w:rtl w:val="true"/>
        </w:rPr>
        <w:t xml:space="preserve">אולם כעת הוא מודה בכך שנהג ברכבו בהיותו נתון להשפעת אלכוהול </w:t>
      </w:r>
      <w:r>
        <w:rPr>
          <w:rtl w:val="true"/>
        </w:rPr>
        <w:t>(</w:t>
      </w:r>
      <w:r>
        <w:rPr>
          <w:rtl w:val="true"/>
        </w:rPr>
        <w:t>אך לא להשפעתו של סם</w:t>
      </w:r>
      <w:r>
        <w:rPr>
          <w:rtl w:val="true"/>
        </w:rPr>
        <w:t xml:space="preserve">). </w:t>
      </w:r>
    </w:p>
    <w:p>
      <w:pPr>
        <w:pStyle w:val="Ruller4"/>
        <w:spacing w:before="28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יריעת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המחלוקת</w:t>
      </w:r>
    </w:p>
    <w:p>
      <w:pPr>
        <w:pStyle w:val="Ruller41"/>
        <w:numPr>
          <w:ilvl w:val="0"/>
          <w:numId w:val="1"/>
        </w:numPr>
        <w:spacing w:before="280" w:after="280"/>
        <w:ind w:hanging="0" w:start="0" w:end="0"/>
        <w:jc w:val="both"/>
        <w:rPr/>
      </w:pPr>
      <w:r>
        <w:rPr>
          <w:rtl w:val="true"/>
        </w:rPr>
        <w:t>באין מחלוקת לגבי התאונה ותוצאותיה וכן לגבי שכרותו של המערער בזמן התאונה</w:t>
      </w:r>
      <w:r>
        <w:rPr>
          <w:rtl w:val="true"/>
        </w:rPr>
        <w:t xml:space="preserve">, </w:t>
      </w:r>
      <w:r>
        <w:rPr>
          <w:rtl w:val="true"/>
        </w:rPr>
        <w:t>המחלוקת העובדתית נושא דיוננו מתמצית כל</w:t>
      </w:r>
      <w:r>
        <w:rPr>
          <w:rtl w:val="true"/>
        </w:rPr>
        <w:t>-</w:t>
      </w:r>
      <w:r>
        <w:rPr>
          <w:rtl w:val="true"/>
        </w:rPr>
        <w:t>כולה בשאלה הבאה</w:t>
      </w:r>
      <w:r>
        <w:rPr>
          <w:rtl w:val="true"/>
        </w:rPr>
        <w:t>:</w:t>
      </w:r>
    </w:p>
    <w:p>
      <w:pPr>
        <w:pStyle w:val="Ruller4"/>
        <w:spacing w:before="280" w:after="240"/>
        <w:ind w:end="0"/>
        <w:jc w:val="center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חצה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הצומת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ברכבו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באור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אדום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?</w:t>
      </w:r>
    </w:p>
    <w:p>
      <w:pPr>
        <w:pStyle w:val="Ruller41"/>
        <w:numPr>
          <w:ilvl w:val="0"/>
          <w:numId w:val="1"/>
        </w:numPr>
        <w:spacing w:before="280" w:after="240"/>
        <w:ind w:hanging="0" w:start="0" w:end="0"/>
        <w:jc w:val="both"/>
        <w:rPr/>
      </w:pPr>
      <w:r>
        <w:rPr>
          <w:rtl w:val="true"/>
        </w:rPr>
        <w:t>מחלוקת זו היא היחידה שתעמוד להכרעתנו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שבהיבט המשפטי</w:t>
      </w:r>
      <w:r>
        <w:rPr>
          <w:rtl w:val="true"/>
        </w:rPr>
        <w:t xml:space="preserve">, </w:t>
      </w:r>
      <w:r>
        <w:rPr>
          <w:rtl w:val="true"/>
        </w:rPr>
        <w:t>לית מאן דפליג כי נהג אשר חוצה ברכבו צומת</w:t>
      </w:r>
      <w:r>
        <w:rPr>
          <w:rtl w:val="true"/>
        </w:rPr>
        <w:t>-</w:t>
      </w:r>
      <w:r>
        <w:rPr>
          <w:rtl w:val="true"/>
        </w:rPr>
        <w:t xml:space="preserve">דרכים כשאור הרמזור בכיוון נסיעתו הוא אדום </w:t>
      </w:r>
      <w:r>
        <w:rPr>
          <w:rtl w:val="true"/>
        </w:rPr>
        <w:t>–</w:t>
      </w:r>
      <w:r>
        <w:rPr>
          <w:rtl w:val="true"/>
        </w:rPr>
        <w:t xml:space="preserve"> מבלי לוודא שהאור הוא ירוק ושמותר לו לחצות את הצומת </w:t>
      </w:r>
      <w:r>
        <w:rPr>
          <w:rtl w:val="true"/>
        </w:rPr>
        <w:t>–</w:t>
      </w:r>
      <w:r>
        <w:rPr>
          <w:rtl w:val="true"/>
        </w:rPr>
        <w:t xml:space="preserve"> נוהג בקלות דעת</w:t>
      </w:r>
      <w:r>
        <w:rPr>
          <w:rtl w:val="true"/>
        </w:rPr>
        <w:t xml:space="preserve">, </w:t>
      </w:r>
      <w:r>
        <w:rPr>
          <w:rtl w:val="true"/>
        </w:rPr>
        <w:t xml:space="preserve">כמשמעה </w:t>
      </w:r>
      <w:hyperlink r:id="rId4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ביחס לאפשרות גרימתה של תאונה קטלנית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8250/05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לפסק דינה של השופטת</w:t>
      </w:r>
      <w:r>
        <w:rPr>
          <w:rFonts w:ascii="Century" w:hAnsi="Century" w:cs="Century"/>
          <w:b/>
          <w:b/>
          <w:spacing w:val="0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3.10.2006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כפועל יוצא מכך</w:t>
      </w:r>
      <w:r>
        <w:rPr>
          <w:rtl w:val="true"/>
        </w:rPr>
        <w:t xml:space="preserve">, </w:t>
      </w:r>
      <w:r>
        <w:rPr>
          <w:rtl w:val="true"/>
        </w:rPr>
        <w:t>כאשר נהג כזה גורם לתאונת דרכים שמביאה למותו של אדם אחר</w:t>
      </w:r>
      <w:r>
        <w:rPr>
          <w:rtl w:val="true"/>
        </w:rPr>
        <w:t xml:space="preserve">, </w:t>
      </w:r>
      <w:r>
        <w:rPr>
          <w:rtl w:val="true"/>
        </w:rPr>
        <w:t>הוא בלי ספק אשם בהמתה בקלות דעת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4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ל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7222/19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אלגרגאוי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35-33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גרוסקופף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10.10.2021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אם נמצא כי המערער אכן חצה ברכבו את הצומת באור אדום</w:t>
      </w:r>
      <w:r>
        <w:rPr>
          <w:rtl w:val="true"/>
        </w:rPr>
        <w:t xml:space="preserve">, </w:t>
      </w:r>
      <w:r>
        <w:rPr>
          <w:rtl w:val="true"/>
        </w:rPr>
        <w:t>נגיע למסקנה ברורה וחד</w:t>
      </w:r>
      <w:r>
        <w:rPr>
          <w:rtl w:val="true"/>
        </w:rPr>
        <w:t>-</w:t>
      </w:r>
      <w:r>
        <w:rPr>
          <w:rtl w:val="true"/>
        </w:rPr>
        <w:t>משמעית כי הלה אשם בהמתה בקלות דעת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4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tl w:val="true"/>
        </w:rPr>
        <w:t xml:space="preserve">הרכיב הנפשי הדרוש להתהוות העבירה של חבלה חמורה לפי 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הוא מודעות לטיב מעשה </w:t>
      </w:r>
      <w:r>
        <w:rPr>
          <w:rtl w:val="true"/>
        </w:rPr>
        <w:t>–</w:t>
      </w:r>
      <w:r>
        <w:rPr>
          <w:rtl w:val="true"/>
        </w:rPr>
        <w:t xml:space="preserve"> במקרה דנן</w:t>
      </w:r>
      <w:r>
        <w:rPr>
          <w:rtl w:val="true"/>
        </w:rPr>
        <w:t xml:space="preserve">: </w:t>
      </w:r>
      <w:r>
        <w:rPr>
          <w:rtl w:val="true"/>
        </w:rPr>
        <w:t xml:space="preserve">לחציית צומת באור אדום </w:t>
      </w:r>
      <w:r>
        <w:rPr>
          <w:rtl w:val="true"/>
        </w:rPr>
        <w:t>–</w:t>
      </w:r>
      <w:r>
        <w:rPr>
          <w:rtl w:val="true"/>
        </w:rPr>
        <w:t xml:space="preserve"> וקלות דעת או אדישות ביחס לחבלה שנהיגה מסוכנת זאת בכלי רכב עלולה לגרום לאחד אחר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וכן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3891/19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זוארץ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5.4.2020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רכיב זה בלי ספק יתקיים במקרהו של המערער אם נקבע</w:t>
      </w:r>
      <w:r>
        <w:rPr>
          <w:rtl w:val="true"/>
        </w:rPr>
        <w:t xml:space="preserve">, </w:t>
      </w:r>
      <w:r>
        <w:rPr>
          <w:rtl w:val="true"/>
        </w:rPr>
        <w:t>כפי שקבע בית משפט קמא</w:t>
      </w:r>
      <w:r>
        <w:rPr>
          <w:rtl w:val="true"/>
        </w:rPr>
        <w:t xml:space="preserve">, </w:t>
      </w:r>
      <w:r>
        <w:rPr>
          <w:rtl w:val="true"/>
        </w:rPr>
        <w:t>כי המערער נכנס ברכבו לצומת כאשר אור הרמזור בכיוון נסיעתו היה אדום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spacing w:before="0" w:after="280"/>
        <w:ind w:hanging="0" w:start="0" w:end="0"/>
        <w:jc w:val="both"/>
        <w:rPr/>
      </w:pPr>
      <w:r>
        <w:rPr>
          <w:rtl w:val="true"/>
        </w:rPr>
        <w:t>אעבור אפוא לדיון בראיות שעל בסיסן נמצא המערער אשם מחמת כך שחצה את הצומת ברכבו באור אדום ועל ידי כך גרם לתאונה הקטלנית</w:t>
      </w:r>
      <w:r>
        <w:rPr>
          <w:rtl w:val="true"/>
        </w:rPr>
        <w:t xml:space="preserve">. </w:t>
      </w:r>
      <w:r>
        <w:rPr>
          <w:rtl w:val="true"/>
        </w:rPr>
        <w:t>אתמקד</w:t>
      </w:r>
      <w:r>
        <w:rPr>
          <w:rtl w:val="true"/>
        </w:rPr>
        <w:t xml:space="preserve">, </w:t>
      </w:r>
      <w:r>
        <w:rPr>
          <w:rtl w:val="true"/>
        </w:rPr>
        <w:t>כדרכנו</w:t>
      </w:r>
      <w:r>
        <w:rPr>
          <w:rtl w:val="true"/>
        </w:rPr>
        <w:t xml:space="preserve">, </w:t>
      </w:r>
      <w:r>
        <w:rPr>
          <w:rtl w:val="true"/>
        </w:rPr>
        <w:t>בראיות העיקריות</w:t>
      </w:r>
      <w:r>
        <w:rPr>
          <w:rtl w:val="true"/>
        </w:rPr>
        <w:t xml:space="preserve">, </w:t>
      </w:r>
      <w:r>
        <w:rPr>
          <w:rtl w:val="true"/>
        </w:rPr>
        <w:t>ולא אדון בראיות אחרות שאינן נדרשות להכרעתנו כערכאת הערעור</w:t>
      </w:r>
      <w:r>
        <w:rPr>
          <w:rtl w:val="true"/>
        </w:rPr>
        <w:t>.</w:t>
      </w:r>
    </w:p>
    <w:p>
      <w:pPr>
        <w:pStyle w:val="Ruller4"/>
        <w:spacing w:before="28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</w:p>
    <w:p>
      <w:pPr>
        <w:pStyle w:val="Ruller4"/>
        <w:spacing w:before="28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</w:p>
    <w:p>
      <w:pPr>
        <w:pStyle w:val="Ruller41"/>
        <w:numPr>
          <w:ilvl w:val="0"/>
          <w:numId w:val="1"/>
        </w:numPr>
        <w:spacing w:before="280" w:after="280"/>
        <w:ind w:hanging="0" w:start="0" w:end="0"/>
        <w:jc w:val="both"/>
        <w:rPr/>
      </w:pPr>
      <w:r>
        <w:rPr>
          <w:rtl w:val="true"/>
        </w:rPr>
        <w:t xml:space="preserve">קרן לוי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קרן</w:t>
      </w:r>
      <w:r>
        <w:rPr>
          <w:rtl w:val="true"/>
        </w:rPr>
        <w:t xml:space="preserve">) </w:t>
      </w:r>
      <w:r>
        <w:rPr>
          <w:rtl w:val="true"/>
        </w:rPr>
        <w:t>היתה עדה לתאונה בזמן אמת</w:t>
      </w:r>
      <w:r>
        <w:rPr>
          <w:rtl w:val="true"/>
        </w:rPr>
        <w:t xml:space="preserve">. </w:t>
      </w:r>
      <w:r>
        <w:rPr>
          <w:rtl w:val="true"/>
        </w:rPr>
        <w:t xml:space="preserve">לקרן אין </w:t>
      </w:r>
      <w:r>
        <w:rPr>
          <w:rtl w:val="true"/>
        </w:rPr>
        <w:t>–</w:t>
      </w:r>
      <w:r>
        <w:rPr>
          <w:rtl w:val="true"/>
        </w:rPr>
        <w:t xml:space="preserve"> ולא היה </w:t>
      </w:r>
      <w:r>
        <w:rPr>
          <w:rtl w:val="true"/>
        </w:rPr>
        <w:t>–</w:t>
      </w:r>
      <w:r>
        <w:rPr>
          <w:rtl w:val="true"/>
        </w:rPr>
        <w:t xml:space="preserve"> שום קשר אישי למעורבים בתאונה</w:t>
      </w:r>
      <w:r>
        <w:rPr>
          <w:rtl w:val="true"/>
        </w:rPr>
        <w:t xml:space="preserve">, </w:t>
      </w:r>
      <w:r>
        <w:rPr>
          <w:rtl w:val="true"/>
        </w:rPr>
        <w:t>ועל כן לעדותה יש חשיבות מיוחדת</w:t>
      </w:r>
      <w:r>
        <w:rPr>
          <w:rtl w:val="true"/>
        </w:rPr>
        <w:t xml:space="preserve">. </w:t>
      </w:r>
      <w:r>
        <w:rPr>
          <w:rtl w:val="true"/>
        </w:rPr>
        <w:t xml:space="preserve">קרן מסרה לבית המשפט כי נסעה ברכבה אחרי הרכב שנפגע בצומת </w:t>
      </w:r>
      <w:r>
        <w:rPr>
          <w:rtl w:val="true"/>
        </w:rPr>
        <w:t>–</w:t>
      </w:r>
      <w:r>
        <w:rPr>
          <w:rtl w:val="true"/>
        </w:rPr>
        <w:t xml:space="preserve"> רכבה של מיטל</w:t>
      </w:r>
      <w:r>
        <w:rPr>
          <w:rtl w:val="true"/>
        </w:rPr>
        <w:t xml:space="preserve"> –</w:t>
      </w:r>
      <w:r>
        <w:rPr>
          <w:rtl w:val="true"/>
        </w:rPr>
        <w:t xml:space="preserve"> אשר עמד לפניה ברמזור אדום בהמתנה לפנייה שמאלה</w:t>
      </w:r>
      <w:r>
        <w:rPr>
          <w:rtl w:val="true"/>
        </w:rPr>
        <w:t xml:space="preserve">. </w:t>
      </w:r>
      <w:r>
        <w:rPr>
          <w:rtl w:val="true"/>
        </w:rPr>
        <w:t>לדברי קרן</w:t>
      </w:r>
      <w:r>
        <w:rPr>
          <w:rtl w:val="true"/>
        </w:rPr>
        <w:t xml:space="preserve">, </w:t>
      </w:r>
      <w:r>
        <w:rPr>
          <w:rtl w:val="true"/>
        </w:rPr>
        <w:t xml:space="preserve">אחרי </w:t>
      </w:r>
      <w:r>
        <w:rPr>
          <w:rtl w:val="true"/>
        </w:rPr>
        <w:t>שאור</w:t>
      </w:r>
      <w:r>
        <w:rPr>
          <w:rtl w:val="true"/>
        </w:rPr>
        <w:t xml:space="preserve"> </w:t>
      </w:r>
      <w:r>
        <w:rPr>
          <w:rtl w:val="true"/>
        </w:rPr>
        <w:t xml:space="preserve">הרמזור </w:t>
      </w:r>
      <w:r>
        <w:rPr>
          <w:rtl w:val="true"/>
        </w:rPr>
        <w:t>התחלף</w:t>
      </w:r>
      <w:r>
        <w:rPr>
          <w:rtl w:val="true"/>
        </w:rPr>
        <w:t xml:space="preserve"> </w:t>
      </w:r>
      <w:r>
        <w:rPr>
          <w:rtl w:val="true"/>
        </w:rPr>
        <w:t>לירוק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רכב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עמד </w:t>
      </w:r>
      <w:r>
        <w:rPr>
          <w:rtl w:val="true"/>
        </w:rPr>
        <w:t>לפניה</w:t>
      </w:r>
      <w:r>
        <w:rPr>
          <w:rtl w:val="true"/>
        </w:rPr>
        <w:t xml:space="preserve"> –</w:t>
      </w:r>
      <w:r>
        <w:rPr>
          <w:rtl w:val="true"/>
        </w:rPr>
        <w:t xml:space="preserve"> רכבה של מיטל </w:t>
      </w:r>
      <w:r>
        <w:rPr>
          <w:rtl w:val="true"/>
        </w:rPr>
        <w:t>–</w:t>
      </w:r>
      <w:r>
        <w:rPr>
          <w:rtl w:val="true"/>
        </w:rPr>
        <w:t xml:space="preserve"> החל </w:t>
      </w:r>
      <w:r>
        <w:rPr>
          <w:rtl w:val="true"/>
        </w:rPr>
        <w:t>לנסוע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והיא</w:t>
      </w:r>
      <w:r>
        <w:rPr>
          <w:rtl w:val="true"/>
        </w:rPr>
        <w:t xml:space="preserve"> –</w:t>
      </w:r>
      <w:r>
        <w:rPr>
          <w:rtl w:val="true"/>
        </w:rPr>
        <w:t xml:space="preserve"> קרן </w:t>
      </w:r>
      <w:r>
        <w:rPr>
          <w:rtl w:val="true"/>
        </w:rPr>
        <w:t>–</w:t>
      </w:r>
      <w:r>
        <w:rPr>
          <w:rtl w:val="true"/>
        </w:rPr>
        <w:t xml:space="preserve"> נסעה </w:t>
      </w:r>
      <w:r>
        <w:rPr>
          <w:rtl w:val="true"/>
        </w:rPr>
        <w:t>אחריו</w:t>
      </w:r>
      <w:r>
        <w:rPr>
          <w:rtl w:val="true"/>
        </w:rPr>
        <w:t xml:space="preserve">. </w:t>
      </w:r>
      <w:r>
        <w:rPr>
          <w:rtl w:val="true"/>
        </w:rPr>
        <w:t xml:space="preserve">אחרי שרכבה של מיטל </w:t>
      </w:r>
      <w:r>
        <w:rPr>
          <w:rtl w:val="true"/>
        </w:rPr>
        <w:t>נכנס</w:t>
      </w:r>
      <w:r>
        <w:rPr>
          <w:rtl w:val="true"/>
        </w:rPr>
        <w:t xml:space="preserve"> </w:t>
      </w:r>
      <w:r>
        <w:rPr>
          <w:rtl w:val="true"/>
        </w:rPr>
        <w:t>לצומת</w:t>
      </w:r>
      <w:r>
        <w:rPr>
          <w:rtl w:val="true"/>
        </w:rPr>
        <w:t xml:space="preserve">, </w:t>
      </w:r>
      <w:r>
        <w:rPr>
          <w:rtl w:val="true"/>
        </w:rPr>
        <w:t xml:space="preserve">הגיע </w:t>
      </w:r>
      <w:r>
        <w:rPr>
          <w:rtl w:val="true"/>
        </w:rPr>
        <w:t>רכב</w:t>
      </w:r>
      <w:r>
        <w:rPr>
          <w:rtl w:val="true"/>
        </w:rPr>
        <w:t xml:space="preserve">ו של המערער </w:t>
      </w:r>
      <w:r>
        <w:rPr>
          <w:rtl w:val="true"/>
        </w:rPr>
        <w:t>מכיוון</w:t>
      </w:r>
      <w:r>
        <w:rPr>
          <w:rtl w:val="true"/>
        </w:rPr>
        <w:t xml:space="preserve"> מושב</w:t>
      </w:r>
      <w:r>
        <w:rPr>
          <w:rtl w:val="true"/>
        </w:rPr>
        <w:t xml:space="preserve"> </w:t>
      </w:r>
      <w:r>
        <w:rPr>
          <w:rtl w:val="true"/>
        </w:rPr>
        <w:t>נווה</w:t>
      </w:r>
      <w:r>
        <w:rPr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כביש</w:t>
      </w:r>
      <w:r>
        <w:rPr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, </w:t>
      </w:r>
      <w:r>
        <w:rPr>
          <w:rtl w:val="true"/>
        </w:rPr>
        <w:t>כאשר הוא נוסע במהירות</w:t>
      </w:r>
      <w:r>
        <w:rPr>
          <w:rtl w:val="true"/>
        </w:rPr>
        <w:t xml:space="preserve">, </w:t>
      </w:r>
      <w:r>
        <w:rPr>
          <w:rtl w:val="true"/>
        </w:rPr>
        <w:t>ופגע בעוצמה ברכבה של מיטל</w:t>
      </w:r>
      <w:r>
        <w:rPr>
          <w:rtl w:val="true"/>
        </w:rPr>
        <w:t xml:space="preserve">. </w:t>
      </w:r>
      <w:r>
        <w:rPr>
          <w:rtl w:val="true"/>
        </w:rPr>
        <w:t xml:space="preserve">כמו כן העידה קרן כי </w:t>
      </w:r>
      <w:r>
        <w:rPr>
          <w:rtl w:val="true"/>
        </w:rPr>
        <w:t>הסיקה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המערער נכנס לצומת באור אדום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 xml:space="preserve">מאחר שהיא </w:t>
      </w:r>
      <w:r>
        <w:rPr>
          <w:rtl w:val="true"/>
        </w:rPr>
        <w:t>–</w:t>
      </w:r>
      <w:r>
        <w:rPr>
          <w:rtl w:val="true"/>
        </w:rPr>
        <w:t xml:space="preserve"> ומיטל כמותה </w:t>
      </w:r>
      <w:r>
        <w:rPr>
          <w:rtl w:val="true"/>
        </w:rPr>
        <w:t>–</w:t>
      </w:r>
      <w:r>
        <w:rPr>
          <w:rtl w:val="true"/>
        </w:rPr>
        <w:t xml:space="preserve"> החלו לחצות את הצומת במכוניותיהן תחת אור ירוק</w:t>
      </w:r>
      <w:r>
        <w:rPr>
          <w:rtl w:val="true"/>
        </w:rPr>
        <w:t xml:space="preserve">. </w:t>
      </w:r>
      <w:r>
        <w:rPr>
          <w:rtl w:val="true"/>
        </w:rPr>
        <w:t xml:space="preserve">קרן חזרה והדגישה כי הינה בטוחה </w:t>
      </w:r>
      <w:r>
        <w:rPr>
          <w:rtl w:val="true"/>
        </w:rPr>
        <w:t>"</w:t>
      </w:r>
      <w:r>
        <w:rPr>
          <w:rtl w:val="true"/>
        </w:rPr>
        <w:t>במאה</w:t>
      </w:r>
      <w:r>
        <w:rPr>
          <w:rtl w:val="true"/>
        </w:rPr>
        <w:t xml:space="preserve"> </w:t>
      </w:r>
      <w:r>
        <w:rPr>
          <w:rtl w:val="true"/>
        </w:rPr>
        <w:t>אחוז</w:t>
      </w:r>
      <w:r>
        <w:rPr>
          <w:rtl w:val="true"/>
        </w:rPr>
        <w:t xml:space="preserve">" </w:t>
      </w:r>
      <w:r>
        <w:rPr>
          <w:rtl w:val="true"/>
        </w:rPr>
        <w:t>בכך שנכנסה לצומת באור ירוק</w:t>
      </w:r>
      <w:r>
        <w:rPr>
          <w:rtl w:val="true"/>
        </w:rPr>
        <w:t xml:space="preserve">. </w:t>
      </w:r>
      <w:r>
        <w:rPr>
          <w:rtl w:val="true"/>
        </w:rPr>
        <w:t xml:space="preserve">כמו כן מסרה העדה לבית המשפט כי </w:t>
      </w:r>
      <w:r>
        <w:rPr>
          <w:rtl w:val="true"/>
        </w:rPr>
        <w:t>התאורה</w:t>
      </w:r>
      <w:r>
        <w:rPr>
          <w:rtl w:val="true"/>
        </w:rPr>
        <w:t xml:space="preserve"> </w:t>
      </w:r>
      <w:r>
        <w:rPr>
          <w:rtl w:val="true"/>
        </w:rPr>
        <w:t>בצומת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 </w:t>
      </w:r>
      <w:r>
        <w:rPr>
          <w:rtl w:val="true"/>
        </w:rPr>
        <w:t>והרמזורים</w:t>
      </w:r>
      <w:r>
        <w:rPr>
          <w:rtl w:val="true"/>
        </w:rPr>
        <w:t xml:space="preserve"> </w:t>
      </w:r>
      <w:r>
        <w:rPr>
          <w:rtl w:val="true"/>
        </w:rPr>
        <w:t>פעלו</w:t>
      </w:r>
      <w:r>
        <w:rPr>
          <w:rtl w:val="true"/>
        </w:rPr>
        <w:t xml:space="preserve"> </w:t>
      </w:r>
      <w:r>
        <w:rPr>
          <w:rtl w:val="true"/>
        </w:rPr>
        <w:t>באופן תקין</w:t>
      </w:r>
      <w:r>
        <w:rPr>
          <w:rtl w:val="true"/>
        </w:rPr>
        <w:t xml:space="preserve">. </w:t>
      </w:r>
      <w:r>
        <w:rPr>
          <w:rtl w:val="true"/>
        </w:rPr>
        <w:t>עוד מסרה קרן לבית המשפט כי היא כמעט בטוחה</w:t>
      </w:r>
      <w:r>
        <w:rPr>
          <w:rtl w:val="true"/>
        </w:rPr>
        <w:t>, "</w:t>
      </w:r>
      <w:r>
        <w:rPr>
          <w:rtl w:val="true"/>
        </w:rPr>
        <w:t>בטוחה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99</w:t>
      </w:r>
      <w:r>
        <w:rPr>
          <w:rtl w:val="true"/>
        </w:rPr>
        <w:t xml:space="preserve"> </w:t>
      </w:r>
      <w:r>
        <w:rPr>
          <w:rtl w:val="true"/>
        </w:rPr>
        <w:t>אחוז</w:t>
      </w:r>
      <w:r>
        <w:rPr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 xml:space="preserve">בכך שרכבה של מיטל </w:t>
      </w:r>
      <w:r>
        <w:rPr>
          <w:rtl w:val="true"/>
        </w:rPr>
        <w:t>עמד</w:t>
      </w:r>
      <w:r>
        <w:rPr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 </w:t>
      </w:r>
      <w:r>
        <w:rPr>
          <w:rtl w:val="true"/>
        </w:rPr>
        <w:t>בצומת</w:t>
      </w:r>
      <w:r>
        <w:rPr>
          <w:rtl w:val="true"/>
        </w:rPr>
        <w:t xml:space="preserve"> –</w:t>
      </w:r>
      <w:r>
        <w:rPr>
          <w:rtl w:val="true"/>
        </w:rPr>
        <w:t xml:space="preserve"> פרט מידע שעומד בניגוד למה שמראה סרטון אבטחה</w:t>
      </w:r>
      <w:r>
        <w:rPr>
          <w:rtl w:val="true"/>
        </w:rPr>
        <w:t xml:space="preserve">, </w:t>
      </w:r>
      <w:r>
        <w:rPr>
          <w:rtl w:val="true"/>
        </w:rPr>
        <w:t>אליו עוד אתייחס בהמשך פסק דיני</w:t>
      </w:r>
      <w:r>
        <w:rPr>
          <w:rtl w:val="true"/>
        </w:rPr>
        <w:t xml:space="preserve">. </w:t>
      </w:r>
      <w:r>
        <w:rPr>
          <w:rtl w:val="true"/>
        </w:rPr>
        <w:t>סרטון זה מתעד כניסה לצומת של מספר כלי רכב לפני כניסת רכבה של מיטל</w:t>
      </w:r>
      <w:r>
        <w:rPr>
          <w:rtl w:val="true"/>
        </w:rPr>
        <w:t xml:space="preserve">, </w:t>
      </w:r>
      <w:r>
        <w:rPr>
          <w:rtl w:val="true"/>
        </w:rPr>
        <w:t>שכאמור נפגע בתאונה</w:t>
      </w:r>
      <w:r>
        <w:rPr>
          <w:rtl w:val="true"/>
        </w:rPr>
        <w:t xml:space="preserve">. </w:t>
      </w:r>
      <w:r>
        <w:rPr>
          <w:rtl w:val="true"/>
        </w:rPr>
        <w:t>קרן עומתה עם הסרט</w:t>
      </w:r>
      <w:r>
        <w:rPr>
          <w:rtl w:val="true"/>
        </w:rPr>
        <w:t xml:space="preserve">, </w:t>
      </w:r>
      <w:r>
        <w:rPr>
          <w:rtl w:val="true"/>
        </w:rPr>
        <w:t>עמדה על כך שאינה זוכרת את כלי הרכב שפנו שמאלה</w:t>
      </w:r>
      <w:r>
        <w:rPr>
          <w:rtl w:val="true"/>
        </w:rPr>
        <w:t xml:space="preserve">, </w:t>
      </w:r>
      <w:r>
        <w:rPr>
          <w:rtl w:val="true"/>
        </w:rPr>
        <w:t>כאשר היא חוזרת ועומדת על כך שהיא עצמה בוודאות חצתה את הצומת ברכבה באור ירוק תוך כדי נסיעה אחרי רכבה של מיטל</w:t>
      </w:r>
      <w:r>
        <w:rPr>
          <w:rtl w:val="true"/>
        </w:rPr>
        <w:t xml:space="preserve">.  </w:t>
      </w:r>
    </w:p>
    <w:p>
      <w:pPr>
        <w:pStyle w:val="Ruller4"/>
        <w:spacing w:before="28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מיטל</w:t>
      </w:r>
    </w:p>
    <w:p>
      <w:pPr>
        <w:pStyle w:val="Ruller41"/>
        <w:numPr>
          <w:ilvl w:val="0"/>
          <w:numId w:val="1"/>
        </w:numPr>
        <w:spacing w:before="280" w:after="280"/>
        <w:ind w:hanging="0" w:start="0" w:end="0"/>
        <w:jc w:val="both"/>
        <w:rPr>
          <w:rFonts w:ascii="Calibri" w:hAnsi="Calibri" w:cs="Calibri"/>
        </w:rPr>
      </w:pPr>
      <w:r>
        <w:rPr>
          <w:rtl w:val="true"/>
        </w:rPr>
        <w:t>מיטל העידה כי בסמוך לפני התאונה נהגה ברכבה בדרך חזרה ממסעדה</w:t>
      </w:r>
      <w:r>
        <w:rPr>
          <w:rtl w:val="true"/>
        </w:rPr>
        <w:t xml:space="preserve">, </w:t>
      </w:r>
      <w:r>
        <w:rPr>
          <w:rtl w:val="true"/>
        </w:rPr>
        <w:t>בה בילתה יחד עם חבריה שנסעו עמה ברכב</w:t>
      </w:r>
      <w:r>
        <w:rPr>
          <w:rtl w:val="true"/>
        </w:rPr>
        <w:t xml:space="preserve">: </w:t>
      </w:r>
      <w:r>
        <w:rPr>
          <w:rtl w:val="true"/>
        </w:rPr>
        <w:t>נופר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בת חן</w:t>
      </w:r>
      <w:r>
        <w:rPr>
          <w:rtl w:val="true"/>
        </w:rPr>
        <w:t xml:space="preserve">, </w:t>
      </w:r>
      <w:r>
        <w:rPr>
          <w:rtl w:val="true"/>
        </w:rPr>
        <w:t>קארין ואלעד</w:t>
      </w:r>
      <w:r>
        <w:rPr>
          <w:rtl w:val="true"/>
        </w:rPr>
        <w:t xml:space="preserve">. </w:t>
      </w:r>
      <w:r>
        <w:rPr>
          <w:rtl w:val="true"/>
        </w:rPr>
        <w:t>לפי דבריה</w:t>
      </w:r>
      <w:r>
        <w:rPr>
          <w:rtl w:val="true"/>
        </w:rPr>
        <w:t xml:space="preserve">, </w:t>
      </w:r>
      <w:r>
        <w:rPr>
          <w:rtl w:val="true"/>
        </w:rPr>
        <w:t>היא הגיעה לצומת והמתינה במשך כדקה או שתיים להחלפת אור הרמזור מאדום לירוק</w:t>
      </w:r>
      <w:r>
        <w:rPr>
          <w:rtl w:val="true"/>
        </w:rPr>
        <w:t xml:space="preserve">. </w:t>
      </w:r>
      <w:r>
        <w:rPr>
          <w:rtl w:val="true"/>
        </w:rPr>
        <w:t xml:space="preserve">אחרי </w:t>
      </w:r>
      <w:r>
        <w:rPr>
          <w:rFonts w:ascii="Calibri" w:hAnsi="Calibri" w:cs="Calibri"/>
          <w:rtl w:val="true"/>
        </w:rPr>
        <w:t>שהאור הפך לירוק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היא </w:t>
      </w:r>
      <w:r>
        <w:rPr>
          <w:rFonts w:ascii="Calibri" w:hAnsi="Calibri" w:cs="Calibri"/>
          <w:rtl w:val="true"/>
        </w:rPr>
        <w:t>פנתה שמאלה</w:t>
      </w:r>
      <w:r>
        <w:rPr>
          <w:rFonts w:ascii="Calibri" w:hAnsi="Calibri" w:cs="Calibri"/>
          <w:rtl w:val="true"/>
        </w:rPr>
        <w:t xml:space="preserve"> ו</w:t>
      </w:r>
      <w:r>
        <w:rPr>
          <w:rFonts w:ascii="Calibri" w:hAnsi="Calibri" w:cs="Calibri"/>
          <w:rtl w:val="true"/>
        </w:rPr>
        <w:t>נכנסה לצומת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שם ראתה מיטל </w:t>
      </w:r>
      <w:r>
        <w:rPr>
          <w:rFonts w:ascii="Calibri" w:hAnsi="Calibri" w:cs="Calibri"/>
          <w:rtl w:val="true"/>
        </w:rPr>
        <w:t>רכב לבן גדול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רכבו של המערער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שנסע במהירות והתנגש ברכבה</w:t>
      </w:r>
      <w:r>
        <w:rPr>
          <w:rFonts w:cs="Calibri" w:ascii="Calibri" w:hAnsi="Calibri"/>
          <w:rtl w:val="true"/>
        </w:rPr>
        <w:t xml:space="preserve">. </w:t>
      </w:r>
      <w:r>
        <w:rPr>
          <w:rtl w:val="true"/>
        </w:rPr>
        <w:t xml:space="preserve">מיטל אישרה בעדותה כי </w:t>
      </w:r>
      <w:r>
        <w:rPr>
          <w:rFonts w:ascii="Calibri" w:hAnsi="Calibri" w:cs="Calibri"/>
          <w:rtl w:val="true"/>
        </w:rPr>
        <w:t xml:space="preserve">לא זכרה </w:t>
      </w:r>
      <w:r>
        <w:rPr>
          <w:rFonts w:ascii="Calibri" w:hAnsi="Calibri" w:cs="Calibri"/>
          <w:rtl w:val="true"/>
        </w:rPr>
        <w:t>את ה</w:t>
      </w:r>
      <w:r>
        <w:rPr>
          <w:rFonts w:ascii="Calibri" w:hAnsi="Calibri" w:cs="Calibri"/>
          <w:rtl w:val="true"/>
        </w:rPr>
        <w:t xml:space="preserve">מונית שעמדה ברמזור </w:t>
      </w:r>
      <w:r>
        <w:rPr>
          <w:rFonts w:ascii="Calibri" w:hAnsi="Calibri" w:cs="Calibri"/>
          <w:rtl w:val="true"/>
        </w:rPr>
        <w:t xml:space="preserve">ואת </w:t>
      </w:r>
      <w:r>
        <w:rPr>
          <w:rFonts w:ascii="Calibri" w:hAnsi="Calibri" w:cs="Calibri"/>
          <w:rtl w:val="true"/>
        </w:rPr>
        <w:t xml:space="preserve">שני </w:t>
      </w:r>
      <w:r>
        <w:rPr>
          <w:rFonts w:ascii="Calibri" w:hAnsi="Calibri" w:cs="Calibri"/>
          <w:rtl w:val="true"/>
        </w:rPr>
        <w:t>כלי ה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ה</w:t>
      </w:r>
      <w:r>
        <w:rPr>
          <w:rFonts w:ascii="Calibri" w:hAnsi="Calibri" w:cs="Calibri"/>
          <w:rtl w:val="true"/>
        </w:rPr>
        <w:t>נוספים ש</w:t>
      </w:r>
      <w:r>
        <w:rPr>
          <w:rFonts w:ascii="Calibri" w:hAnsi="Calibri" w:cs="Calibri"/>
          <w:rtl w:val="true"/>
        </w:rPr>
        <w:t>עמדו</w:t>
      </w:r>
      <w:r>
        <w:rPr>
          <w:rFonts w:ascii="Calibri" w:hAnsi="Calibri" w:cs="Calibri"/>
          <w:rtl w:val="true"/>
        </w:rPr>
        <w:t xml:space="preserve"> לפניה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כמתועד בסרטון האבטחה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היא </w:t>
      </w:r>
      <w:r>
        <w:rPr>
          <w:rFonts w:ascii="Calibri" w:hAnsi="Calibri" w:cs="Calibri"/>
          <w:rtl w:val="true"/>
        </w:rPr>
        <w:t xml:space="preserve">הסבירה שאינה זוכרת רכבים </w:t>
      </w:r>
      <w:r>
        <w:rPr>
          <w:rFonts w:ascii="Calibri" w:hAnsi="Calibri" w:cs="Calibri"/>
          <w:rtl w:val="true"/>
        </w:rPr>
        <w:t>נוספים אלה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כאשר היא </w:t>
      </w:r>
      <w:r>
        <w:rPr>
          <w:rFonts w:ascii="Calibri" w:hAnsi="Calibri" w:cs="Calibri"/>
          <w:rtl w:val="true"/>
        </w:rPr>
        <w:t>נוהגת</w:t>
      </w:r>
      <w:r>
        <w:rPr>
          <w:rFonts w:ascii="Calibri" w:hAnsi="Calibri" w:cs="Calibri"/>
          <w:rtl w:val="true"/>
        </w:rPr>
        <w:t xml:space="preserve"> ברכבה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היא </w:t>
      </w:r>
      <w:r>
        <w:rPr>
          <w:rFonts w:ascii="Calibri" w:hAnsi="Calibri" w:cs="Calibri"/>
          <w:rtl w:val="true"/>
        </w:rPr>
        <w:t>מתמקדת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רק </w:t>
      </w:r>
      <w:r>
        <w:rPr>
          <w:rFonts w:ascii="Calibri" w:hAnsi="Calibri" w:cs="Calibri"/>
          <w:rtl w:val="true"/>
        </w:rPr>
        <w:t>בדרך וברמזורים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Ruller4"/>
        <w:spacing w:before="28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עדויותיהם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אלעד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ורפאל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</w:t>
      </w:r>
    </w:p>
    <w:p>
      <w:pPr>
        <w:pStyle w:val="Ruller41"/>
        <w:numPr>
          <w:ilvl w:val="0"/>
          <w:numId w:val="1"/>
        </w:numPr>
        <w:spacing w:before="280" w:after="240"/>
        <w:ind w:hanging="0" w:start="0" w:end="0"/>
        <w:jc w:val="both"/>
        <w:rPr/>
      </w:pPr>
      <w:r>
        <w:rPr>
          <w:rtl w:val="true"/>
        </w:rPr>
        <w:t>אלעד ובת חן</w:t>
      </w:r>
      <w:r>
        <w:rPr>
          <w:rtl w:val="true"/>
        </w:rPr>
        <w:t xml:space="preserve">, </w:t>
      </w:r>
      <w:r>
        <w:rPr>
          <w:rtl w:val="true"/>
        </w:rPr>
        <w:t>שכאמור נסעו במכוניתה של מיטל ונפגעו בתאונה</w:t>
      </w:r>
      <w:r>
        <w:rPr>
          <w:rtl w:val="true"/>
        </w:rPr>
        <w:t xml:space="preserve">, </w:t>
      </w:r>
      <w:r>
        <w:rPr>
          <w:rtl w:val="true"/>
        </w:rPr>
        <w:t xml:space="preserve">העידו </w:t>
      </w:r>
      <w:r>
        <w:rPr>
          <w:rtl w:val="true"/>
        </w:rPr>
        <w:t>–</w:t>
      </w:r>
      <w:r>
        <w:rPr>
          <w:rtl w:val="true"/>
        </w:rPr>
        <w:t xml:space="preserve"> כל אחד לפי תורו </w:t>
      </w:r>
      <w:r>
        <w:rPr>
          <w:rtl w:val="true"/>
        </w:rPr>
        <w:t>–</w:t>
      </w:r>
      <w:r>
        <w:rPr>
          <w:rtl w:val="true"/>
        </w:rPr>
        <w:t xml:space="preserve"> כי התנגשות הרכב שפגע במכוניתה של מיטל אירעה אחרי כניסתה של מיטל לצומת תחת אור ירוק</w:t>
      </w:r>
      <w:r>
        <w:rPr>
          <w:rtl w:val="true"/>
        </w:rPr>
        <w:t xml:space="preserve">, </w:t>
      </w:r>
      <w:r>
        <w:rPr>
          <w:rtl w:val="true"/>
        </w:rPr>
        <w:t>וכי מיטל הסיעה את מכוניתה לתוך הצומת ממצב של עמידה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spacing w:before="0" w:after="280"/>
        <w:ind w:hanging="0" w:start="0" w:end="0"/>
        <w:jc w:val="both"/>
        <w:rPr/>
      </w:pPr>
      <w:r>
        <w:rPr>
          <w:rtl w:val="true"/>
        </w:rPr>
        <w:t>רפאל סימן טוב</w:t>
      </w:r>
      <w:r>
        <w:rPr>
          <w:rtl w:val="true"/>
        </w:rPr>
        <w:t xml:space="preserve">, </w:t>
      </w:r>
      <w:r>
        <w:rPr>
          <w:rtl w:val="true"/>
        </w:rPr>
        <w:t>חובש</w:t>
      </w:r>
      <w:r>
        <w:rPr>
          <w:rtl w:val="true"/>
        </w:rPr>
        <w:t xml:space="preserve"> </w:t>
      </w:r>
      <w:r>
        <w:rPr>
          <w:rtl w:val="true"/>
        </w:rPr>
        <w:t>באיחוד</w:t>
      </w:r>
      <w:r>
        <w:rPr>
          <w:rtl w:val="true"/>
        </w:rPr>
        <w:t xml:space="preserve"> </w:t>
      </w:r>
      <w:r>
        <w:rPr>
          <w:rtl w:val="true"/>
        </w:rPr>
        <w:t>הצלה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לתאונה</w:t>
      </w:r>
      <w:r>
        <w:rPr>
          <w:rtl w:val="true"/>
        </w:rPr>
        <w:t xml:space="preserve"> </w:t>
      </w:r>
      <w:r>
        <w:rPr>
          <w:rtl w:val="true"/>
        </w:rPr>
        <w:t>וטיפל</w:t>
      </w:r>
      <w:r>
        <w:rPr>
          <w:rtl w:val="true"/>
        </w:rPr>
        <w:t xml:space="preserve"> </w:t>
      </w:r>
      <w:r>
        <w:rPr>
          <w:rtl w:val="true"/>
        </w:rPr>
        <w:t>בפצועים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רפאל</w:t>
      </w:r>
      <w:r>
        <w:rPr>
          <w:rtl w:val="true"/>
        </w:rPr>
        <w:t xml:space="preserve">), </w:t>
      </w:r>
      <w:r>
        <w:rPr>
          <w:rtl w:val="true"/>
        </w:rPr>
        <w:t xml:space="preserve">הכיר את נפגעי התאונה אשר נסעו במכוניתה של מיטל </w:t>
      </w:r>
      <w:r>
        <w:rPr>
          <w:rtl w:val="true"/>
        </w:rPr>
        <w:t>מהשכונה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גדלו</w:t>
      </w:r>
      <w:r>
        <w:rPr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שכונת </w:t>
      </w:r>
      <w:r>
        <w:rPr>
          <w:rtl w:val="true"/>
        </w:rPr>
        <w:t>קפלן</w:t>
      </w:r>
      <w:r>
        <w:rPr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 </w:t>
      </w:r>
      <w:r>
        <w:rPr>
          <w:rtl w:val="true"/>
        </w:rPr>
        <w:t>סבא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רפאל העיד כי בזמן התאונה הוא רכב על אופנוע שפנה ימינה </w:t>
      </w:r>
      <w:r>
        <w:rPr>
          <w:rtl w:val="true"/>
        </w:rPr>
        <w:t>מכביש</w:t>
      </w:r>
      <w:r>
        <w:rPr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לכביש</w:t>
      </w:r>
      <w:r>
        <w:rPr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לכיוון</w:t>
      </w:r>
      <w:r>
        <w:rPr>
          <w:rtl w:val="true"/>
        </w:rPr>
        <w:t xml:space="preserve"> </w:t>
      </w:r>
      <w:r>
        <w:rPr>
          <w:rtl w:val="true"/>
        </w:rPr>
        <w:t>שכונת</w:t>
      </w:r>
      <w:r>
        <w:rPr>
          <w:rtl w:val="true"/>
        </w:rPr>
        <w:t xml:space="preserve"> </w:t>
      </w:r>
      <w:r>
        <w:rPr>
          <w:rtl w:val="true"/>
        </w:rPr>
        <w:t>קפלן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בסביבות</w:t>
      </w:r>
      <w:r>
        <w:rPr>
          <w:rtl w:val="true"/>
        </w:rPr>
        <w:t xml:space="preserve"> </w:t>
      </w:r>
      <w:r>
        <w:rPr/>
        <w:t>450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 </w:t>
      </w:r>
      <w:r>
        <w:rPr>
          <w:rtl w:val="true"/>
        </w:rPr>
        <w:t>מהצומת</w:t>
      </w:r>
      <w:r>
        <w:rPr>
          <w:rtl w:val="true"/>
        </w:rPr>
        <w:t xml:space="preserve"> </w:t>
      </w:r>
      <w:r>
        <w:rPr>
          <w:rtl w:val="true"/>
        </w:rPr>
        <w:t xml:space="preserve">הוא </w:t>
      </w:r>
      <w:r>
        <w:rPr>
          <w:rtl w:val="true"/>
        </w:rPr>
        <w:t>ראה</w:t>
      </w:r>
      <w:r>
        <w:rPr>
          <w:rtl w:val="true"/>
        </w:rPr>
        <w:t xml:space="preserve"> </w:t>
      </w:r>
      <w:r>
        <w:rPr>
          <w:rtl w:val="true"/>
        </w:rPr>
        <w:t xml:space="preserve">היטב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האור</w:t>
      </w:r>
      <w:r>
        <w:rPr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 xml:space="preserve"> </w:t>
      </w:r>
      <w:r>
        <w:rPr>
          <w:rtl w:val="true"/>
        </w:rPr>
        <w:t xml:space="preserve">ברמזור </w:t>
      </w:r>
      <w:r>
        <w:rPr>
          <w:rtl w:val="true"/>
        </w:rPr>
        <w:t>לרכב</w:t>
      </w:r>
      <w:r>
        <w:rPr>
          <w:rtl w:val="true"/>
        </w:rPr>
        <w:t xml:space="preserve"> </w:t>
      </w:r>
      <w:r>
        <w:rPr>
          <w:rtl w:val="true"/>
        </w:rPr>
        <w:t>שפנה</w:t>
      </w:r>
      <w:r>
        <w:rPr>
          <w:rtl w:val="true"/>
        </w:rPr>
        <w:t xml:space="preserve"> </w:t>
      </w:r>
      <w:r>
        <w:rPr>
          <w:rtl w:val="true"/>
        </w:rPr>
        <w:t>שמאלה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רכבה של מיטל</w:t>
      </w:r>
      <w:r>
        <w:rPr>
          <w:rtl w:val="true"/>
        </w:rPr>
        <w:t xml:space="preserve">, </w:t>
      </w:r>
      <w:r>
        <w:rPr>
          <w:rtl w:val="true"/>
        </w:rPr>
        <w:t>כפי שהתברר אחרי התאונה</w:t>
      </w:r>
      <w:r>
        <w:rPr>
          <w:rtl w:val="true"/>
        </w:rPr>
        <w:t xml:space="preserve">. </w:t>
      </w:r>
      <w:r>
        <w:rPr>
          <w:rtl w:val="true"/>
        </w:rPr>
        <w:t>רפאל תיאר כי באותה נקודת זמן ראה רכב אחר חוצה את הצומת במהירות</w:t>
      </w:r>
      <w:r>
        <w:rPr>
          <w:rtl w:val="true"/>
        </w:rPr>
        <w:t xml:space="preserve">, </w:t>
      </w:r>
      <w:r>
        <w:rPr>
          <w:rtl w:val="true"/>
        </w:rPr>
        <w:t>באור אדום</w:t>
      </w:r>
      <w:r>
        <w:rPr>
          <w:rtl w:val="true"/>
        </w:rPr>
        <w:t xml:space="preserve">, </w:t>
      </w:r>
      <w:r>
        <w:rPr>
          <w:rtl w:val="true"/>
        </w:rPr>
        <w:t xml:space="preserve">ומתנגש ברכבה של מיטל </w:t>
      </w:r>
      <w:r>
        <w:rPr>
          <w:rtl w:val="true"/>
        </w:rPr>
        <w:t>–</w:t>
      </w:r>
      <w:r>
        <w:rPr>
          <w:rtl w:val="true"/>
        </w:rPr>
        <w:t xml:space="preserve"> כאשר הוא פוגע בצדו הימני של הרכב שמאחורי הנהגת</w:t>
      </w:r>
      <w:r>
        <w:rPr>
          <w:rtl w:val="true"/>
        </w:rPr>
        <w:t xml:space="preserve">. </w:t>
      </w:r>
      <w:r>
        <w:rPr>
          <w:rtl w:val="true"/>
        </w:rPr>
        <w:t>בהגיעו לזירת התאונה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tl w:val="true"/>
        </w:rPr>
        <w:t xml:space="preserve"> </w:t>
      </w:r>
      <w:r>
        <w:rPr>
          <w:rtl w:val="true"/>
        </w:rPr>
        <w:t xml:space="preserve">רפאל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 </w:t>
      </w:r>
      <w:r>
        <w:rPr>
          <w:rtl w:val="true"/>
        </w:rPr>
        <w:t>הפוגע</w:t>
      </w:r>
      <w:r>
        <w:rPr>
          <w:rtl w:val="true"/>
        </w:rPr>
        <w:t xml:space="preserve"> </w:t>
      </w:r>
      <w:r>
        <w:rPr>
          <w:rtl w:val="true"/>
        </w:rPr>
        <w:t>מחזיק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ראשו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שומע אותו </w:t>
      </w:r>
      <w:r>
        <w:rPr>
          <w:rtl w:val="true"/>
        </w:rPr>
        <w:t>אומר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</w:t>
      </w:r>
      <w:r>
        <w:rPr>
          <w:rtl w:val="true"/>
        </w:rPr>
        <w:t xml:space="preserve"> </w:t>
      </w:r>
      <w:r>
        <w:rPr>
          <w:rtl w:val="true"/>
        </w:rPr>
        <w:t>עשיתי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tl w:val="true"/>
        </w:rPr>
        <w:t xml:space="preserve"> </w:t>
      </w:r>
      <w:r>
        <w:rPr>
          <w:rtl w:val="true"/>
        </w:rPr>
        <w:t>עשיתי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רפאל ציין בעדותו כי מהנהג</w:t>
      </w:r>
      <w:r>
        <w:rPr>
          <w:rtl w:val="true"/>
        </w:rPr>
        <w:t xml:space="preserve"> </w:t>
      </w:r>
      <w:r>
        <w:rPr>
          <w:rtl w:val="true"/>
        </w:rPr>
        <w:t xml:space="preserve">נדף </w:t>
      </w:r>
      <w:r>
        <w:rPr>
          <w:rtl w:val="true"/>
        </w:rPr>
        <w:t>ריח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; </w:t>
      </w:r>
      <w:r>
        <w:rPr>
          <w:rtl w:val="true"/>
        </w:rPr>
        <w:t xml:space="preserve">כי הוא שאל את הנהג האם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זקוק</w:t>
      </w:r>
      <w:r>
        <w:rPr>
          <w:rtl w:val="true"/>
        </w:rPr>
        <w:t xml:space="preserve"> </w:t>
      </w:r>
      <w:r>
        <w:rPr>
          <w:rtl w:val="true"/>
        </w:rPr>
        <w:t>לעזרה</w:t>
      </w:r>
      <w:r>
        <w:rPr>
          <w:rtl w:val="true"/>
        </w:rPr>
        <w:t xml:space="preserve"> </w:t>
      </w:r>
      <w:r>
        <w:rPr>
          <w:rtl w:val="true"/>
        </w:rPr>
        <w:t>רפואית</w:t>
      </w:r>
      <w:r>
        <w:rPr>
          <w:rtl w:val="true"/>
        </w:rPr>
        <w:t xml:space="preserve">; </w:t>
      </w:r>
      <w:r>
        <w:rPr>
          <w:rtl w:val="true"/>
        </w:rPr>
        <w:t xml:space="preserve">וכי הנהג </w:t>
      </w:r>
      <w:r>
        <w:rPr>
          <w:rtl w:val="true"/>
        </w:rPr>
        <w:t>–</w:t>
      </w:r>
      <w:r>
        <w:rPr>
          <w:rtl w:val="true"/>
        </w:rPr>
        <w:t xml:space="preserve"> המערער דכאן </w:t>
      </w:r>
      <w:r>
        <w:rPr>
          <w:rtl w:val="true"/>
        </w:rPr>
        <w:t>–</w:t>
      </w:r>
      <w:r>
        <w:rPr>
          <w:rtl w:val="true"/>
        </w:rPr>
        <w:t xml:space="preserve"> ענה לו כי אינו זקוק לעזרה וביקש </w:t>
      </w:r>
      <w:r>
        <w:rPr>
          <w:rtl w:val="true"/>
        </w:rPr>
        <w:t>ש</w:t>
      </w:r>
      <w:r>
        <w:rPr>
          <w:rtl w:val="true"/>
        </w:rPr>
        <w:t xml:space="preserve">רפאל </w:t>
      </w:r>
      <w:r>
        <w:rPr>
          <w:rtl w:val="true"/>
        </w:rPr>
        <w:t>יעזוב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כמו כן מסר רפאל לבית המשפט כי מיד אחר</w:t>
      </w:r>
      <w:r>
        <w:rPr>
          <w:rtl w:val="true"/>
        </w:rPr>
        <w:t>-</w:t>
      </w:r>
      <w:r>
        <w:rPr>
          <w:rtl w:val="true"/>
        </w:rPr>
        <w:t>כך ניגש לרכב שנפגע</w:t>
      </w:r>
      <w:r>
        <w:rPr>
          <w:rtl w:val="true"/>
        </w:rPr>
        <w:t xml:space="preserve">, </w:t>
      </w:r>
      <w:r>
        <w:rPr>
          <w:rtl w:val="true"/>
        </w:rPr>
        <w:t>ראה את נפגעי התאונה</w:t>
      </w:r>
      <w:r>
        <w:rPr>
          <w:rtl w:val="true"/>
        </w:rPr>
        <w:t xml:space="preserve">, </w:t>
      </w:r>
      <w:r>
        <w:rPr>
          <w:rtl w:val="true"/>
        </w:rPr>
        <w:t>זיהה אותם כאנשים שמוכרים לו</w:t>
      </w:r>
      <w:r>
        <w:rPr>
          <w:rtl w:val="true"/>
        </w:rPr>
        <w:t xml:space="preserve">, </w:t>
      </w:r>
      <w:r>
        <w:rPr>
          <w:rtl w:val="true"/>
        </w:rPr>
        <w:t>והזמין לזירה</w:t>
      </w:r>
      <w:r>
        <w:rPr>
          <w:rtl w:val="true"/>
        </w:rPr>
        <w:t xml:space="preserve">, </w:t>
      </w:r>
      <w:r>
        <w:rPr>
          <w:rtl w:val="true"/>
        </w:rPr>
        <w:t>באמצעות טלפון נייד</w:t>
      </w:r>
      <w:r>
        <w:rPr>
          <w:rtl w:val="true"/>
        </w:rPr>
        <w:t xml:space="preserve">, </w:t>
      </w:r>
      <w:r>
        <w:rPr>
          <w:rtl w:val="true"/>
        </w:rPr>
        <w:t>שש ניידות טיפול נמרץ</w:t>
      </w:r>
      <w:r>
        <w:rPr>
          <w:rtl w:val="true"/>
        </w:rPr>
        <w:t xml:space="preserve">. </w:t>
      </w:r>
    </w:p>
    <w:p>
      <w:pPr>
        <w:pStyle w:val="Ruller4"/>
        <w:spacing w:before="28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עדותו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התנועה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אופיר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spacing w:before="280" w:after="240"/>
        <w:ind w:hanging="0" w:start="0" w:end="0"/>
        <w:jc w:val="both"/>
        <w:rPr/>
      </w:pPr>
      <w:r>
        <w:rPr>
          <w:rtl w:val="true"/>
        </w:rPr>
        <w:t>בוחן התנועה</w:t>
      </w:r>
      <w:r>
        <w:rPr>
          <w:rtl w:val="true"/>
        </w:rPr>
        <w:t xml:space="preserve">, </w:t>
      </w:r>
      <w:r>
        <w:rPr>
          <w:rtl w:val="true"/>
        </w:rPr>
        <w:t>אופיר וייס</w:t>
      </w:r>
      <w:r>
        <w:rPr>
          <w:rtl w:val="true"/>
        </w:rPr>
        <w:t xml:space="preserve">, </w:t>
      </w:r>
      <w:r>
        <w:rPr>
          <w:rtl w:val="true"/>
        </w:rPr>
        <w:t>מסר את עדותו כמומחה מטעם המדינה</w:t>
      </w:r>
      <w:r>
        <w:rPr>
          <w:rtl w:val="true"/>
        </w:rPr>
        <w:t xml:space="preserve">. </w:t>
      </w:r>
      <w:r>
        <w:rPr>
          <w:rtl w:val="true"/>
        </w:rPr>
        <w:t xml:space="preserve">מומחה זה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וייס</w:t>
      </w:r>
      <w:r>
        <w:rPr>
          <w:rtl w:val="true"/>
        </w:rPr>
        <w:t xml:space="preserve">) </w:t>
      </w:r>
      <w:r>
        <w:rPr>
          <w:rtl w:val="true"/>
        </w:rPr>
        <w:t>תיעד את זירת התאונה</w:t>
      </w:r>
      <w:r>
        <w:rPr>
          <w:rtl w:val="true"/>
        </w:rPr>
        <w:t xml:space="preserve">, </w:t>
      </w:r>
      <w:r>
        <w:rPr>
          <w:rtl w:val="true"/>
        </w:rPr>
        <w:t>צילם את סביבתה</w:t>
      </w:r>
      <w:r>
        <w:rPr>
          <w:rtl w:val="true"/>
        </w:rPr>
        <w:t xml:space="preserve">, </w:t>
      </w:r>
      <w:r>
        <w:rPr>
          <w:rtl w:val="true"/>
        </w:rPr>
        <w:t xml:space="preserve">תחקר את הנהגים שהיו מעורבים בתאונה </w:t>
      </w:r>
      <w:r>
        <w:rPr>
          <w:rtl w:val="true"/>
        </w:rPr>
        <w:t>–</w:t>
      </w:r>
      <w:r>
        <w:rPr>
          <w:rtl w:val="true"/>
        </w:rPr>
        <w:t xml:space="preserve"> את מיטל ואת המערער </w:t>
      </w:r>
      <w:r>
        <w:rPr>
          <w:rtl w:val="true"/>
        </w:rPr>
        <w:t>–</w:t>
      </w:r>
      <w:r>
        <w:rPr>
          <w:rtl w:val="true"/>
        </w:rPr>
        <w:t xml:space="preserve"> שוחח עם קרן</w:t>
      </w:r>
      <w:r>
        <w:rPr>
          <w:rtl w:val="true"/>
        </w:rPr>
        <w:t xml:space="preserve">, </w:t>
      </w:r>
      <w:r>
        <w:rPr>
          <w:rtl w:val="true"/>
        </w:rPr>
        <w:t>וכן העתיק את סרטון האבטחה</w:t>
      </w:r>
      <w:r>
        <w:rPr>
          <w:rtl w:val="true"/>
        </w:rPr>
        <w:t xml:space="preserve">, </w:t>
      </w:r>
      <w:r>
        <w:rPr>
          <w:rtl w:val="true"/>
        </w:rPr>
        <w:t>שהזכרתיו לעיל</w:t>
      </w:r>
      <w:r>
        <w:rPr>
          <w:rtl w:val="true"/>
        </w:rPr>
        <w:t xml:space="preserve">, </w:t>
      </w:r>
      <w:r>
        <w:rPr>
          <w:rtl w:val="true"/>
        </w:rPr>
        <w:t xml:space="preserve">ממצלמת האבטחה אשר פעלה בסמיכות לזירה בבניין של חברת </w:t>
      </w:r>
      <w:r>
        <w:rPr>
          <w:rtl w:val="true"/>
        </w:rPr>
        <w:t>"</w:t>
      </w:r>
      <w:r>
        <w:rPr>
          <w:rtl w:val="true"/>
        </w:rPr>
        <w:t>טבע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הסרטון</w:t>
      </w:r>
      <w:r>
        <w:rPr>
          <w:rtl w:val="true"/>
        </w:rPr>
        <w:t xml:space="preserve">). </w:t>
      </w:r>
      <w:r>
        <w:rPr>
          <w:rtl w:val="true"/>
        </w:rPr>
        <w:t xml:space="preserve">וייס צפה בסרטון מספר פעמים ומיזג את הנתונים שעלו ממנו עם שאר ממצאיו ועם תכנית הרמזורים אשר פעלו במקום </w:t>
      </w:r>
      <w:r>
        <w:rPr>
          <w:rtl w:val="true"/>
        </w:rPr>
        <w:t>(</w:t>
      </w:r>
      <w:r>
        <w:rPr>
          <w:rtl w:val="true"/>
        </w:rPr>
        <w:t>אחרי שקיבל מהאחראיים לתקינות הרמזורים אישור על היעדר תקלות</w:t>
      </w:r>
      <w:r>
        <w:rPr>
          <w:rtl w:val="true"/>
        </w:rPr>
        <w:t xml:space="preserve">). </w:t>
      </w:r>
      <w:r>
        <w:rPr>
          <w:rtl w:val="true"/>
        </w:rPr>
        <w:t xml:space="preserve">ניתוח הנתונים הללו הוביל את וייס למסקנה כי רכבו של המערער </w:t>
      </w:r>
      <w:r>
        <w:rPr>
          <w:rtl w:val="true"/>
        </w:rPr>
        <w:t>נכנס</w:t>
      </w:r>
      <w:r>
        <w:rPr>
          <w:rtl w:val="true"/>
        </w:rPr>
        <w:t xml:space="preserve"> </w:t>
      </w:r>
      <w:r>
        <w:rPr>
          <w:rtl w:val="true"/>
        </w:rPr>
        <w:t>לצומת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שניות</w:t>
      </w:r>
      <w:r>
        <w:rPr>
          <w:rtl w:val="true"/>
        </w:rPr>
        <w:t xml:space="preserve"> </w:t>
      </w:r>
      <w:r>
        <w:rPr>
          <w:rtl w:val="true"/>
        </w:rPr>
        <w:t>אחרי שהאור הירוק ברמזור התחלף</w:t>
      </w:r>
      <w:r>
        <w:rPr>
          <w:rtl w:val="true"/>
        </w:rPr>
        <w:t xml:space="preserve">. </w:t>
      </w:r>
      <w:r>
        <w:rPr>
          <w:rtl w:val="true"/>
        </w:rPr>
        <w:t>וייס סיכם את עדותו באמרו</w:t>
      </w:r>
      <w:r>
        <w:rPr>
          <w:rtl w:val="true"/>
        </w:rPr>
        <w:t xml:space="preserve">, </w:t>
      </w:r>
      <w:r>
        <w:rPr>
          <w:rtl w:val="true"/>
        </w:rPr>
        <w:t>בחקירה נגדית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תאונה</w:t>
      </w:r>
      <w:r>
        <w:rPr>
          <w:rtl w:val="true"/>
        </w:rPr>
        <w:t xml:space="preserve"> </w:t>
      </w:r>
      <w:r>
        <w:rPr>
          <w:rtl w:val="true"/>
        </w:rPr>
        <w:t>שגרתית</w:t>
      </w:r>
      <w:r>
        <w:rPr>
          <w:rtl w:val="true"/>
        </w:rPr>
        <w:t xml:space="preserve">.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שניות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 xml:space="preserve"> </w:t>
      </w:r>
      <w:r>
        <w:rPr>
          <w:rtl w:val="true"/>
        </w:rPr>
        <w:t>רציונלית</w:t>
      </w:r>
      <w:r>
        <w:rPr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tl w:val="true"/>
        </w:rPr>
        <w:t>"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tl w:val="true"/>
        </w:rPr>
        <w:t>וייס העיד כי מעיון בסרטון לבדו ניתן להיווכח כי המערער נכנס ברכבו לצומת באור אדום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spacing w:before="0" w:after="280"/>
        <w:ind w:hanging="0" w:start="0" w:end="0"/>
        <w:jc w:val="both"/>
        <w:rPr/>
      </w:pPr>
      <w:r>
        <w:rPr>
          <w:rtl w:val="true"/>
        </w:rPr>
        <w:t>הסרטון עצמו הוגש כראיה לבית משפט קמא</w:t>
      </w:r>
      <w:r>
        <w:rPr>
          <w:rtl w:val="true"/>
        </w:rPr>
        <w:t xml:space="preserve">. </w:t>
      </w:r>
    </w:p>
    <w:p>
      <w:pPr>
        <w:pStyle w:val="Ruller4"/>
        <w:spacing w:before="28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1"/>
        <w:numPr>
          <w:ilvl w:val="0"/>
          <w:numId w:val="1"/>
        </w:numPr>
        <w:spacing w:before="280" w:after="280"/>
        <w:ind w:hanging="0" w:start="0" w:end="0"/>
        <w:jc w:val="both"/>
        <w:rPr/>
      </w:pPr>
      <w:r>
        <w:rPr>
          <w:rtl w:val="true"/>
        </w:rPr>
        <w:t>המערער העיד להגנתו</w:t>
      </w:r>
      <w:r>
        <w:rPr>
          <w:rtl w:val="true"/>
        </w:rPr>
        <w:t xml:space="preserve">. </w:t>
      </w:r>
      <w:r>
        <w:rPr>
          <w:rtl w:val="true"/>
        </w:rPr>
        <w:t>הוא סיפר לבית המשפט כי נכנס לצומת ברכבו תחת אור ירוק מתמשך שהראה הרמזור</w:t>
      </w:r>
      <w:r>
        <w:rPr>
          <w:rtl w:val="true"/>
        </w:rPr>
        <w:t xml:space="preserve">, </w:t>
      </w:r>
      <w:r>
        <w:rPr>
          <w:rtl w:val="true"/>
        </w:rPr>
        <w:t>ועל כן לא היתה לו כל סיבה לעצור את רכבו לפני חציית הצומת</w:t>
      </w:r>
      <w:r>
        <w:rPr>
          <w:rtl w:val="true"/>
        </w:rPr>
        <w:t xml:space="preserve">. </w:t>
      </w:r>
      <w:r>
        <w:rPr>
          <w:rtl w:val="true"/>
        </w:rPr>
        <w:t xml:space="preserve">המערער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ומסר לבית המשפט</w:t>
      </w:r>
      <w:r>
        <w:rPr>
          <w:rFonts w:ascii="Calibri" w:hAnsi="Calibri" w:cs="Calibri"/>
          <w:rtl w:val="true"/>
        </w:rPr>
        <w:t xml:space="preserve"> כי </w:t>
      </w:r>
      <w:r>
        <w:rPr>
          <w:rFonts w:ascii="Calibri" w:hAnsi="Calibri" w:cs="Calibri"/>
          <w:rtl w:val="true"/>
        </w:rPr>
        <w:t xml:space="preserve">הוא </w:t>
      </w:r>
      <w:r>
        <w:rPr>
          <w:rFonts w:ascii="Calibri" w:hAnsi="Calibri" w:cs="Calibri"/>
          <w:rtl w:val="true"/>
        </w:rPr>
        <w:t>נ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הג בזהירות במשך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 ואין סיכוי ש</w:t>
      </w:r>
      <w:r>
        <w:rPr>
          <w:rFonts w:ascii="Calibri" w:hAnsi="Calibri" w:cs="Calibri"/>
          <w:rtl w:val="true"/>
        </w:rPr>
        <w:t xml:space="preserve">נסע </w:t>
      </w:r>
      <w:r>
        <w:rPr>
          <w:rFonts w:ascii="Calibri" w:hAnsi="Calibri" w:cs="Calibri"/>
          <w:rtl w:val="true"/>
        </w:rPr>
        <w:t>באור אדום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הרכב </w:t>
      </w:r>
      <w:r>
        <w:rPr>
          <w:rFonts w:ascii="Calibri" w:hAnsi="Calibri" w:cs="Calibri"/>
          <w:rtl w:val="true"/>
        </w:rPr>
        <w:t>של מיטל</w:t>
      </w:r>
      <w:r>
        <w:rPr>
          <w:rFonts w:ascii="Calibri" w:hAnsi="Calibri" w:cs="Calibri"/>
          <w:rtl w:val="true"/>
        </w:rPr>
        <w:t xml:space="preserve"> הגיע ופגע בו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כמו טיל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המערער גם מסר לבית המשפט גרסה תמימה </w:t>
      </w:r>
      <w:r>
        <w:rPr>
          <w:rtl w:val="true"/>
        </w:rPr>
        <w:t xml:space="preserve">אשר שללה את ההאשמה כי עשה </w:t>
      </w:r>
      <w:r>
        <w:rPr>
          <w:rFonts w:ascii="Calibri" w:hAnsi="Calibri" w:cs="Calibri"/>
          <w:rtl w:val="true"/>
        </w:rPr>
        <w:t xml:space="preserve">שימוש משמעותי באלכוהול ובסמים עובר לתאונה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גרסה שהתבררה כשקרית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כמו כן פירט </w:t>
      </w:r>
      <w:r>
        <w:rPr>
          <w:rtl w:val="true"/>
        </w:rPr>
        <w:t xml:space="preserve">המערער והעיד כי רכבה של מיטל </w:t>
      </w:r>
      <w:r>
        <w:rPr>
          <w:rtl w:val="true"/>
        </w:rPr>
        <w:t>"</w:t>
      </w:r>
      <w:r>
        <w:rPr>
          <w:rtl w:val="true"/>
        </w:rPr>
        <w:t>גנב את הרמזור</w:t>
      </w:r>
      <w:r>
        <w:rPr>
          <w:rtl w:val="true"/>
        </w:rPr>
        <w:t xml:space="preserve">" </w:t>
      </w:r>
      <w:r>
        <w:rPr>
          <w:rtl w:val="true"/>
        </w:rPr>
        <w:t>באור אדום על ידי עקיפת שני כלי רכב שעצרו לפניו בפנייה שמאלה</w:t>
      </w:r>
      <w:r>
        <w:rPr>
          <w:rtl w:val="true"/>
        </w:rPr>
        <w:t xml:space="preserve">. </w:t>
      </w:r>
      <w:r>
        <w:rPr>
          <w:rtl w:val="true"/>
        </w:rPr>
        <w:t>מהלך זה</w:t>
      </w:r>
      <w:r>
        <w:rPr>
          <w:rtl w:val="true"/>
        </w:rPr>
        <w:t xml:space="preserve">, </w:t>
      </w:r>
      <w:r>
        <w:rPr>
          <w:rtl w:val="true"/>
        </w:rPr>
        <w:t>לפי דבריו</w:t>
      </w:r>
      <w:r>
        <w:rPr>
          <w:rtl w:val="true"/>
        </w:rPr>
        <w:t xml:space="preserve">, </w:t>
      </w:r>
      <w:r>
        <w:rPr>
          <w:rtl w:val="true"/>
        </w:rPr>
        <w:t>הוא זה שגרם לתאונה הקטלנית</w:t>
      </w:r>
      <w:r>
        <w:rPr>
          <w:rtl w:val="true"/>
        </w:rPr>
        <w:t xml:space="preserve">. </w:t>
      </w:r>
    </w:p>
    <w:p>
      <w:pPr>
        <w:pStyle w:val="Ruller4"/>
        <w:spacing w:before="28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עדותו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מומחה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ההגנה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וייסמן</w:t>
      </w:r>
    </w:p>
    <w:p>
      <w:pPr>
        <w:pStyle w:val="Ruller41"/>
        <w:numPr>
          <w:ilvl w:val="0"/>
          <w:numId w:val="1"/>
        </w:numPr>
        <w:spacing w:before="280" w:after="240"/>
        <w:ind w:hanging="0" w:start="0" w:end="0"/>
        <w:jc w:val="both"/>
        <w:rPr/>
      </w:pPr>
      <w:r>
        <w:rPr>
          <w:rtl w:val="true"/>
        </w:rPr>
        <w:t>מומחה ההגנה</w:t>
      </w:r>
      <w:r>
        <w:rPr>
          <w:rtl w:val="true"/>
        </w:rPr>
        <w:t xml:space="preserve">, </w:t>
      </w:r>
      <w:r>
        <w:rPr>
          <w:rtl w:val="true"/>
        </w:rPr>
        <w:t xml:space="preserve">גדי וייסמן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וייסמן</w:t>
      </w:r>
      <w:r>
        <w:rPr>
          <w:rtl w:val="true"/>
        </w:rPr>
        <w:t xml:space="preserve">), </w:t>
      </w:r>
      <w:r>
        <w:rPr>
          <w:rtl w:val="true"/>
        </w:rPr>
        <w:t>הכין שתי חוות דעת ומצגת אשר נועדו להראות כי אין אפשרות לראות בסרטון רמזור שמראה אור אדום בכיוון נסיעתו של המערער אל תוך זירת התאונה</w:t>
      </w:r>
      <w:r>
        <w:rPr>
          <w:rtl w:val="true"/>
        </w:rPr>
        <w:t xml:space="preserve">. </w:t>
      </w:r>
      <w:r>
        <w:rPr>
          <w:rtl w:val="true"/>
        </w:rPr>
        <w:t xml:space="preserve">וייסמן דבק בגרסתו זו בעדותו בפני בית משפט קמא כאשר הוא מדגיש כי הינו חולק על ניתוח הנתונים שעשה וייס ומעלה ספק בכך שהמערער </w:t>
      </w:r>
      <w:r>
        <w:rPr>
          <w:rFonts w:ascii="Calibri" w:hAnsi="Calibri" w:cs="Calibri"/>
          <w:rtl w:val="true"/>
        </w:rPr>
        <w:t xml:space="preserve">נכנס לצומת </w:t>
      </w:r>
      <w:r>
        <w:rPr>
          <w:rFonts w:ascii="Calibri" w:hAnsi="Calibri" w:cs="Calibri"/>
          <w:rtl w:val="true"/>
        </w:rPr>
        <w:t xml:space="preserve">ברכבו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שניות לאחר ש</w:t>
      </w:r>
      <w:r>
        <w:rPr>
          <w:rFonts w:ascii="Calibri" w:hAnsi="Calibri" w:cs="Calibri"/>
          <w:rtl w:val="true"/>
        </w:rPr>
        <w:t xml:space="preserve">אור </w:t>
      </w:r>
      <w:r>
        <w:rPr>
          <w:rFonts w:ascii="Calibri" w:hAnsi="Calibri" w:cs="Calibri"/>
          <w:rtl w:val="true"/>
        </w:rPr>
        <w:t>הרמזור ה</w:t>
      </w:r>
      <w:r>
        <w:rPr>
          <w:rFonts w:ascii="Calibri" w:hAnsi="Calibri" w:cs="Calibri"/>
          <w:rtl w:val="true"/>
        </w:rPr>
        <w:t>תחלף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מירוק </w:t>
      </w:r>
      <w:r>
        <w:rPr>
          <w:rFonts w:ascii="Calibri" w:hAnsi="Calibri" w:cs="Calibri"/>
          <w:rtl w:val="true"/>
        </w:rPr>
        <w:t>לאדום</w:t>
      </w:r>
      <w:r>
        <w:rPr>
          <w:rFonts w:cs="Calibri" w:ascii="Calibri" w:hAnsi="Calibri"/>
          <w:rtl w:val="true"/>
        </w:rPr>
        <w:t xml:space="preserve">. </w:t>
      </w:r>
      <w:r>
        <w:rPr>
          <w:rtl w:val="true"/>
        </w:rPr>
        <w:t>במילים אחרות</w:t>
      </w:r>
      <w:r>
        <w:rPr>
          <w:rtl w:val="true"/>
        </w:rPr>
        <w:t xml:space="preserve">: </w:t>
      </w:r>
      <w:r>
        <w:rPr>
          <w:rtl w:val="true"/>
        </w:rPr>
        <w:t>וייסמן ביקש לשכנע את בית המשפט כי אין מקום לסמוך על ניתוח פועלם של הרמזורים כבסיס למסקנה שהמערער חצה ברכבו את הצומת באור אדום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spacing w:before="0" w:after="280"/>
        <w:ind w:hanging="0" w:start="0" w:end="0"/>
        <w:jc w:val="both"/>
        <w:rPr/>
      </w:pPr>
      <w:r>
        <w:rPr>
          <w:rtl w:val="true"/>
        </w:rPr>
        <w:t>מומחה זה תמך את חוות הדעת שהכין ואת ממצאיו בצילומים שעשה לאור יום בזירת התאונה ובסביבתה</w:t>
      </w:r>
      <w:r>
        <w:rPr>
          <w:rtl w:val="true"/>
        </w:rPr>
        <w:t>.</w:t>
      </w:r>
    </w:p>
    <w:p>
      <w:pPr>
        <w:pStyle w:val="Ruller4"/>
        <w:spacing w:before="28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1"/>
        <w:numPr>
          <w:ilvl w:val="0"/>
          <w:numId w:val="1"/>
        </w:numPr>
        <w:spacing w:before="280" w:after="240"/>
        <w:ind w:hanging="0" w:start="0" w:end="0"/>
        <w:jc w:val="both"/>
        <w:rPr/>
      </w:pPr>
      <w:r>
        <w:rPr>
          <w:rtl w:val="true"/>
        </w:rPr>
        <w:t>בית משפט קמא קבע כי מיטל נכנסה ברכבה אל תוך הצומת כשאור הרמזור היה ירוק</w:t>
      </w:r>
      <w:r>
        <w:rPr>
          <w:rtl w:val="true"/>
        </w:rPr>
        <w:t xml:space="preserve">, </w:t>
      </w:r>
      <w:r>
        <w:rPr>
          <w:rtl w:val="true"/>
        </w:rPr>
        <w:t>ואילו המערער חצה את הצומת</w:t>
      </w:r>
      <w:r>
        <w:rPr>
          <w:rtl w:val="true"/>
        </w:rPr>
        <w:t xml:space="preserve">, </w:t>
      </w:r>
      <w:r>
        <w:rPr>
          <w:rtl w:val="true"/>
        </w:rPr>
        <w:t>באותה נקודת זמן</w:t>
      </w:r>
      <w:r>
        <w:rPr>
          <w:rtl w:val="true"/>
        </w:rPr>
        <w:t xml:space="preserve">, </w:t>
      </w:r>
      <w:r>
        <w:rPr>
          <w:rtl w:val="true"/>
        </w:rPr>
        <w:t>באור אדום ועל ידי כך גרם לתאונה הקטלנית</w:t>
      </w:r>
      <w:r>
        <w:rPr>
          <w:rtl w:val="true"/>
        </w:rPr>
        <w:t xml:space="preserve">. </w:t>
      </w:r>
      <w:r>
        <w:rPr>
          <w:rtl w:val="true"/>
        </w:rPr>
        <w:t>בית המשפט ביסס קביעה זו על הראיות שסקרתי ועל ראיות תֶמֶך</w:t>
      </w:r>
      <w:r>
        <w:rPr>
          <w:rtl w:val="true"/>
        </w:rPr>
        <w:t xml:space="preserve">, </w:t>
      </w:r>
      <w:r>
        <w:rPr>
          <w:rtl w:val="true"/>
        </w:rPr>
        <w:t>שאינן נחוצות להכרעתנו בערעור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>קבע בית המשפט כי עדויותיהם של קרן</w:t>
      </w:r>
      <w:r>
        <w:rPr>
          <w:rtl w:val="true"/>
        </w:rPr>
        <w:t xml:space="preserve">, </w:t>
      </w:r>
      <w:r>
        <w:rPr>
          <w:rtl w:val="true"/>
        </w:rPr>
        <w:t>מיטל</w:t>
      </w:r>
      <w:r>
        <w:rPr>
          <w:rtl w:val="true"/>
        </w:rPr>
        <w:t xml:space="preserve">, </w:t>
      </w:r>
      <w:r>
        <w:rPr>
          <w:rtl w:val="true"/>
        </w:rPr>
        <w:t>אלעד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tl w:val="true"/>
        </w:rPr>
        <w:t xml:space="preserve"> </w:t>
      </w:r>
      <w:r>
        <w:rPr>
          <w:rtl w:val="true"/>
        </w:rPr>
        <w:t>חן</w:t>
      </w:r>
      <w:r>
        <w:rPr>
          <w:rtl w:val="true"/>
        </w:rPr>
        <w:t xml:space="preserve"> </w:t>
      </w:r>
      <w:r>
        <w:rPr>
          <w:rtl w:val="true"/>
        </w:rPr>
        <w:t>ורפאל</w:t>
      </w:r>
      <w:r>
        <w:rPr>
          <w:rtl w:val="true"/>
        </w:rPr>
        <w:t xml:space="preserve"> </w:t>
      </w:r>
      <w:r>
        <w:rPr>
          <w:rtl w:val="true"/>
        </w:rPr>
        <w:t>היו עדויות אמת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היה ער לכך שעדים אלה התבלבלו </w:t>
      </w:r>
      <w:r>
        <w:rPr>
          <w:rtl w:val="true"/>
        </w:rPr>
        <w:t>–</w:t>
      </w:r>
      <w:r>
        <w:rPr>
          <w:rtl w:val="true"/>
        </w:rPr>
        <w:t xml:space="preserve"> כל אחד ואחת לפי דרכו ולפי דרכה </w:t>
      </w:r>
      <w:r>
        <w:rPr>
          <w:rtl w:val="true"/>
        </w:rPr>
        <w:t>–</w:t>
      </w:r>
      <w:r>
        <w:rPr>
          <w:rtl w:val="true"/>
        </w:rPr>
        <w:t xml:space="preserve"> בפרטים הקשורים לכניסת המכוניות לתוך הצומת ולמספרן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בית המשפט העריך כי בלבול זה הוא טבעי לנוכח החוויה הטראומטית שעדים אלה חוו וכי מדובר בעניין שולי שאינו פוגם במהימנות העדים ובאמינות דבריהם</w:t>
      </w:r>
      <w:r>
        <w:rPr>
          <w:rtl w:val="true"/>
        </w:rPr>
        <w:t xml:space="preserve">. </w:t>
      </w:r>
      <w:r>
        <w:rPr>
          <w:rtl w:val="true"/>
        </w:rPr>
        <w:t>בית המשפט התרשם כי קרן</w:t>
      </w:r>
      <w:r>
        <w:rPr>
          <w:rtl w:val="true"/>
        </w:rPr>
        <w:t xml:space="preserve">, </w:t>
      </w:r>
      <w:r>
        <w:rPr>
          <w:rtl w:val="true"/>
        </w:rPr>
        <w:t>מיטל</w:t>
      </w:r>
      <w:r>
        <w:rPr>
          <w:rtl w:val="true"/>
        </w:rPr>
        <w:t xml:space="preserve">, </w:t>
      </w:r>
      <w:r>
        <w:rPr>
          <w:rtl w:val="true"/>
        </w:rPr>
        <w:t>אלעד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tl w:val="true"/>
        </w:rPr>
        <w:t xml:space="preserve"> </w:t>
      </w:r>
      <w:r>
        <w:rPr>
          <w:rtl w:val="true"/>
        </w:rPr>
        <w:t>חן</w:t>
      </w:r>
      <w:r>
        <w:rPr>
          <w:rtl w:val="true"/>
        </w:rPr>
        <w:t xml:space="preserve"> </w:t>
      </w:r>
      <w:r>
        <w:rPr>
          <w:rtl w:val="true"/>
        </w:rPr>
        <w:t>ורפאל</w:t>
      </w:r>
      <w:r>
        <w:rPr>
          <w:rtl w:val="true"/>
        </w:rPr>
        <w:t xml:space="preserve"> הם עדים אמינים לעילא ולעילא וקבע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 מיטל נכנסה ברכבה לתוך הצומת כשאור הרמזור בכיוון נסיעתה היה ירוק</w:t>
      </w:r>
      <w:r>
        <w:rPr>
          <w:rtl w:val="true"/>
        </w:rPr>
        <w:t xml:space="preserve">. </w:t>
      </w:r>
      <w:r>
        <w:rPr>
          <w:rtl w:val="true"/>
        </w:rPr>
        <w:t>כפועל יוצא מקביעה זו</w:t>
      </w:r>
      <w:r>
        <w:rPr>
          <w:rtl w:val="true"/>
        </w:rPr>
        <w:t xml:space="preserve">, </w:t>
      </w:r>
      <w:r>
        <w:rPr>
          <w:rtl w:val="true"/>
        </w:rPr>
        <w:t>נקבע כי בהינתן תקינותה של מערכת הרמזורים</w:t>
      </w:r>
      <w:r>
        <w:rPr>
          <w:rtl w:val="true"/>
        </w:rPr>
        <w:t xml:space="preserve">, </w:t>
      </w:r>
      <w:r>
        <w:rPr>
          <w:rtl w:val="true"/>
        </w:rPr>
        <w:t>אין מנוס מן המסקנה המתבקשת כי המערער</w:t>
      </w:r>
      <w:r>
        <w:rPr>
          <w:rtl w:val="true"/>
        </w:rPr>
        <w:t xml:space="preserve">, </w:t>
      </w:r>
      <w:r>
        <w:rPr>
          <w:rtl w:val="true"/>
        </w:rPr>
        <w:t>שכאמור נסע ברכבו בכיוון הנגדי</w:t>
      </w:r>
      <w:r>
        <w:rPr>
          <w:rtl w:val="true"/>
        </w:rPr>
        <w:t xml:space="preserve">, </w:t>
      </w:r>
      <w:r>
        <w:rPr>
          <w:rtl w:val="true"/>
        </w:rPr>
        <w:t>חצה את הצומת באור אדום</w:t>
      </w:r>
      <w:r>
        <w:rPr>
          <w:rtl w:val="true"/>
        </w:rPr>
        <w:t xml:space="preserve">.  </w:t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tl w:val="true"/>
        </w:rPr>
        <w:t>בית המשפט הוסיף וקבע כי המערער מסר בפניו גרסה שלא היה בה אמת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 xml:space="preserve">נקבע כי עדות המערער והודעתו במשטרה </w:t>
      </w:r>
      <w:r>
        <w:rPr>
          <w:rtl w:val="true"/>
        </w:rPr>
        <w:t>–</w:t>
      </w:r>
      <w:r>
        <w:rPr>
          <w:rtl w:val="true"/>
        </w:rPr>
        <w:t xml:space="preserve"> בהן הוא סיפר כי מיטל </w:t>
      </w:r>
      <w:r>
        <w:rPr>
          <w:rtl w:val="true"/>
        </w:rPr>
        <w:t>"</w:t>
      </w:r>
      <w:r>
        <w:rPr>
          <w:rtl w:val="true"/>
        </w:rPr>
        <w:t>גנבה את הרמזור</w:t>
      </w:r>
      <w:r>
        <w:rPr>
          <w:rtl w:val="true"/>
        </w:rPr>
        <w:t xml:space="preserve">" </w:t>
      </w:r>
      <w:r>
        <w:rPr>
          <w:rtl w:val="true"/>
        </w:rPr>
        <w:t>על ידי כך שעקפה מכוניות שהמתינו להחלפתו של אור הרמזור</w:t>
      </w:r>
      <w:r>
        <w:rPr>
          <w:rtl w:val="true"/>
        </w:rPr>
        <w:t xml:space="preserve">, </w:t>
      </w:r>
      <w:r>
        <w:rPr>
          <w:rtl w:val="true"/>
        </w:rPr>
        <w:t>בפנייה שמאלה</w:t>
      </w:r>
      <w:r>
        <w:rPr>
          <w:rtl w:val="true"/>
        </w:rPr>
        <w:t xml:space="preserve">, </w:t>
      </w:r>
      <w:r>
        <w:rPr>
          <w:rtl w:val="true"/>
        </w:rPr>
        <w:t xml:space="preserve">מאדום לירוק </w:t>
      </w:r>
      <w:r>
        <w:rPr>
          <w:rtl w:val="true"/>
        </w:rPr>
        <w:t>–</w:t>
      </w:r>
      <w:r>
        <w:rPr>
          <w:rtl w:val="true"/>
        </w:rPr>
        <w:t xml:space="preserve"> הן בגדר בדותה</w:t>
      </w:r>
      <w:r>
        <w:rPr>
          <w:rtl w:val="true"/>
        </w:rPr>
        <w:t xml:space="preserve">, </w:t>
      </w:r>
      <w:r>
        <w:rPr>
          <w:rtl w:val="true"/>
        </w:rPr>
        <w:t>כמו גם ההסבר שהמערער נתן לריח האלכוהול שאובחן בסביבתו ועדותו כי לא צרך כמות משמעותית של אלכוהול עובר לנסיעה ברכבו</w:t>
      </w:r>
      <w:r>
        <w:rPr>
          <w:rtl w:val="true"/>
        </w:rPr>
        <w:t xml:space="preserve">. </w:t>
      </w:r>
      <w:r>
        <w:rPr>
          <w:rtl w:val="true"/>
        </w:rPr>
        <w:t>בית המשפט זקף שקרים אלה של המערער כראיה לחובתו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tl w:val="true"/>
        </w:rPr>
        <w:t>עוד קבע בית המשפט כי ניתוח הנתונים שנעשה על ידי מומחה התביעה</w:t>
      </w:r>
      <w:r>
        <w:rPr>
          <w:rtl w:val="true"/>
        </w:rPr>
        <w:t xml:space="preserve">, </w:t>
      </w:r>
      <w:r>
        <w:rPr>
          <w:rtl w:val="true"/>
        </w:rPr>
        <w:t>וייס</w:t>
      </w:r>
      <w:r>
        <w:rPr>
          <w:rtl w:val="true"/>
        </w:rPr>
        <w:t xml:space="preserve">, </w:t>
      </w:r>
      <w:r>
        <w:rPr>
          <w:rtl w:val="true"/>
        </w:rPr>
        <w:t>בהתבססו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על הסרטון</w:t>
      </w:r>
      <w:r>
        <w:rPr>
          <w:rtl w:val="true"/>
        </w:rPr>
        <w:t xml:space="preserve">, </w:t>
      </w:r>
      <w:r>
        <w:rPr>
          <w:rtl w:val="true"/>
        </w:rPr>
        <w:t>אף הוא מוכיח כי המערער חצה ברכבו את הצומת כשהרמזור הראה אור אדום בכיוון נסיעתו</w:t>
      </w:r>
      <w:r>
        <w:rPr>
          <w:rtl w:val="true"/>
        </w:rPr>
        <w:t xml:space="preserve">. </w:t>
      </w:r>
      <w:r>
        <w:rPr>
          <w:rtl w:val="true"/>
        </w:rPr>
        <w:t>בית המשפט ראה בממצאיו אלה של וייס חיזוק משמעותי לעדויות שכאמור נמסרו על ידי קרן</w:t>
      </w:r>
      <w:r>
        <w:rPr>
          <w:rtl w:val="true"/>
        </w:rPr>
        <w:t xml:space="preserve">, </w:t>
      </w:r>
      <w:r>
        <w:rPr>
          <w:rtl w:val="true"/>
        </w:rPr>
        <w:t>מיטל</w:t>
      </w:r>
      <w:r>
        <w:rPr>
          <w:rtl w:val="true"/>
        </w:rPr>
        <w:t xml:space="preserve">, </w:t>
      </w:r>
      <w:r>
        <w:rPr>
          <w:rtl w:val="true"/>
        </w:rPr>
        <w:t>אלעד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tl w:val="true"/>
        </w:rPr>
        <w:t xml:space="preserve"> </w:t>
      </w:r>
      <w:r>
        <w:rPr>
          <w:rtl w:val="true"/>
        </w:rPr>
        <w:t>חן</w:t>
      </w:r>
      <w:r>
        <w:rPr>
          <w:rtl w:val="true"/>
        </w:rPr>
        <w:t xml:space="preserve"> </w:t>
      </w:r>
      <w:r>
        <w:rPr>
          <w:rtl w:val="true"/>
        </w:rPr>
        <w:t>ורפאל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tl w:val="true"/>
        </w:rPr>
        <w:t>-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קבע בית המשפט כי האמור בעדותו ובחוות דעתו של מומחה ההגנה</w:t>
      </w:r>
      <w:r>
        <w:rPr>
          <w:rtl w:val="true"/>
        </w:rPr>
        <w:t xml:space="preserve">, </w:t>
      </w:r>
      <w:r>
        <w:rPr>
          <w:rtl w:val="true"/>
        </w:rPr>
        <w:t>וייסמן</w:t>
      </w:r>
      <w:r>
        <w:rPr>
          <w:rtl w:val="true"/>
        </w:rPr>
        <w:t xml:space="preserve">, </w:t>
      </w:r>
      <w:r>
        <w:rPr>
          <w:rtl w:val="true"/>
        </w:rPr>
        <w:t>באשר לאור הרמזור הוא מגמתי</w:t>
      </w:r>
      <w:r>
        <w:rPr>
          <w:rtl w:val="true"/>
        </w:rPr>
        <w:t xml:space="preserve">, </w:t>
      </w:r>
      <w:r>
        <w:rPr>
          <w:rtl w:val="true"/>
        </w:rPr>
        <w:t>מוטעה ואינו ראוי לאמון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tl w:val="true"/>
        </w:rPr>
        <w:t>על בסיס ממצאים אלה</w:t>
      </w:r>
      <w:r>
        <w:rPr>
          <w:rtl w:val="true"/>
        </w:rPr>
        <w:t xml:space="preserve">, </w:t>
      </w:r>
      <w:r>
        <w:rPr>
          <w:rtl w:val="true"/>
        </w:rPr>
        <w:t>בית המשפט קבע כי המערער חצה ברכבו את הצומת באור אדם וגרם לתאונה על כל פגיעותיה</w:t>
      </w:r>
      <w:r>
        <w:rPr>
          <w:rtl w:val="true"/>
        </w:rPr>
        <w:t xml:space="preserve">. </w:t>
      </w:r>
      <w:r>
        <w:rPr>
          <w:rtl w:val="true"/>
        </w:rPr>
        <w:t>בית המשפט הרשיע אפוא את המערער בעבירות שיוחסו לו בכתב האישום וגזר את עונשו כאמור לעיל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tl w:val="true"/>
        </w:rPr>
        <w:t>עונש זה נקבע על ידי בית משפט קמא בהתבסס על פסיקתנו</w:t>
      </w:r>
      <w:r>
        <w:rPr>
          <w:rtl w:val="true"/>
        </w:rPr>
        <w:t xml:space="preserve">, </w:t>
      </w:r>
      <w:r>
        <w:rPr>
          <w:rtl w:val="true"/>
        </w:rPr>
        <w:t>ממנה דלה בית המשפט את מתחם העונש ההולם כ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נע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 xml:space="preserve">לריצוי </w:t>
      </w:r>
      <w:r>
        <w:rPr>
          <w:rtl w:val="true"/>
        </w:rPr>
        <w:t>בפועל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לצד</w:t>
      </w:r>
      <w:r>
        <w:rPr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 xml:space="preserve">של רישיון נהיגה </w:t>
      </w:r>
      <w:r>
        <w:rPr>
          <w:rtl w:val="true"/>
        </w:rPr>
        <w:t>למשך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</w:t>
      </w:r>
      <w:r>
        <w:rPr>
          <w:rtl w:val="true"/>
        </w:rPr>
        <w:t xml:space="preserve">ארוכות </w:t>
      </w:r>
      <w:r>
        <w:rPr>
          <w:rtl w:val="true"/>
        </w:rPr>
        <w:t>ופיצוי</w:t>
      </w:r>
      <w:r>
        <w:rPr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 לנפגעי העבירות</w:t>
      </w:r>
      <w:r>
        <w:rPr>
          <w:rtl w:val="true"/>
        </w:rPr>
        <w:t xml:space="preserve">. </w:t>
      </w:r>
      <w:r>
        <w:rPr>
          <w:rtl w:val="true"/>
        </w:rPr>
        <w:t>מתחם זה נקבע בהתייחס למכלול המעשים הפליליים אשר בוצעו על ידי המערער ואשר גרמו לתאונה ולתוצאותיה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עמד בית המשפט על הסבל הקשה מנשוא שהמערער גרם למשפחתה של נופר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 xml:space="preserve">בת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במותה</w:t>
      </w:r>
      <w:r>
        <w:rPr>
          <w:rtl w:val="true"/>
        </w:rPr>
        <w:t xml:space="preserve">. </w:t>
      </w:r>
      <w:r>
        <w:rPr>
          <w:rtl w:val="true"/>
        </w:rPr>
        <w:t>אישה צעירה זו הותירה אחריה את בתה התינוקת</w:t>
      </w:r>
      <w:r>
        <w:rPr>
          <w:rtl w:val="true"/>
        </w:rPr>
        <w:t xml:space="preserve">, </w:t>
      </w:r>
      <w:r>
        <w:rPr>
          <w:rtl w:val="true"/>
        </w:rPr>
        <w:t>את בן זוגה ואת שאר בני משפחתה הדואבים</w:t>
      </w:r>
      <w:r>
        <w:rPr>
          <w:rtl w:val="true"/>
        </w:rPr>
        <w:t xml:space="preserve">, </w:t>
      </w:r>
      <w:r>
        <w:rPr>
          <w:rtl w:val="true"/>
        </w:rPr>
        <w:t>שאיבדו בת ואחות</w:t>
      </w:r>
      <w:r>
        <w:rPr>
          <w:rtl w:val="true"/>
        </w:rPr>
        <w:t xml:space="preserve">. </w:t>
      </w:r>
      <w:r>
        <w:rPr>
          <w:rtl w:val="true"/>
        </w:rPr>
        <w:t>אציין כי מדובר במשפחה שחוותה אסונות</w:t>
      </w:r>
      <w:r>
        <w:rPr>
          <w:rtl w:val="true"/>
        </w:rPr>
        <w:t xml:space="preserve">. </w:t>
      </w:r>
      <w:r>
        <w:rPr>
          <w:rtl w:val="true"/>
        </w:rPr>
        <w:t>כדי לשמור על פרטיותה</w:t>
      </w:r>
      <w:r>
        <w:rPr>
          <w:rtl w:val="true"/>
        </w:rPr>
        <w:t xml:space="preserve">, </w:t>
      </w:r>
      <w:r>
        <w:rPr>
          <w:rtl w:val="true"/>
        </w:rPr>
        <w:t>אסתפק בלומר כי סאת אסונותיה של משפחה טובה זו התמלאה עוד לפני התאונה בה מצאה נופר את מותה וכי מותה של נופר גזר על המשפחה כאב וסבל אינסופיים</w:t>
      </w:r>
      <w:r>
        <w:rPr>
          <w:rtl w:val="true"/>
        </w:rPr>
        <w:t xml:space="preserve">. </w:t>
      </w:r>
      <w:r>
        <w:rPr>
          <w:rtl w:val="true"/>
        </w:rPr>
        <w:t>בית המשפט עמד גם על הפגיעות הקשות בגוף ובנפש שהמערער גרם לקארין</w:t>
      </w:r>
      <w:r>
        <w:rPr>
          <w:rtl w:val="true"/>
        </w:rPr>
        <w:t xml:space="preserve">, </w:t>
      </w:r>
      <w:r>
        <w:rPr>
          <w:rtl w:val="true"/>
        </w:rPr>
        <w:t>לבת חן</w:t>
      </w:r>
      <w:r>
        <w:rPr>
          <w:rtl w:val="true"/>
        </w:rPr>
        <w:t xml:space="preserve">, </w:t>
      </w:r>
      <w:r>
        <w:rPr>
          <w:rtl w:val="true"/>
        </w:rPr>
        <w:t>למיטל ולאלעד</w:t>
      </w:r>
      <w:r>
        <w:rPr>
          <w:rtl w:val="true"/>
        </w:rPr>
        <w:t xml:space="preserve">. </w:t>
      </w:r>
      <w:r>
        <w:rPr>
          <w:rtl w:val="true"/>
        </w:rPr>
        <w:t>כמקובל</w:t>
      </w:r>
      <w:r>
        <w:rPr>
          <w:rtl w:val="true"/>
        </w:rPr>
        <w:t xml:space="preserve">, </w:t>
      </w:r>
      <w:r>
        <w:rPr>
          <w:rtl w:val="true"/>
        </w:rPr>
        <w:t>בית המשפט זקף לחובת המערער את עברו הפלילי</w:t>
      </w:r>
      <w:r>
        <w:rPr>
          <w:rtl w:val="true"/>
        </w:rPr>
        <w:t xml:space="preserve">, </w:t>
      </w:r>
      <w:r>
        <w:rPr>
          <w:rtl w:val="true"/>
        </w:rPr>
        <w:t xml:space="preserve">כאשר הוא מציין ומדגיש כי </w:t>
      </w:r>
      <w:r>
        <w:rPr>
          <w:rtl w:val="true"/>
        </w:rPr>
        <w:t>"</w:t>
      </w:r>
      <w:r>
        <w:rPr>
          <w:rtl w:val="true"/>
        </w:rPr>
        <w:t xml:space="preserve">לחובתו של הנאשם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הרשעות פליליות</w:t>
      </w:r>
      <w:r>
        <w:rPr>
          <w:rtl w:val="true"/>
        </w:rPr>
        <w:t xml:space="preserve">, </w:t>
      </w:r>
      <w:r>
        <w:rPr>
          <w:rtl w:val="true"/>
        </w:rPr>
        <w:t xml:space="preserve">האחרונה משנת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בגין עבירת סמים</w:t>
      </w:r>
      <w:r>
        <w:rPr>
          <w:rtl w:val="true"/>
        </w:rPr>
        <w:t xml:space="preserve">, </w:t>
      </w:r>
      <w:r>
        <w:rPr>
          <w:rtl w:val="true"/>
        </w:rPr>
        <w:t>ואלה מוכיחות שלכל הפחות הנאשם ניהל אורח חיים עברייני</w:t>
      </w:r>
      <w:r>
        <w:rPr>
          <w:rtl w:val="true"/>
        </w:rPr>
        <w:t xml:space="preserve">. </w:t>
      </w:r>
      <w:r>
        <w:rPr>
          <w:rtl w:val="true"/>
        </w:rPr>
        <w:t xml:space="preserve">עברו התעבורתי כולל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, </w:t>
      </w:r>
      <w:r>
        <w:rPr>
          <w:rtl w:val="true"/>
        </w:rPr>
        <w:t>כאשר הן כוללות מספר הרשעות של נהיגה באור אדום</w:t>
      </w:r>
      <w:r>
        <w:rPr>
          <w:rtl w:val="true"/>
        </w:rPr>
        <w:t xml:space="preserve">, </w:t>
      </w:r>
      <w:r>
        <w:rPr>
          <w:rtl w:val="true"/>
        </w:rPr>
        <w:t>נהיגה בשכרות תחת השפעת משקאות משכרים</w:t>
      </w:r>
      <w:r>
        <w:rPr>
          <w:rtl w:val="true"/>
        </w:rPr>
        <w:t xml:space="preserve">, </w:t>
      </w:r>
      <w:r>
        <w:rPr>
          <w:rtl w:val="true"/>
        </w:rPr>
        <w:t>נהיגה בפסילה ועוד</w:t>
      </w:r>
      <w:r>
        <w:rPr>
          <w:rtl w:val="true"/>
        </w:rPr>
        <w:t>"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spacing w:before="0" w:after="280"/>
        <w:ind w:hanging="0" w:start="0" w:end="0"/>
        <w:jc w:val="both"/>
        <w:rPr/>
      </w:pPr>
      <w:r>
        <w:rPr>
          <w:rtl w:val="true"/>
        </w:rPr>
        <w:t xml:space="preserve">נסיבות לקולא שבית משפט קמא ראה לנכון לזקוף לזכותו של המערער כוללות את גילו המבוגר </w:t>
      </w:r>
      <w:r>
        <w:rPr>
          <w:rtl w:val="true"/>
        </w:rPr>
        <w:t>(</w:t>
      </w:r>
      <w:r>
        <w:rPr/>
        <w:t>63</w:t>
      </w:r>
      <w:r>
        <w:rPr>
          <w:rtl w:val="true"/>
        </w:rPr>
        <w:t xml:space="preserve">), </w:t>
      </w:r>
      <w:r>
        <w:rPr>
          <w:rtl w:val="true"/>
        </w:rPr>
        <w:t>את מצבו הבריאותי הרעוע</w:t>
      </w:r>
      <w:r>
        <w:rPr>
          <w:rtl w:val="true"/>
        </w:rPr>
        <w:t xml:space="preserve">, </w:t>
      </w:r>
      <w:r>
        <w:rPr>
          <w:rtl w:val="true"/>
        </w:rPr>
        <w:t>את קשייו הכלכליים ואת הסיוע שבשעתו הושיט לזרועות הביטחון</w:t>
      </w:r>
      <w:r>
        <w:rPr>
          <w:rtl w:val="true"/>
        </w:rPr>
        <w:t xml:space="preserve">. </w:t>
      </w:r>
      <w:r>
        <w:rPr>
          <w:rtl w:val="true"/>
        </w:rPr>
        <w:t>נסיבות אלה פורטו בתסקיר שירות המבחן שבית המשפט העמיד לנגד עיניו</w:t>
      </w:r>
      <w:r>
        <w:rPr>
          <w:rtl w:val="true"/>
        </w:rPr>
        <w:t>.</w:t>
      </w:r>
    </w:p>
    <w:p>
      <w:pPr>
        <w:pStyle w:val="Ruller4"/>
        <w:spacing w:before="28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</w:t>
      </w:r>
    </w:p>
    <w:p>
      <w:pPr>
        <w:pStyle w:val="Ruller41"/>
        <w:numPr>
          <w:ilvl w:val="0"/>
          <w:numId w:val="1"/>
        </w:numPr>
        <w:spacing w:before="280" w:after="240"/>
        <w:ind w:hanging="0" w:start="0" w:end="0"/>
        <w:jc w:val="both"/>
        <w:rPr/>
      </w:pPr>
      <w:r>
        <w:rPr>
          <w:rtl w:val="true"/>
        </w:rPr>
        <w:t>המערער טוען כי ניתוח נתוני התאונה אשר נעשה על ידי מומחה ההגנה</w:t>
      </w:r>
      <w:r>
        <w:rPr>
          <w:rtl w:val="true"/>
        </w:rPr>
        <w:t xml:space="preserve">, </w:t>
      </w:r>
      <w:r>
        <w:rPr>
          <w:rtl w:val="true"/>
        </w:rPr>
        <w:t>וייסמן</w:t>
      </w:r>
      <w:r>
        <w:rPr>
          <w:rtl w:val="true"/>
        </w:rPr>
        <w:t xml:space="preserve">, </w:t>
      </w:r>
      <w:r>
        <w:rPr>
          <w:rtl w:val="true"/>
        </w:rPr>
        <w:t>היה נכון וכי ניתוח זה מוכיח כי מיטל נכנסה לצומת ברכבה כשאור הרמזור בכיוון נסיעתה היה אדום</w:t>
      </w:r>
      <w:r>
        <w:rPr>
          <w:rtl w:val="true"/>
        </w:rPr>
        <w:t xml:space="preserve">, </w:t>
      </w:r>
      <w:r>
        <w:rPr>
          <w:rtl w:val="true"/>
        </w:rPr>
        <w:t xml:space="preserve">ואילו הוא </w:t>
      </w:r>
      <w:r>
        <w:rPr>
          <w:rtl w:val="true"/>
        </w:rPr>
        <w:t>–</w:t>
      </w:r>
      <w:r>
        <w:rPr>
          <w:rtl w:val="true"/>
        </w:rPr>
        <w:t xml:space="preserve"> המערער </w:t>
      </w:r>
      <w:r>
        <w:rPr>
          <w:rtl w:val="true"/>
        </w:rPr>
        <w:t>–</w:t>
      </w:r>
      <w:r>
        <w:rPr>
          <w:rtl w:val="true"/>
        </w:rPr>
        <w:t xml:space="preserve"> נכנס לתוך הצומת תחת אור ירוק</w:t>
      </w:r>
      <w:r>
        <w:rPr>
          <w:rtl w:val="true"/>
        </w:rPr>
        <w:t xml:space="preserve">. </w:t>
      </w:r>
      <w:r>
        <w:rPr>
          <w:rtl w:val="true"/>
        </w:rPr>
        <w:t>המערער מוסיף וטוען כי העדויות שנמסרו על ידי קרן</w:t>
      </w:r>
      <w:r>
        <w:rPr>
          <w:rtl w:val="true"/>
        </w:rPr>
        <w:t xml:space="preserve">, </w:t>
      </w:r>
      <w:r>
        <w:rPr>
          <w:rtl w:val="true"/>
        </w:rPr>
        <w:t>מיטל</w:t>
      </w:r>
      <w:r>
        <w:rPr>
          <w:rtl w:val="true"/>
        </w:rPr>
        <w:t xml:space="preserve">, </w:t>
      </w:r>
      <w:r>
        <w:rPr>
          <w:rtl w:val="true"/>
        </w:rPr>
        <w:t>רפאל</w:t>
      </w:r>
      <w:r>
        <w:rPr>
          <w:rtl w:val="true"/>
        </w:rPr>
        <w:t xml:space="preserve">, </w:t>
      </w:r>
      <w:r>
        <w:rPr>
          <w:rtl w:val="true"/>
        </w:rPr>
        <w:t xml:space="preserve">בת חן ואלעד </w:t>
      </w:r>
      <w:r>
        <w:rPr>
          <w:rtl w:val="true"/>
        </w:rPr>
        <w:t>–</w:t>
      </w:r>
      <w:r>
        <w:rPr>
          <w:rtl w:val="true"/>
        </w:rPr>
        <w:t xml:space="preserve"> עליהן ביסס בית משפט קמא את הכרעת הדין </w:t>
      </w:r>
      <w:r>
        <w:rPr>
          <w:rtl w:val="true"/>
        </w:rPr>
        <w:t>–</w:t>
      </w:r>
      <w:r>
        <w:rPr>
          <w:rtl w:val="true"/>
        </w:rPr>
        <w:t xml:space="preserve"> היו עדויות שקריות</w:t>
      </w:r>
      <w:r>
        <w:rPr>
          <w:rtl w:val="true"/>
        </w:rPr>
        <w:t xml:space="preserve">, </w:t>
      </w:r>
      <w:r>
        <w:rPr>
          <w:rtl w:val="true"/>
        </w:rPr>
        <w:t>ולמצער שגויות</w:t>
      </w:r>
      <w:r>
        <w:rPr>
          <w:rtl w:val="true"/>
        </w:rPr>
        <w:t xml:space="preserve">; </w:t>
      </w:r>
      <w:r>
        <w:rPr>
          <w:rtl w:val="true"/>
        </w:rPr>
        <w:t>וכי מומחה התביעה</w:t>
      </w:r>
      <w:r>
        <w:rPr>
          <w:rtl w:val="true"/>
        </w:rPr>
        <w:t xml:space="preserve">, </w:t>
      </w:r>
      <w:r>
        <w:rPr>
          <w:rtl w:val="true"/>
        </w:rPr>
        <w:t>וייס</w:t>
      </w:r>
      <w:r>
        <w:rPr>
          <w:rtl w:val="true"/>
        </w:rPr>
        <w:t xml:space="preserve">, </w:t>
      </w:r>
      <w:r>
        <w:rPr>
          <w:rtl w:val="true"/>
        </w:rPr>
        <w:t>אף הוא טעה בניתוח נתוני התאונה</w:t>
      </w:r>
      <w:r>
        <w:rPr>
          <w:rtl w:val="true"/>
        </w:rPr>
        <w:t xml:space="preserve">. </w:t>
      </w:r>
      <w:r>
        <w:rPr>
          <w:rtl w:val="true"/>
        </w:rPr>
        <w:t>המערער הציג בפנינו</w:t>
      </w:r>
      <w:r>
        <w:rPr>
          <w:rtl w:val="true"/>
        </w:rPr>
        <w:t xml:space="preserve">, </w:t>
      </w:r>
      <w:r>
        <w:rPr>
          <w:rtl w:val="true"/>
        </w:rPr>
        <w:t>במהלך טיעוניו</w:t>
      </w:r>
      <w:r>
        <w:rPr>
          <w:rtl w:val="true"/>
        </w:rPr>
        <w:t xml:space="preserve">, </w:t>
      </w:r>
      <w:r>
        <w:rPr>
          <w:rtl w:val="true"/>
        </w:rPr>
        <w:t>את הסרטון שלדבריו מוכיח את אמיתותן של טענות אלה ואת חפותו</w:t>
      </w:r>
      <w:r>
        <w:rPr>
          <w:rtl w:val="true"/>
        </w:rPr>
        <w:t xml:space="preserve">. </w:t>
      </w:r>
      <w:r>
        <w:rPr>
          <w:rtl w:val="true"/>
        </w:rPr>
        <w:t>המערער טוען אפוא כי מן הדין לזכותו מהעבירות בהן הורשע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טוען המערער כי בית משפט קמא הענישו בחומרה יתרה ומבקש מאתנו כי נקל בעונשו ככל שניתן</w:t>
      </w:r>
      <w:r>
        <w:rPr>
          <w:rtl w:val="true"/>
        </w:rPr>
        <w:t xml:space="preserve">, </w:t>
      </w:r>
      <w:r>
        <w:rPr>
          <w:rtl w:val="true"/>
        </w:rPr>
        <w:t>בהתחשב בגילו</w:t>
      </w:r>
      <w:r>
        <w:rPr>
          <w:rtl w:val="true"/>
        </w:rPr>
        <w:t xml:space="preserve">, </w:t>
      </w:r>
      <w:r>
        <w:rPr>
          <w:rtl w:val="true"/>
        </w:rPr>
        <w:t>במצבו הבריאותי</w:t>
      </w:r>
      <w:r>
        <w:rPr>
          <w:rtl w:val="true"/>
        </w:rPr>
        <w:t xml:space="preserve">, </w:t>
      </w:r>
      <w:r>
        <w:rPr>
          <w:rtl w:val="true"/>
        </w:rPr>
        <w:t>בסיוע שהושיט בשעתו לזרועות הביטחון</w:t>
      </w:r>
      <w:r>
        <w:rPr>
          <w:rtl w:val="true"/>
        </w:rPr>
        <w:t xml:space="preserve">, </w:t>
      </w:r>
      <w:r>
        <w:rPr>
          <w:rtl w:val="true"/>
        </w:rPr>
        <w:t>ובנסיבות חייו הלא פשוטות בפן האישי והכלכלי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spacing w:before="0" w:after="280"/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סומכת המדינה את ידיה על האמור בהכרעת הדין ובגזר הדין קמא </w:t>
      </w:r>
      <w:r>
        <w:rPr>
          <w:rtl w:val="true"/>
        </w:rPr>
        <w:t>–</w:t>
      </w:r>
      <w:r>
        <w:rPr>
          <w:rtl w:val="true"/>
        </w:rPr>
        <w:t xml:space="preserve"> בכפוף לשינויו של אחד מסעיפי ההרשעה </w:t>
      </w:r>
      <w:hyperlink r:id="rId53">
        <w:r>
          <w:rPr>
            <w:rStyle w:val="Hyperlink"/>
            <w:rtl w:val="true"/>
          </w:rPr>
          <w:t>מסעיף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hyperlink r:id="rId55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. </w:t>
      </w:r>
      <w:r>
        <w:rPr>
          <w:rtl w:val="true"/>
        </w:rPr>
        <w:t>בכפוף לשינוי כאמור</w:t>
      </w:r>
      <w:r>
        <w:rPr>
          <w:rtl w:val="true"/>
        </w:rPr>
        <w:t xml:space="preserve">, </w:t>
      </w:r>
      <w:r>
        <w:rPr>
          <w:rtl w:val="true"/>
        </w:rPr>
        <w:t>מבקשת מאתנו המדינה כי נדחה את הערעור על שני חלקיו</w:t>
      </w:r>
      <w:r>
        <w:rPr>
          <w:rtl w:val="true"/>
        </w:rPr>
        <w:t xml:space="preserve">, </w:t>
      </w:r>
      <w:r>
        <w:rPr>
          <w:rtl w:val="true"/>
        </w:rPr>
        <w:t>תוך שהיא מדגישה כי עונש המאסר שבית משפט קמא השית על המערער אינו חמור כלל ועיקר</w:t>
      </w:r>
      <w:r>
        <w:rPr>
          <w:rtl w:val="true"/>
        </w:rPr>
        <w:t xml:space="preserve">. </w:t>
      </w:r>
    </w:p>
    <w:p>
      <w:pPr>
        <w:pStyle w:val="Ruller4"/>
        <w:spacing w:before="28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spacing w:before="28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ההרשעה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spacing w:before="280" w:after="240"/>
        <w:ind w:hanging="0" w:start="0" w:end="0"/>
        <w:jc w:val="both"/>
        <w:rPr/>
      </w:pPr>
      <w:r>
        <w:rPr>
          <w:rtl w:val="true"/>
        </w:rPr>
        <w:t xml:space="preserve">המערער מבקש מאתנו כי נעמיד את מבנה הראיות עליהן מבוססת הרשעתו </w:t>
      </w:r>
      <w:r>
        <w:rPr>
          <w:rtl w:val="true"/>
        </w:rPr>
        <w:t>–</w:t>
      </w:r>
      <w:r>
        <w:rPr>
          <w:rtl w:val="true"/>
        </w:rPr>
        <w:t xml:space="preserve"> עדויותיהם של קרן</w:t>
      </w:r>
      <w:r>
        <w:rPr>
          <w:rtl w:val="true"/>
        </w:rPr>
        <w:t xml:space="preserve">, </w:t>
      </w:r>
      <w:r>
        <w:rPr>
          <w:rtl w:val="true"/>
        </w:rPr>
        <w:t>מיטל</w:t>
      </w:r>
      <w:r>
        <w:rPr>
          <w:rtl w:val="true"/>
        </w:rPr>
        <w:t xml:space="preserve">, </w:t>
      </w:r>
      <w:r>
        <w:rPr>
          <w:rtl w:val="true"/>
        </w:rPr>
        <w:t>רפאל</w:t>
      </w:r>
      <w:r>
        <w:rPr>
          <w:rtl w:val="true"/>
        </w:rPr>
        <w:t xml:space="preserve">, </w:t>
      </w:r>
      <w:r>
        <w:rPr>
          <w:rtl w:val="true"/>
        </w:rPr>
        <w:t>בת חן ואלעד</w:t>
      </w:r>
      <w:r>
        <w:rPr>
          <w:rtl w:val="true"/>
        </w:rPr>
        <w:t xml:space="preserve">, </w:t>
      </w:r>
      <w:r>
        <w:rPr>
          <w:rtl w:val="true"/>
        </w:rPr>
        <w:t xml:space="preserve">אשר מקבלות חיזוק מעדותו של העד המומחה וייס </w:t>
      </w:r>
      <w:r>
        <w:rPr>
          <w:rtl w:val="true"/>
        </w:rPr>
        <w:t>–</w:t>
      </w:r>
      <w:r>
        <w:rPr>
          <w:rtl w:val="true"/>
        </w:rPr>
        <w:t xml:space="preserve"> על ראשו</w:t>
      </w:r>
      <w:r>
        <w:rPr>
          <w:rtl w:val="true"/>
        </w:rPr>
        <w:t xml:space="preserve">.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עלינו להעמיד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את עדותו של וייס אל מול גרסתו של מומחה ההגנה</w:t>
      </w:r>
      <w:r>
        <w:rPr>
          <w:rtl w:val="true"/>
        </w:rPr>
        <w:t xml:space="preserve">, </w:t>
      </w:r>
      <w:r>
        <w:rPr>
          <w:rtl w:val="true"/>
        </w:rPr>
        <w:t>וייסמן</w:t>
      </w:r>
      <w:r>
        <w:rPr>
          <w:rtl w:val="true"/>
        </w:rPr>
        <w:t xml:space="preserve">, </w:t>
      </w:r>
      <w:r>
        <w:rPr>
          <w:rtl w:val="true"/>
        </w:rPr>
        <w:t>ולהעריכן מחדש</w:t>
      </w:r>
      <w:r>
        <w:rPr>
          <w:rtl w:val="true"/>
        </w:rPr>
        <w:t xml:space="preserve">; </w:t>
      </w:r>
      <w:r>
        <w:rPr>
          <w:rtl w:val="true"/>
        </w:rPr>
        <w:t>ואם נמצא כי עדותו של וייס אינה נקיה מספקות</w:t>
      </w:r>
      <w:r>
        <w:rPr>
          <w:rtl w:val="true"/>
        </w:rPr>
        <w:t xml:space="preserve">, </w:t>
      </w:r>
      <w:r>
        <w:rPr>
          <w:rtl w:val="true"/>
        </w:rPr>
        <w:t>יהא עלינו להמשיך ולקבוע כי העדויות אשר נמסרו על ידי קרן</w:t>
      </w:r>
      <w:r>
        <w:rPr>
          <w:rtl w:val="true"/>
        </w:rPr>
        <w:t xml:space="preserve">, </w:t>
      </w:r>
      <w:r>
        <w:rPr>
          <w:rtl w:val="true"/>
        </w:rPr>
        <w:t>מיטל</w:t>
      </w:r>
      <w:r>
        <w:rPr>
          <w:rtl w:val="true"/>
        </w:rPr>
        <w:t xml:space="preserve">, </w:t>
      </w:r>
      <w:r>
        <w:rPr>
          <w:rtl w:val="true"/>
        </w:rPr>
        <w:t>רפאל</w:t>
      </w:r>
      <w:r>
        <w:rPr>
          <w:rtl w:val="true"/>
        </w:rPr>
        <w:t xml:space="preserve">, </w:t>
      </w:r>
      <w:r>
        <w:rPr>
          <w:rtl w:val="true"/>
        </w:rPr>
        <w:t>בת חן ואלעד</w:t>
      </w:r>
      <w:r>
        <w:rPr>
          <w:rtl w:val="true"/>
        </w:rPr>
        <w:t xml:space="preserve">, </w:t>
      </w:r>
      <w:r>
        <w:rPr>
          <w:rtl w:val="true"/>
        </w:rPr>
        <w:t>יסודן בשקר או</w:t>
      </w:r>
      <w:r>
        <w:rPr>
          <w:rtl w:val="true"/>
        </w:rPr>
        <w:t xml:space="preserve">,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 xml:space="preserve">בטעות </w:t>
      </w:r>
      <w:r>
        <w:rPr>
          <w:rtl w:val="true"/>
        </w:rPr>
        <w:t>–</w:t>
      </w:r>
      <w:r>
        <w:rPr>
          <w:rtl w:val="true"/>
        </w:rPr>
        <w:t xml:space="preserve"> מסקנה שתובילנו</w:t>
      </w:r>
      <w:r>
        <w:rPr>
          <w:rtl w:val="true"/>
        </w:rPr>
        <w:t xml:space="preserve">, </w:t>
      </w:r>
      <w:r>
        <w:rPr>
          <w:rtl w:val="true"/>
        </w:rPr>
        <w:t>מניה וביה</w:t>
      </w:r>
      <w:r>
        <w:rPr>
          <w:rtl w:val="true"/>
        </w:rPr>
        <w:t xml:space="preserve">, </w:t>
      </w:r>
      <w:r>
        <w:rPr>
          <w:rtl w:val="true"/>
        </w:rPr>
        <w:t>אל זיכויו של המערער מכל העבירות בהן הוא הורשע</w:t>
      </w:r>
      <w:r>
        <w:rPr>
          <w:rtl w:val="true"/>
        </w:rPr>
        <w:t xml:space="preserve">, </w:t>
      </w:r>
      <w:r>
        <w:rPr>
          <w:rtl w:val="true"/>
        </w:rPr>
        <w:t>למעט זאת של נהיגה בשכרות שאינה עוד במחלוקת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tl w:val="true"/>
        </w:rPr>
        <w:t>להזמנה זו אין בידינו להיענות</w:t>
      </w:r>
      <w:r>
        <w:rPr>
          <w:rtl w:val="true"/>
        </w:rPr>
        <w:t xml:space="preserve">. </w:t>
      </w:r>
      <w:r>
        <w:rPr>
          <w:rtl w:val="true"/>
        </w:rPr>
        <w:t>בית משפט קמא קבע את ממצאי המהימנות שלו ביחס לעדויותיהם של קרן</w:t>
      </w:r>
      <w:r>
        <w:rPr>
          <w:rtl w:val="true"/>
        </w:rPr>
        <w:t xml:space="preserve">, </w:t>
      </w:r>
      <w:r>
        <w:rPr>
          <w:rtl w:val="true"/>
        </w:rPr>
        <w:t>מיטל</w:t>
      </w:r>
      <w:r>
        <w:rPr>
          <w:rtl w:val="true"/>
        </w:rPr>
        <w:t xml:space="preserve">, </w:t>
      </w:r>
      <w:r>
        <w:rPr>
          <w:rtl w:val="true"/>
        </w:rPr>
        <w:t>רפאל</w:t>
      </w:r>
      <w:r>
        <w:rPr>
          <w:rtl w:val="true"/>
        </w:rPr>
        <w:t xml:space="preserve">, </w:t>
      </w:r>
      <w:r>
        <w:rPr>
          <w:rtl w:val="true"/>
        </w:rPr>
        <w:t>בת חן ואלעד אחרי שהתרשם מעדים אלה באופן ישיר ובלתי אמצעי</w:t>
      </w:r>
      <w:r>
        <w:rPr>
          <w:rtl w:val="true"/>
        </w:rPr>
        <w:t xml:space="preserve">, </w:t>
      </w:r>
      <w:r>
        <w:rPr>
          <w:rtl w:val="true"/>
        </w:rPr>
        <w:t xml:space="preserve">ואחרי שנוכח לדעת כי לקרן </w:t>
      </w:r>
      <w:r>
        <w:rPr>
          <w:rtl w:val="true"/>
        </w:rPr>
        <w:t>–</w:t>
      </w:r>
      <w:r>
        <w:rPr>
          <w:rtl w:val="true"/>
        </w:rPr>
        <w:t xml:space="preserve"> עדה מרכזית לכל הדעות </w:t>
      </w:r>
      <w:r>
        <w:rPr>
          <w:rtl w:val="true"/>
        </w:rPr>
        <w:t>–</w:t>
      </w:r>
      <w:r>
        <w:rPr>
          <w:rtl w:val="true"/>
        </w:rPr>
        <w:t xml:space="preserve"> אין</w:t>
      </w:r>
      <w:r>
        <w:rPr>
          <w:rtl w:val="true"/>
        </w:rPr>
        <w:t xml:space="preserve">, </w:t>
      </w:r>
      <w:r>
        <w:rPr>
          <w:rtl w:val="true"/>
        </w:rPr>
        <w:t>ולא היה</w:t>
      </w:r>
      <w:r>
        <w:rPr>
          <w:rtl w:val="true"/>
        </w:rPr>
        <w:t xml:space="preserve">, </w:t>
      </w:r>
      <w:r>
        <w:rPr>
          <w:rtl w:val="true"/>
        </w:rPr>
        <w:t>כל מניע להסתיר או לעוות את האמת</w:t>
      </w:r>
      <w:r>
        <w:rPr>
          <w:rtl w:val="true"/>
        </w:rPr>
        <w:t xml:space="preserve">. </w:t>
      </w:r>
      <w:r>
        <w:rPr>
          <w:rtl w:val="true"/>
        </w:rPr>
        <w:t xml:space="preserve">בממצאים כאמור אין שום בסיס להתערב בגדרו של ערעור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מני רבים</w:t>
      </w:r>
      <w:r>
        <w:rPr>
          <w:rtl w:val="true"/>
        </w:rPr>
        <w:t xml:space="preserve">: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125/50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יעקובוביץ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ד ו </w:t>
      </w:r>
      <w:r>
        <w:rPr>
          <w:rFonts w:cs="Century" w:ascii="Century" w:hAnsi="Century"/>
          <w:sz w:val="22"/>
        </w:rPr>
        <w:t>514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561-560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1952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50/59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פרלמן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ד יג </w:t>
      </w:r>
      <w:r>
        <w:rPr>
          <w:rFonts w:cs="Century" w:ascii="Century" w:hAnsi="Century"/>
          <w:sz w:val="22"/>
        </w:rPr>
        <w:t>802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805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1959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9352/99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יומטוביאן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נד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632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/>
        <w:t>643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 xml:space="preserve">);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1639/98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נה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501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508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2001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); </w:t>
      </w:r>
      <w:r>
        <w:rPr>
          <w:rtl w:val="true"/>
        </w:rPr>
        <w:t>ואם נוסיף אליהם</w:t>
      </w:r>
      <w:r>
        <w:rPr>
          <w:rtl w:val="true"/>
        </w:rPr>
        <w:t xml:space="preserve">, </w:t>
      </w:r>
      <w:r>
        <w:rPr>
          <w:rtl w:val="true"/>
        </w:rPr>
        <w:t>כראיית תֶמֶך נסיבתית</w:t>
      </w:r>
      <w:r>
        <w:rPr>
          <w:rtl w:val="true"/>
        </w:rPr>
        <w:t xml:space="preserve">, </w:t>
      </w:r>
      <w:r>
        <w:rPr>
          <w:rtl w:val="true"/>
        </w:rPr>
        <w:t xml:space="preserve">את שקרי המערער </w:t>
      </w:r>
      <w:r>
        <w:rPr>
          <w:rtl w:val="true"/>
        </w:rPr>
        <w:t>–</w:t>
      </w:r>
      <w:r>
        <w:rPr>
          <w:rtl w:val="true"/>
        </w:rPr>
        <w:t xml:space="preserve"> אשר בלי ספק נועדו להרחיקו מן האחריות לתאונה </w:t>
      </w:r>
      <w:r>
        <w:rPr>
          <w:rtl w:val="true"/>
        </w:rPr>
        <w:t>–</w:t>
      </w:r>
      <w:r>
        <w:rPr>
          <w:rtl w:val="true"/>
        </w:rPr>
        <w:t xml:space="preserve"> יהא בידינו לדחות את ערעורו נגד ההרשעה ללא ניתוח פרטני של הראיות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tl w:val="true"/>
        </w:rPr>
        <w:t>למעלה מן הנדרש</w:t>
      </w:r>
      <w:r>
        <w:rPr>
          <w:rtl w:val="true"/>
        </w:rPr>
        <w:t xml:space="preserve">, </w:t>
      </w:r>
      <w:r>
        <w:rPr>
          <w:rtl w:val="true"/>
        </w:rPr>
        <w:t>אוסיף ואציין כי ניתוח פרטני של הראיות אף הוא מוליך למסקנה עובדתית אחת ויחידה</w:t>
      </w:r>
      <w:r>
        <w:rPr>
          <w:rtl w:val="true"/>
        </w:rPr>
        <w:t xml:space="preserve">, </w:t>
      </w:r>
      <w:r>
        <w:rPr>
          <w:rtl w:val="true"/>
        </w:rPr>
        <w:t>אשר נקבעה על ידי בית משפט קמא</w:t>
      </w:r>
      <w:r>
        <w:rPr>
          <w:rtl w:val="true"/>
        </w:rPr>
        <w:t xml:space="preserve">: </w:t>
      </w:r>
      <w:r>
        <w:rPr>
          <w:rtl w:val="true"/>
        </w:rPr>
        <w:t>המערער נכנס ברכבו לצומת באור אדום ועל ידי כך גרם לתאונה הקטלנית</w:t>
      </w:r>
      <w:r>
        <w:rPr>
          <w:rtl w:val="true"/>
        </w:rPr>
        <w:t xml:space="preserve">. </w:t>
      </w:r>
      <w:r>
        <w:rPr>
          <w:rtl w:val="true"/>
        </w:rPr>
        <w:t>למסקנה זו נגיע בקלות אם נעמיד לנגד עינינו את יריעת המחלוקת</w:t>
      </w:r>
      <w:r>
        <w:rPr>
          <w:rtl w:val="true"/>
        </w:rPr>
        <w:t xml:space="preserve">, </w:t>
      </w:r>
      <w:r>
        <w:rPr>
          <w:rtl w:val="true"/>
        </w:rPr>
        <w:t>כפי שנפרשה בין עדויותיהם של קרן</w:t>
      </w:r>
      <w:r>
        <w:rPr>
          <w:rtl w:val="true"/>
        </w:rPr>
        <w:t xml:space="preserve">, </w:t>
      </w:r>
      <w:r>
        <w:rPr>
          <w:rtl w:val="true"/>
        </w:rPr>
        <w:t>מיטל</w:t>
      </w:r>
      <w:r>
        <w:rPr>
          <w:rtl w:val="true"/>
        </w:rPr>
        <w:t xml:space="preserve">, </w:t>
      </w:r>
      <w:r>
        <w:rPr>
          <w:rtl w:val="true"/>
        </w:rPr>
        <w:t>רפאל</w:t>
      </w:r>
      <w:r>
        <w:rPr>
          <w:rtl w:val="true"/>
        </w:rPr>
        <w:t xml:space="preserve">, </w:t>
      </w:r>
      <w:r>
        <w:rPr>
          <w:rtl w:val="true"/>
        </w:rPr>
        <w:t>בת חן ואלעד</w:t>
      </w:r>
      <w:r>
        <w:rPr>
          <w:rtl w:val="true"/>
        </w:rPr>
        <w:t xml:space="preserve">, </w:t>
      </w:r>
      <w:r>
        <w:rPr>
          <w:rtl w:val="true"/>
        </w:rPr>
        <w:t>מצד אחד</w:t>
      </w:r>
      <w:r>
        <w:rPr>
          <w:rtl w:val="true"/>
        </w:rPr>
        <w:t xml:space="preserve">, </w:t>
      </w:r>
      <w:r>
        <w:rPr>
          <w:rtl w:val="true"/>
        </w:rPr>
        <w:t>לבין עדותו של המערער והודעתו במשטרה</w:t>
      </w:r>
      <w:r>
        <w:rPr>
          <w:rtl w:val="true"/>
        </w:rPr>
        <w:t xml:space="preserve">, </w:t>
      </w:r>
      <w:r>
        <w:rPr>
          <w:rtl w:val="true"/>
        </w:rPr>
        <w:t>מהצד השני</w:t>
      </w:r>
      <w:r>
        <w:rPr>
          <w:rtl w:val="true"/>
        </w:rPr>
        <w:t xml:space="preserve">. </w:t>
      </w:r>
      <w:r>
        <w:rPr>
          <w:rtl w:val="true"/>
        </w:rPr>
        <w:t>עדי התביעה</w:t>
      </w:r>
      <w:r>
        <w:rPr>
          <w:rtl w:val="true"/>
        </w:rPr>
        <w:t xml:space="preserve">, </w:t>
      </w:r>
      <w:r>
        <w:rPr>
          <w:rtl w:val="true"/>
        </w:rPr>
        <w:t>ששמותיהם מניתי זה עתה</w:t>
      </w:r>
      <w:r>
        <w:rPr>
          <w:rtl w:val="true"/>
        </w:rPr>
        <w:t xml:space="preserve">, </w:t>
      </w:r>
      <w:r>
        <w:rPr>
          <w:rtl w:val="true"/>
        </w:rPr>
        <w:t xml:space="preserve">העידו </w:t>
      </w:r>
      <w:r>
        <w:rPr>
          <w:rtl w:val="true"/>
        </w:rPr>
        <w:t>–</w:t>
      </w:r>
      <w:r>
        <w:rPr>
          <w:rtl w:val="true"/>
        </w:rPr>
        <w:t xml:space="preserve"> כל אחד לפי תורו ולפי דרכו </w:t>
      </w:r>
      <w:r>
        <w:rPr>
          <w:rtl w:val="true"/>
        </w:rPr>
        <w:t>–</w:t>
      </w:r>
      <w:r>
        <w:rPr>
          <w:rtl w:val="true"/>
        </w:rPr>
        <w:t xml:space="preserve"> כי מיטל נכנסה עם רכבה לצומת באור ירוק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עדותה של קרן</w:t>
      </w:r>
      <w:r>
        <w:rPr>
          <w:rtl w:val="true"/>
        </w:rPr>
        <w:t xml:space="preserve">, </w:t>
      </w:r>
      <w:r>
        <w:rPr>
          <w:rtl w:val="true"/>
        </w:rPr>
        <w:t xml:space="preserve">שנסעה במכוניתה אחרי רכבה של מיטל </w:t>
      </w:r>
      <w:r>
        <w:rPr>
          <w:rtl w:val="true"/>
        </w:rPr>
        <w:t>–</w:t>
      </w:r>
      <w:r>
        <w:rPr>
          <w:rtl w:val="true"/>
        </w:rPr>
        <w:t xml:space="preserve"> ולדבריה</w:t>
      </w:r>
      <w:r>
        <w:rPr>
          <w:rtl w:val="true"/>
        </w:rPr>
        <w:t xml:space="preserve">, </w:t>
      </w:r>
      <w:r>
        <w:rPr>
          <w:rtl w:val="true"/>
        </w:rPr>
        <w:t xml:space="preserve">גם היא החלה להיכנס לצומת תחת אור ירוק </w:t>
      </w:r>
      <w:r>
        <w:rPr>
          <w:rtl w:val="true"/>
        </w:rPr>
        <w:t>–</w:t>
      </w:r>
      <w:r>
        <w:rPr>
          <w:rtl w:val="true"/>
        </w:rPr>
        <w:t xml:space="preserve"> הינה משכנעת במיוחד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העיד המערער כי מיטל </w:t>
      </w:r>
      <w:r>
        <w:rPr>
          <w:rtl w:val="true"/>
        </w:rPr>
        <w:t>"</w:t>
      </w:r>
      <w:r>
        <w:rPr>
          <w:rtl w:val="true"/>
        </w:rPr>
        <w:t>גנבה את הרמזור</w:t>
      </w:r>
      <w:r>
        <w:rPr>
          <w:rtl w:val="true"/>
        </w:rPr>
        <w:t xml:space="preserve">" </w:t>
      </w:r>
      <w:r>
        <w:rPr>
          <w:rtl w:val="true"/>
        </w:rPr>
        <w:t>ונכנסה לצומת על ידי עקיפת הרכבים שנהגיהם המתינו לחילופי האורות ברמזור</w:t>
      </w:r>
      <w:r>
        <w:rPr>
          <w:rtl w:val="true"/>
        </w:rPr>
        <w:t xml:space="preserve">. </w:t>
      </w:r>
      <w:r>
        <w:rPr>
          <w:rtl w:val="true"/>
        </w:rPr>
        <w:t xml:space="preserve">עדותו של המערער נסתרה לא רק על ידי עדי הראייה </w:t>
      </w:r>
      <w:r>
        <w:rPr>
          <w:rtl w:val="true"/>
        </w:rPr>
        <w:t>–</w:t>
      </w:r>
      <w:r>
        <w:rPr>
          <w:rtl w:val="true"/>
        </w:rPr>
        <w:t xml:space="preserve"> קרן</w:t>
      </w:r>
      <w:r>
        <w:rPr>
          <w:rtl w:val="true"/>
        </w:rPr>
        <w:t xml:space="preserve">, </w:t>
      </w:r>
      <w:r>
        <w:rPr>
          <w:rtl w:val="true"/>
        </w:rPr>
        <w:t>מיטל</w:t>
      </w:r>
      <w:r>
        <w:rPr>
          <w:rtl w:val="true"/>
        </w:rPr>
        <w:t xml:space="preserve">, </w:t>
      </w:r>
      <w:r>
        <w:rPr>
          <w:rtl w:val="true"/>
        </w:rPr>
        <w:t>רפאל</w:t>
      </w:r>
      <w:r>
        <w:rPr>
          <w:rtl w:val="true"/>
        </w:rPr>
        <w:t xml:space="preserve">, </w:t>
      </w:r>
      <w:r>
        <w:rPr>
          <w:rtl w:val="true"/>
        </w:rPr>
        <w:t xml:space="preserve">בת חן ואלעד </w:t>
      </w:r>
      <w:r>
        <w:rPr>
          <w:rtl w:val="true"/>
        </w:rPr>
        <w:t>–</w:t>
      </w:r>
      <w:r>
        <w:rPr>
          <w:rtl w:val="true"/>
        </w:rPr>
        <w:t xml:space="preserve"> אשר מסרו את עדויותיהם מטעם התביעה</w:t>
      </w:r>
      <w:r>
        <w:rPr>
          <w:rtl w:val="true"/>
        </w:rPr>
        <w:t xml:space="preserve">, </w:t>
      </w:r>
      <w:r>
        <w:rPr>
          <w:rtl w:val="true"/>
        </w:rPr>
        <w:t>אלא גם על ידי הסרטון אשר הראה כי הרכבים שעמדו ברמזור פנו שמאלה לתוך הצומת זה אחרי זה</w:t>
      </w:r>
      <w:r>
        <w:rPr>
          <w:rtl w:val="true"/>
        </w:rPr>
        <w:t xml:space="preserve">, </w:t>
      </w:r>
      <w:r>
        <w:rPr>
          <w:rtl w:val="true"/>
        </w:rPr>
        <w:t>ללא ניסיונות עקיפה</w:t>
      </w:r>
      <w:r>
        <w:rPr>
          <w:rtl w:val="true"/>
        </w:rPr>
        <w:t xml:space="preserve">. </w:t>
      </w:r>
      <w:r>
        <w:rPr>
          <w:rtl w:val="true"/>
        </w:rPr>
        <w:t>גרסת המערער קורסת אפוא תחתיה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tl w:val="true"/>
        </w:rPr>
        <w:t>הלכה היא עמנו כי נאשם כבול בגרסת החפות שהעלה בעדותו</w:t>
      </w:r>
      <w:r>
        <w:rPr>
          <w:rtl w:val="true"/>
        </w:rPr>
        <w:t xml:space="preserve">, </w:t>
      </w:r>
      <w:r>
        <w:rPr>
          <w:rtl w:val="true"/>
        </w:rPr>
        <w:t>ואם גרסה זו קורסת תחתיה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אינו אמור לתור למרחקים כדי למצוא עבור הנאשם גרסת חפות חלופית שאינה מעוגנת בראיות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261/83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לח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570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576-575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1984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6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417/83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לח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670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671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1984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6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3124/91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מז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406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415-414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1993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6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3372/11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150-148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10.11.2011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בנסיבות כאלה</w:t>
      </w:r>
      <w:r>
        <w:rPr>
          <w:rtl w:val="true"/>
        </w:rPr>
        <w:t xml:space="preserve">, </w:t>
      </w:r>
      <w:r>
        <w:rPr>
          <w:rtl w:val="true"/>
        </w:rPr>
        <w:t>אחרי שבית המשפט האמין לעדים אשר הביאו בפניו את גרסת התביעה על פרטיה</w:t>
      </w:r>
      <w:r>
        <w:rPr>
          <w:rtl w:val="true"/>
        </w:rPr>
        <w:t xml:space="preserve">, </w:t>
      </w:r>
      <w:r>
        <w:rPr>
          <w:rtl w:val="true"/>
        </w:rPr>
        <w:t>לא נותר לו אלא לקבוע את ממצאיו העובדתיים בהתאם לגרסת התביעה</w:t>
      </w:r>
      <w:r>
        <w:rPr>
          <w:rtl w:val="true"/>
        </w:rPr>
        <w:t xml:space="preserve">.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אחרי קריסתה של גרסת המערער</w:t>
      </w:r>
      <w:r>
        <w:rPr>
          <w:rtl w:val="true"/>
        </w:rPr>
        <w:t xml:space="preserve">, </w:t>
      </w:r>
      <w:r>
        <w:rPr>
          <w:rtl w:val="true"/>
        </w:rPr>
        <w:t>חייב היה בית משפט קמא לקבוע כי המערער חצה ברכבו את הצומת באור אדום</w:t>
      </w:r>
      <w:r>
        <w:rPr>
          <w:rtl w:val="true"/>
        </w:rPr>
        <w:t xml:space="preserve">, </w:t>
      </w:r>
      <w:r>
        <w:rPr>
          <w:rtl w:val="true"/>
        </w:rPr>
        <w:t>כפי שהעידו קרן</w:t>
      </w:r>
      <w:r>
        <w:rPr>
          <w:rtl w:val="true"/>
        </w:rPr>
        <w:t xml:space="preserve">, </w:t>
      </w:r>
      <w:r>
        <w:rPr>
          <w:rtl w:val="true"/>
        </w:rPr>
        <w:t>מיטל</w:t>
      </w:r>
      <w:r>
        <w:rPr>
          <w:rtl w:val="true"/>
        </w:rPr>
        <w:t xml:space="preserve">, </w:t>
      </w:r>
      <w:r>
        <w:rPr>
          <w:rtl w:val="true"/>
        </w:rPr>
        <w:t>רפאל</w:t>
      </w:r>
      <w:r>
        <w:rPr>
          <w:rtl w:val="true"/>
        </w:rPr>
        <w:t xml:space="preserve">, </w:t>
      </w:r>
      <w:r>
        <w:rPr>
          <w:rtl w:val="true"/>
        </w:rPr>
        <w:t>בת חן ואלעד</w:t>
      </w:r>
      <w:r>
        <w:rPr>
          <w:rtl w:val="true"/>
        </w:rPr>
        <w:t xml:space="preserve">. </w:t>
      </w:r>
      <w:r>
        <w:rPr>
          <w:rtl w:val="true"/>
        </w:rPr>
        <w:t>בית המשפט קבע ממצא עובדתי כאמור וקביעתו זו הינה נכונה</w:t>
      </w:r>
      <w:r>
        <w:rPr>
          <w:rtl w:val="true"/>
        </w:rPr>
        <w:t xml:space="preserve">, </w:t>
      </w:r>
      <w:r>
        <w:rPr>
          <w:rtl w:val="true"/>
        </w:rPr>
        <w:t>ואף מתבקשת מאליה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tl w:val="true"/>
        </w:rPr>
        <w:t>לממצא שנקבע כאמור יש חיזוק ממשי שמקורו בניסיון החיים הכללי</w:t>
      </w:r>
      <w:r>
        <w:rPr>
          <w:rtl w:val="true"/>
        </w:rPr>
        <w:t xml:space="preserve">. </w:t>
      </w:r>
      <w:r>
        <w:rPr>
          <w:rtl w:val="true"/>
        </w:rPr>
        <w:t>אחרי שידענו כי מיטל לא עקפה בנסיעתה ברמזור את הרכבים שעמדו לפניה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כורחנו מגיעים אנו למסקנה הבאה</w:t>
      </w:r>
      <w:r>
        <w:rPr>
          <w:rtl w:val="true"/>
        </w:rPr>
        <w:t xml:space="preserve">: </w:t>
      </w:r>
      <w:r>
        <w:rPr>
          <w:rtl w:val="true"/>
        </w:rPr>
        <w:t>כדי שניתן יהיה לקבוע כי קיימת אפשרות סבירה לכך שהמערער חצה ברכבו את הצומת באור ירוק</w:t>
      </w:r>
      <w:r>
        <w:rPr>
          <w:rtl w:val="true"/>
        </w:rPr>
        <w:t xml:space="preserve">, </w:t>
      </w:r>
      <w:r>
        <w:rPr>
          <w:rtl w:val="true"/>
        </w:rPr>
        <w:t>כטענתו</w:t>
      </w:r>
      <w:r>
        <w:rPr>
          <w:rtl w:val="true"/>
        </w:rPr>
        <w:t xml:space="preserve">, </w:t>
      </w:r>
      <w:r>
        <w:rPr>
          <w:rtl w:val="true"/>
        </w:rPr>
        <w:t xml:space="preserve">צריך שתהא אינדיקציה לכך שלפחות שניים מהרכבים אשר עמדו בצומת בשורה אחת עם רכבה של מיטל </w:t>
      </w:r>
      <w:r>
        <w:rPr>
          <w:rtl w:val="true"/>
        </w:rPr>
        <w:t>–</w:t>
      </w:r>
      <w:r>
        <w:rPr>
          <w:rtl w:val="true"/>
        </w:rPr>
        <w:t xml:space="preserve"> אלו שעמדו לפני רכבה </w:t>
      </w:r>
      <w:r>
        <w:rPr>
          <w:rtl w:val="true"/>
        </w:rPr>
        <w:t>–</w:t>
      </w:r>
      <w:r>
        <w:rPr>
          <w:rtl w:val="true"/>
        </w:rPr>
        <w:t xml:space="preserve"> ביצעו פנייה שמאלה לתוך הצומת תחת אור אדום</w:t>
      </w:r>
      <w:r>
        <w:rPr>
          <w:rtl w:val="true"/>
        </w:rPr>
        <w:t xml:space="preserve">, </w:t>
      </w:r>
      <w:r>
        <w:rPr>
          <w:rtl w:val="true"/>
        </w:rPr>
        <w:t>כאשר רכבה של מיטל</w:t>
      </w:r>
      <w:r>
        <w:rPr>
          <w:rtl w:val="true"/>
        </w:rPr>
        <w:t xml:space="preserve">, </w:t>
      </w:r>
      <w:r>
        <w:rPr>
          <w:rtl w:val="true"/>
        </w:rPr>
        <w:t>ואולי גם רכבה של קרן</w:t>
      </w:r>
      <w:r>
        <w:rPr>
          <w:rtl w:val="true"/>
        </w:rPr>
        <w:t xml:space="preserve">, </w:t>
      </w:r>
      <w:r>
        <w:rPr>
          <w:rtl w:val="true"/>
        </w:rPr>
        <w:t>דולקים אחריהם תוך הפרה בוטה של חוקי התנועה</w:t>
      </w:r>
      <w:r>
        <w:rPr>
          <w:rtl w:val="true"/>
        </w:rPr>
        <w:t xml:space="preserve">. </w:t>
      </w:r>
      <w:r>
        <w:rPr>
          <w:rtl w:val="true"/>
        </w:rPr>
        <w:t>בגיהינו</w:t>
      </w:r>
      <w:r>
        <w:rPr>
          <w:rtl w:val="true"/>
        </w:rPr>
        <w:t>ם</w:t>
      </w:r>
      <w:r>
        <w:rPr>
          <w:rtl w:val="true"/>
        </w:rPr>
        <w:t xml:space="preserve"> תעבורתי זה יש רק צדיק אחד </w:t>
      </w:r>
      <w:r>
        <w:rPr>
          <w:rtl w:val="true"/>
        </w:rPr>
        <w:t>–</w:t>
      </w:r>
      <w:r>
        <w:rPr>
          <w:rtl w:val="true"/>
        </w:rPr>
        <w:t xml:space="preserve"> המערער </w:t>
      </w:r>
      <w:r>
        <w:rPr>
          <w:rtl w:val="true"/>
        </w:rPr>
        <w:t>–</w:t>
      </w:r>
      <w:r>
        <w:rPr>
          <w:rtl w:val="true"/>
        </w:rPr>
        <w:t xml:space="preserve"> אותו אדם אשר נהג ברכבו במצב של שכרות ואחר</w:t>
      </w:r>
      <w:r>
        <w:rPr>
          <w:rtl w:val="true"/>
        </w:rPr>
        <w:t>-</w:t>
      </w:r>
      <w:r>
        <w:rPr>
          <w:rtl w:val="true"/>
        </w:rPr>
        <w:t>כך מסר הודעה ועדות כוזבות על נסיבות התאונה</w:t>
      </w:r>
      <w:r>
        <w:rPr>
          <w:rtl w:val="true"/>
        </w:rPr>
        <w:t xml:space="preserve">. </w:t>
      </w:r>
      <w:r>
        <w:rPr>
          <w:rtl w:val="true"/>
        </w:rPr>
        <w:t>מטעם זה</w:t>
      </w:r>
      <w:r>
        <w:rPr>
          <w:rtl w:val="true"/>
        </w:rPr>
        <w:t xml:space="preserve">, </w:t>
      </w:r>
      <w:r>
        <w:rPr>
          <w:rtl w:val="true"/>
        </w:rPr>
        <w:t>לא ניתן לייחס לתרחיש דמיוני זה שום קשר עם המציאות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tl w:val="true"/>
        </w:rPr>
        <w:t xml:space="preserve">מסקנתי זו מייתרת לחלוטין את הדיון בתחרות המומחים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וייסמן</w:t>
      </w:r>
      <w:r>
        <w:rPr>
          <w:rtl w:val="true"/>
        </w:rPr>
        <w:t xml:space="preserve">, </w:t>
      </w:r>
      <w:r>
        <w:rPr>
          <w:rtl w:val="true"/>
        </w:rPr>
        <w:t>שהמערער העמיד במרכז ערעורו</w:t>
      </w:r>
      <w:r>
        <w:rPr>
          <w:rtl w:val="true"/>
        </w:rPr>
        <w:t xml:space="preserve">. </w:t>
      </w:r>
      <w:r>
        <w:rPr>
          <w:rtl w:val="true"/>
        </w:rPr>
        <w:t>אציין בקצרה כי בית משפט קמא מצא את עדותו של וייס</w:t>
      </w:r>
      <w:r>
        <w:rPr>
          <w:rtl w:val="true"/>
        </w:rPr>
        <w:t xml:space="preserve">, </w:t>
      </w:r>
      <w:r>
        <w:rPr>
          <w:rtl w:val="true"/>
        </w:rPr>
        <w:t>שכאמור התבססה על הסרטון</w:t>
      </w:r>
      <w:r>
        <w:rPr>
          <w:rtl w:val="true"/>
        </w:rPr>
        <w:t xml:space="preserve">, </w:t>
      </w:r>
      <w:r>
        <w:rPr>
          <w:rtl w:val="true"/>
        </w:rPr>
        <w:t xml:space="preserve">אמינה אחרי ששמע מפיו כי הוא </w:t>
      </w:r>
      <w:r>
        <w:rPr>
          <w:rtl w:val="true"/>
        </w:rPr>
        <w:t>"</w:t>
      </w:r>
      <w:r>
        <w:rPr>
          <w:rtl w:val="true"/>
        </w:rPr>
        <w:t>עסק</w:t>
      </w:r>
      <w:r>
        <w:rPr>
          <w:rtl w:val="true"/>
        </w:rPr>
        <w:t xml:space="preserve"> </w:t>
      </w:r>
      <w:r>
        <w:rPr>
          <w:rtl w:val="true"/>
        </w:rPr>
        <w:t>בסרטון</w:t>
      </w:r>
      <w:r>
        <w:rPr>
          <w:rtl w:val="true"/>
        </w:rPr>
        <w:t xml:space="preserve"> </w:t>
      </w:r>
      <w:r>
        <w:rPr>
          <w:rtl w:val="true"/>
        </w:rPr>
        <w:t>במשך</w:t>
      </w:r>
      <w:r>
        <w:rPr>
          <w:rtl w:val="true"/>
        </w:rPr>
        <w:t xml:space="preserve"> </w:t>
      </w:r>
      <w:r>
        <w:rPr>
          <w:rtl w:val="true"/>
        </w:rPr>
        <w:t>יומיים</w:t>
      </w:r>
      <w:r>
        <w:rPr>
          <w:rtl w:val="true"/>
        </w:rPr>
        <w:t xml:space="preserve"> </w:t>
      </w:r>
      <w:r>
        <w:rPr>
          <w:rtl w:val="true"/>
        </w:rPr>
        <w:t>וצפה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עשרות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";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הצומת</w:t>
      </w:r>
      <w:r>
        <w:rPr>
          <w:rtl w:val="true"/>
        </w:rPr>
        <w:t xml:space="preserve"> </w:t>
      </w:r>
      <w:r>
        <w:rPr>
          <w:rtl w:val="true"/>
        </w:rPr>
        <w:t>ממוקם</w:t>
      </w:r>
      <w:r>
        <w:rPr>
          <w:rtl w:val="true"/>
        </w:rPr>
        <w:t xml:space="preserve"> </w:t>
      </w:r>
      <w:r>
        <w:rPr>
          <w:rtl w:val="true"/>
        </w:rPr>
        <w:t>בחלק</w:t>
      </w:r>
      <w:r>
        <w:rPr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המסך</w:t>
      </w:r>
      <w:r>
        <w:rPr>
          <w:rtl w:val="true"/>
        </w:rPr>
        <w:t xml:space="preserve">, </w:t>
      </w:r>
      <w:r>
        <w:rPr>
          <w:rtl w:val="true"/>
        </w:rPr>
        <w:t>וכיוון</w:t>
      </w:r>
      <w:r>
        <w:rPr>
          <w:rtl w:val="true"/>
        </w:rPr>
        <w:t xml:space="preserve"> </w:t>
      </w:r>
      <w:r>
        <w:rPr>
          <w:rtl w:val="true"/>
        </w:rPr>
        <w:t>צפון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 </w:t>
      </w:r>
      <w:r>
        <w:rPr>
          <w:rtl w:val="true"/>
        </w:rPr>
        <w:t>בחלק</w:t>
      </w:r>
      <w:r>
        <w:rPr>
          <w:rtl w:val="true"/>
        </w:rPr>
        <w:t xml:space="preserve"> </w:t>
      </w:r>
      <w:r>
        <w:rPr>
          <w:rtl w:val="true"/>
        </w:rPr>
        <w:t>השמאלי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המסך</w:t>
      </w:r>
      <w:r>
        <w:rPr>
          <w:rtl w:val="true"/>
        </w:rPr>
        <w:t xml:space="preserve">";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הצפייה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הממושכת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ריכוז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וייס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הצביע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שרואים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המסך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הרמזור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האדום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הרלבנטי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לכיוון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נסיעתו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ההדגשה הוספה </w:t>
      </w:r>
      <w:r>
        <w:rPr>
          <w:rtl w:val="true"/>
        </w:rPr>
        <w:t>–</w:t>
      </w:r>
      <w:r>
        <w:rPr>
          <w:rtl w:val="true"/>
        </w:rPr>
        <w:t xml:space="preserve"> 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.). </w:t>
      </w:r>
      <w:r>
        <w:rPr>
          <w:rtl w:val="true"/>
        </w:rPr>
        <w:t>בית המשפט התרשם לחיוב גם מהדרך שבה הצליב וייס את התרשמותו ממה שצפה בסרטון עם תכנית הרמזורים אשר פעלו במקום ללא תקלה</w:t>
      </w:r>
      <w:r>
        <w:rPr>
          <w:rtl w:val="true"/>
        </w:rPr>
        <w:t xml:space="preserve">. </w:t>
      </w:r>
      <w:r>
        <w:rPr>
          <w:rtl w:val="true"/>
        </w:rPr>
        <w:t>על בסיס הצלבה זו</w:t>
      </w:r>
      <w:r>
        <w:rPr>
          <w:rtl w:val="true"/>
        </w:rPr>
        <w:t xml:space="preserve">, </w:t>
      </w:r>
      <w:r>
        <w:rPr>
          <w:rtl w:val="true"/>
        </w:rPr>
        <w:t xml:space="preserve">הגיע וייס </w:t>
      </w:r>
      <w:r>
        <w:rPr>
          <w:rtl w:val="true"/>
        </w:rPr>
        <w:t>"</w:t>
      </w:r>
      <w:r>
        <w:rPr>
          <w:rtl w:val="true"/>
        </w:rPr>
        <w:t>למסקנה</w:t>
      </w:r>
      <w:r>
        <w:rPr>
          <w:rtl w:val="true"/>
        </w:rPr>
        <w:t xml:space="preserve"> </w:t>
      </w:r>
      <w:r>
        <w:rPr>
          <w:rtl w:val="true"/>
        </w:rPr>
        <w:t>שרכב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tl w:val="true"/>
        </w:rPr>
        <w:t xml:space="preserve"> </w:t>
      </w:r>
      <w:r>
        <w:rPr>
          <w:rtl w:val="true"/>
        </w:rPr>
        <w:t>לצומת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שניות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שהסתיים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האור</w:t>
      </w:r>
      <w:r>
        <w:rPr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שאין</w:t>
      </w:r>
      <w:r>
        <w:rPr>
          <w:rtl w:val="true"/>
        </w:rPr>
        <w:t xml:space="preserve"> </w:t>
      </w:r>
      <w:r>
        <w:rPr>
          <w:rtl w:val="true"/>
        </w:rPr>
        <w:t>המדובר</w:t>
      </w:r>
      <w:r>
        <w:rPr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 </w:t>
      </w:r>
      <w:r>
        <w:rPr>
          <w:rtl w:val="true"/>
        </w:rPr>
        <w:t>בסיטואציה</w:t>
      </w:r>
      <w:r>
        <w:rPr>
          <w:rtl w:val="true"/>
        </w:rPr>
        <w:t xml:space="preserve"> </w:t>
      </w:r>
      <w:r>
        <w:rPr>
          <w:rtl w:val="true"/>
        </w:rPr>
        <w:t>גבולית</w:t>
      </w:r>
      <w:r>
        <w:rPr>
          <w:rtl w:val="true"/>
        </w:rPr>
        <w:t xml:space="preserve">". </w:t>
      </w:r>
      <w:r>
        <w:rPr>
          <w:rtl w:val="true"/>
        </w:rPr>
        <w:t>בד</w:t>
      </w:r>
      <w:r>
        <w:rPr>
          <w:rtl w:val="true"/>
        </w:rPr>
        <w:t>-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בית המשפט מצא את עדותו של מומחה ההגנה</w:t>
      </w:r>
      <w:r>
        <w:rPr>
          <w:rtl w:val="true"/>
        </w:rPr>
        <w:t xml:space="preserve">, </w:t>
      </w:r>
      <w:r>
        <w:rPr>
          <w:rtl w:val="true"/>
        </w:rPr>
        <w:t>וייסמן</w:t>
      </w:r>
      <w:r>
        <w:rPr>
          <w:rtl w:val="true"/>
        </w:rPr>
        <w:t xml:space="preserve">, </w:t>
      </w:r>
      <w:r>
        <w:rPr>
          <w:rtl w:val="true"/>
        </w:rPr>
        <w:t>מגמתית ובלתי אמינה</w:t>
      </w:r>
      <w:r>
        <w:rPr>
          <w:rtl w:val="true"/>
        </w:rPr>
        <w:t xml:space="preserve">. </w:t>
      </w:r>
      <w:r>
        <w:rPr>
          <w:rtl w:val="true"/>
        </w:rPr>
        <w:t>מטעמים אלה</w:t>
      </w:r>
      <w:r>
        <w:rPr>
          <w:rtl w:val="true"/>
        </w:rPr>
        <w:t xml:space="preserve">, </w:t>
      </w:r>
      <w:r>
        <w:rPr>
          <w:rtl w:val="true"/>
        </w:rPr>
        <w:t>קבע בית המשפט כי ממצאיו של וייס מספקים חיזוק משמעותי לעדויות אשר נמסרו על ידי עדי הראייה</w:t>
      </w:r>
      <w:r>
        <w:rPr>
          <w:rtl w:val="true"/>
        </w:rPr>
        <w:t xml:space="preserve">: </w:t>
      </w:r>
      <w:r>
        <w:rPr>
          <w:rtl w:val="true"/>
        </w:rPr>
        <w:t>קרן</w:t>
      </w:r>
      <w:r>
        <w:rPr>
          <w:rtl w:val="true"/>
        </w:rPr>
        <w:t xml:space="preserve">, </w:t>
      </w:r>
      <w:r>
        <w:rPr>
          <w:rtl w:val="true"/>
        </w:rPr>
        <w:t>מיטל</w:t>
      </w:r>
      <w:r>
        <w:rPr>
          <w:rtl w:val="true"/>
        </w:rPr>
        <w:t xml:space="preserve">, </w:t>
      </w:r>
      <w:r>
        <w:rPr>
          <w:rtl w:val="true"/>
        </w:rPr>
        <w:t>רפאל</w:t>
      </w:r>
      <w:r>
        <w:rPr>
          <w:rtl w:val="true"/>
        </w:rPr>
        <w:t xml:space="preserve">, </w:t>
      </w:r>
      <w:r>
        <w:rPr>
          <w:rtl w:val="true"/>
        </w:rPr>
        <w:t>בת חן ואלעד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tl w:val="true"/>
        </w:rPr>
        <w:t>עדויותיהם של עדי הראייה</w:t>
      </w:r>
      <w:r>
        <w:rPr>
          <w:rtl w:val="true"/>
        </w:rPr>
        <w:t xml:space="preserve">, </w:t>
      </w:r>
      <w:r>
        <w:rPr>
          <w:rtl w:val="true"/>
        </w:rPr>
        <w:t>שעל בסיסן השתית בית משפט קמא את הרשעתו של המערער</w:t>
      </w:r>
      <w:r>
        <w:rPr>
          <w:rtl w:val="true"/>
        </w:rPr>
        <w:t xml:space="preserve">, </w:t>
      </w:r>
      <w:r>
        <w:rPr>
          <w:rtl w:val="true"/>
        </w:rPr>
        <w:t>אינן זקוקות לחיזוקים בהיבט המהותי</w:t>
      </w:r>
      <w:r>
        <w:rPr>
          <w:rtl w:val="true"/>
        </w:rPr>
        <w:t xml:space="preserve">, </w:t>
      </w:r>
      <w:r>
        <w:rPr>
          <w:rtl w:val="true"/>
        </w:rPr>
        <w:t>ובוודאי לא בהיבט הפורמלי של דיני הראיות</w:t>
      </w:r>
      <w:r>
        <w:rPr>
          <w:rtl w:val="true"/>
        </w:rPr>
        <w:t xml:space="preserve">. </w:t>
      </w:r>
      <w:r>
        <w:rPr>
          <w:rtl w:val="true"/>
        </w:rPr>
        <w:t>מדובר בעדויות שאין כל מקום לפקפק באמינותן</w:t>
      </w:r>
      <w:r>
        <w:rPr>
          <w:rtl w:val="true"/>
        </w:rPr>
        <w:t xml:space="preserve">; </w:t>
      </w:r>
      <w:r>
        <w:rPr>
          <w:rtl w:val="true"/>
        </w:rPr>
        <w:t>ומי שעדיין רוצה לחפש להן חיזוק ימצאוֹ בקלות בשקרי המערער</w:t>
      </w:r>
      <w:r>
        <w:rPr>
          <w:rtl w:val="true"/>
        </w:rPr>
        <w:t xml:space="preserve">, </w:t>
      </w:r>
      <w:r>
        <w:rPr>
          <w:rtl w:val="true"/>
        </w:rPr>
        <w:t xml:space="preserve">שכאמור היו שקרים מהותיים אשר נועדו להרחיק את המערער מהאחריות לתאונה שגרם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5864/19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97</w:t>
      </w:r>
      <w:r>
        <w:rPr>
          <w:rtl w:val="true"/>
        </w:rPr>
        <w:t xml:space="preserve"> </w:t>
      </w:r>
      <w:r>
        <w:rPr>
          <w:rtl w:val="true"/>
        </w:rPr>
        <w:t xml:space="preserve">לפסק דיני והאסמכתאות שם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</w:t>
      </w:r>
      <w:r>
        <w:rPr/>
        <w:t>8</w:t>
      </w:r>
      <w:r>
        <w:rPr/>
        <w:t>.2021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וכן </w:t>
      </w:r>
      <w:hyperlink r:id="rId65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4342/97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נא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736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802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1998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הרבה מעבר לנדרש</w:t>
      </w:r>
      <w:r>
        <w:rPr>
          <w:rtl w:val="true"/>
        </w:rPr>
        <w:t xml:space="preserve">, </w:t>
      </w:r>
      <w:r>
        <w:rPr>
          <w:rtl w:val="true"/>
        </w:rPr>
        <w:t>אציין כי ממילא לא מצאתי מקום להתערב בהחלטתו של בית משפט קמא לבכר את עדותו וחוות דעתו של וייס על פני אלו של וייסמן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spacing w:before="0" w:after="280"/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: </w:t>
      </w:r>
      <w:r>
        <w:rPr>
          <w:rtl w:val="true"/>
        </w:rPr>
        <w:t>הרשעת המערער בגרימת מוות בקלות דעת ובעבירות נוספות בהן הוא נמצא אשם עומדת על יסודות איתנים</w:t>
      </w:r>
      <w:r>
        <w:rPr>
          <w:rtl w:val="true"/>
        </w:rPr>
        <w:t xml:space="preserve">. </w:t>
      </w:r>
      <w:r>
        <w:rPr>
          <w:rtl w:val="true"/>
        </w:rPr>
        <w:t>אציע אפוא לחבריי לדחות את הערעור על ההרשעה</w:t>
      </w:r>
      <w:r>
        <w:rPr>
          <w:rtl w:val="true"/>
        </w:rPr>
        <w:t xml:space="preserve">, </w:t>
      </w:r>
      <w:r>
        <w:rPr>
          <w:rtl w:val="true"/>
        </w:rPr>
        <w:t xml:space="preserve">בכפוף להחלפתו של </w:t>
      </w:r>
      <w:hyperlink r:id="rId6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כאחד מסעיפי ההרשעה</w:t>
      </w:r>
      <w:r>
        <w:rPr>
          <w:rtl w:val="true"/>
        </w:rPr>
        <w:t xml:space="preserve">, </w:t>
      </w:r>
      <w:hyperlink r:id="rId68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>כמצויין לעיל</w:t>
      </w:r>
      <w:r>
        <w:rPr>
          <w:rtl w:val="true"/>
        </w:rPr>
        <w:t>.</w:t>
      </w:r>
    </w:p>
    <w:p>
      <w:pPr>
        <w:pStyle w:val="Ruller4"/>
        <w:spacing w:before="28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</w:p>
    <w:p>
      <w:pPr>
        <w:pStyle w:val="Ruller41"/>
        <w:numPr>
          <w:ilvl w:val="0"/>
          <w:numId w:val="1"/>
        </w:numPr>
        <w:spacing w:before="280" w:after="240"/>
        <w:ind w:hanging="0" w:start="0" w:end="0"/>
        <w:jc w:val="both"/>
        <w:rPr/>
      </w:pPr>
      <w:r>
        <w:rPr>
          <w:rtl w:val="true"/>
        </w:rPr>
        <w:t xml:space="preserve">המערער מבקש מאתנו לקצר באופן משמעותי את תקופת מאסרו </w:t>
      </w:r>
      <w:r>
        <w:rPr>
          <w:rtl w:val="true"/>
        </w:rPr>
        <w:t>"</w:t>
      </w:r>
      <w:r>
        <w:rPr>
          <w:rtl w:val="true"/>
        </w:rPr>
        <w:t>תוך הוספת עונש פסילה במקביל</w:t>
      </w:r>
      <w:r>
        <w:rPr>
          <w:rtl w:val="true"/>
        </w:rPr>
        <w:t xml:space="preserve">". </w:t>
      </w:r>
      <w:r>
        <w:rPr>
          <w:rtl w:val="true"/>
        </w:rPr>
        <w:t>לבקשה זו אין בידינו להיענות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tl w:val="true"/>
        </w:rPr>
        <w:t>המערער נסע ברכבו בהיותו שיכור</w:t>
      </w:r>
      <w:r>
        <w:rPr>
          <w:rtl w:val="true"/>
        </w:rPr>
        <w:t xml:space="preserve">, </w:t>
      </w:r>
      <w:r>
        <w:rPr>
          <w:rtl w:val="true"/>
        </w:rPr>
        <w:t>חצה צומת באור אדום</w:t>
      </w:r>
      <w:r>
        <w:rPr>
          <w:rtl w:val="true"/>
        </w:rPr>
        <w:t xml:space="preserve">, </w:t>
      </w:r>
      <w:r>
        <w:rPr>
          <w:rtl w:val="true"/>
        </w:rPr>
        <w:t>הביא להתנגשות רכבו עם רכב אחר</w:t>
      </w:r>
      <w:r>
        <w:rPr>
          <w:rtl w:val="true"/>
        </w:rPr>
        <w:t xml:space="preserve">, </w:t>
      </w:r>
      <w:r>
        <w:rPr>
          <w:rtl w:val="true"/>
        </w:rPr>
        <w:t>בו נסעו חמישה אנשים</w:t>
      </w:r>
      <w:r>
        <w:rPr>
          <w:rtl w:val="true"/>
        </w:rPr>
        <w:t xml:space="preserve">, </w:t>
      </w:r>
      <w:r>
        <w:rPr>
          <w:rtl w:val="true"/>
        </w:rPr>
        <w:t>ועל ידי כך גרם למותו של אחד מהם ופצע את יתר הנוסעים באורח קשה</w:t>
      </w:r>
      <w:r>
        <w:rPr>
          <w:rtl w:val="true"/>
        </w:rPr>
        <w:t xml:space="preserve">, </w:t>
      </w:r>
      <w:r>
        <w:rPr>
          <w:rtl w:val="true"/>
        </w:rPr>
        <w:t>בינוני וקל</w:t>
      </w:r>
      <w:r>
        <w:rPr>
          <w:rtl w:val="true"/>
        </w:rPr>
        <w:t xml:space="preserve">. </w:t>
      </w:r>
      <w:r>
        <w:rPr>
          <w:rtl w:val="true"/>
        </w:rPr>
        <w:t>במציאות העגומה של קטל בכבישים</w:t>
      </w:r>
      <w:r>
        <w:rPr>
          <w:rtl w:val="true"/>
        </w:rPr>
        <w:t xml:space="preserve">, </w:t>
      </w:r>
      <w:r>
        <w:rPr>
          <w:rtl w:val="true"/>
        </w:rPr>
        <w:t xml:space="preserve">שבה אנו חיים </w:t>
      </w:r>
      <w:r>
        <w:rPr>
          <w:rtl w:val="true"/>
        </w:rPr>
        <w:t>"</w:t>
      </w:r>
      <w:r>
        <w:rPr>
          <w:rtl w:val="true"/>
        </w:rPr>
        <w:t>בזכותם</w:t>
      </w:r>
      <w:r>
        <w:rPr>
          <w:rtl w:val="true"/>
        </w:rPr>
        <w:t xml:space="preserve">" </w:t>
      </w:r>
      <w:r>
        <w:rPr>
          <w:rtl w:val="true"/>
        </w:rPr>
        <w:t>של נהגים פורעי</w:t>
      </w:r>
      <w:r>
        <w:rPr>
          <w:rtl w:val="true"/>
        </w:rPr>
        <w:t>-</w:t>
      </w:r>
      <w:r>
        <w:rPr>
          <w:rtl w:val="true"/>
        </w:rPr>
        <w:t>חוק כדוגמת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העונש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 לריצוי בפועל</w:t>
      </w:r>
      <w:r>
        <w:rPr>
          <w:rtl w:val="true"/>
        </w:rPr>
        <w:t xml:space="preserve">, </w:t>
      </w:r>
      <w:r>
        <w:rPr>
          <w:rtl w:val="true"/>
        </w:rPr>
        <w:t>שבית משפט קמא השית על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הוא עונש מקל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1894/14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13.1.2015</w:t>
      </w:r>
      <w:r>
        <w:rPr>
          <w:rtl w:val="true"/>
        </w:rPr>
        <w:t xml:space="preserve">), </w:t>
      </w:r>
      <w:r>
        <w:rPr>
          <w:rtl w:val="true"/>
        </w:rPr>
        <w:t>מקרה בו נגזרו על הנאשם</w:t>
      </w:r>
      <w:r>
        <w:rPr>
          <w:rtl w:val="true"/>
        </w:rPr>
        <w:t xml:space="preserve">, </w:t>
      </w:r>
      <w:r>
        <w:rPr>
          <w:rtl w:val="true"/>
        </w:rPr>
        <w:t>בנסיבות הדומות למקרה דכאן</w:t>
      </w:r>
      <w:r>
        <w:rPr>
          <w:rtl w:val="true"/>
        </w:rPr>
        <w:t xml:space="preserve">,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1"/>
        </w:numPr>
        <w:spacing w:before="0" w:after="280"/>
        <w:ind w:hanging="0" w:start="0" w:end="0"/>
        <w:jc w:val="both"/>
        <w:rPr/>
      </w:pPr>
      <w:r>
        <w:rPr>
          <w:rtl w:val="true"/>
        </w:rPr>
        <w:t>בגזרו עונש זה על המערער</w:t>
      </w:r>
      <w:r>
        <w:rPr>
          <w:rtl w:val="true"/>
        </w:rPr>
        <w:t xml:space="preserve">, </w:t>
      </w:r>
      <w:r>
        <w:rPr>
          <w:rtl w:val="true"/>
        </w:rPr>
        <w:t>בית המשפט התחשב בגילו</w:t>
      </w:r>
      <w:r>
        <w:rPr>
          <w:rtl w:val="true"/>
        </w:rPr>
        <w:t xml:space="preserve">, </w:t>
      </w:r>
      <w:r>
        <w:rPr>
          <w:rtl w:val="true"/>
        </w:rPr>
        <w:t>במצבו הבריאותי ובשאר נסיבות חייו הלא פשוטות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התחשבות זו היתה במקומה אילו המערער היה מודה במיוחס לו</w:t>
      </w:r>
      <w:r>
        <w:rPr>
          <w:rtl w:val="true"/>
        </w:rPr>
        <w:t xml:space="preserve">, </w:t>
      </w:r>
      <w:r>
        <w:rPr>
          <w:rtl w:val="true"/>
        </w:rPr>
        <w:t>מביע חרטה אמיתית על מעשיו</w:t>
      </w:r>
      <w:r>
        <w:rPr>
          <w:rtl w:val="true"/>
        </w:rPr>
        <w:t xml:space="preserve">, </w:t>
      </w:r>
      <w:r>
        <w:rPr>
          <w:rtl w:val="true"/>
        </w:rPr>
        <w:t>ומבקש רחמים</w:t>
      </w:r>
      <w:r>
        <w:rPr>
          <w:rtl w:val="true"/>
        </w:rPr>
        <w:t xml:space="preserve">. </w:t>
      </w:r>
      <w:r>
        <w:rPr>
          <w:rtl w:val="true"/>
        </w:rPr>
        <w:t xml:space="preserve">בגדרו של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7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שמסדיר את דרכי הענישה</w:t>
      </w:r>
      <w:r>
        <w:rPr>
          <w:rtl w:val="true"/>
        </w:rPr>
        <w:t xml:space="preserve">, </w:t>
      </w:r>
      <w:r>
        <w:rPr>
          <w:rtl w:val="true"/>
        </w:rPr>
        <w:t>שערי הרחמים אינם ננעלים לעולם</w:t>
      </w:r>
      <w:r>
        <w:rPr>
          <w:rtl w:val="true"/>
        </w:rPr>
        <w:t xml:space="preserve">, </w:t>
      </w:r>
      <w:r>
        <w:rPr>
          <w:rtl w:val="true"/>
        </w:rPr>
        <w:t xml:space="preserve">אולם נאשם שמבקש להיכנס לתוך שערים אלו צריך להרוויח </w:t>
      </w:r>
      <w:r>
        <w:rPr>
          <w:rtl w:val="true"/>
        </w:rPr>
        <w:t>–</w:t>
      </w:r>
      <w:r>
        <w:rPr>
          <w:rtl w:val="true"/>
        </w:rPr>
        <w:t xml:space="preserve"> ביושר </w:t>
      </w:r>
      <w:r>
        <w:rPr>
          <w:rtl w:val="true"/>
        </w:rPr>
        <w:t>–</w:t>
      </w:r>
      <w:r>
        <w:rPr>
          <w:rtl w:val="true"/>
        </w:rPr>
        <w:t xml:space="preserve"> את כרטיס הכניסה</w:t>
      </w:r>
      <w:r>
        <w:rPr>
          <w:rtl w:val="true"/>
        </w:rPr>
        <w:t xml:space="preserve">. </w:t>
      </w:r>
      <w:r>
        <w:rPr>
          <w:rtl w:val="true"/>
        </w:rPr>
        <w:t>כרטיס זה לא יכול להינתן לנאשם אשר אינו מודה במיוחס לו בעמדו מול חומת הראיות המפלילות</w:t>
      </w:r>
      <w:r>
        <w:rPr>
          <w:rtl w:val="true"/>
        </w:rPr>
        <w:t xml:space="preserve">, </w:t>
      </w:r>
      <w:r>
        <w:rPr>
          <w:rtl w:val="true"/>
        </w:rPr>
        <w:t>שכולן אמינות לעילא ולעילא</w:t>
      </w:r>
      <w:r>
        <w:rPr>
          <w:rtl w:val="true"/>
        </w:rPr>
        <w:t xml:space="preserve">, </w:t>
      </w:r>
      <w:r>
        <w:rPr>
          <w:rtl w:val="true"/>
        </w:rPr>
        <w:t>אינו מביע חרטה על מעשיו</w:t>
      </w:r>
      <w:r>
        <w:rPr>
          <w:rtl w:val="true"/>
        </w:rPr>
        <w:t xml:space="preserve">, </w:t>
      </w:r>
      <w:r>
        <w:rPr>
          <w:rtl w:val="true"/>
        </w:rPr>
        <w:t xml:space="preserve">ואף מגדיל לעשות בבוחרו להאשים את עדי התביעה </w:t>
      </w:r>
      <w:r>
        <w:rPr>
          <w:rtl w:val="true"/>
        </w:rPr>
        <w:t>–</w:t>
      </w:r>
      <w:r>
        <w:rPr>
          <w:rtl w:val="true"/>
        </w:rPr>
        <w:t xml:space="preserve"> בתוכם קורבנות התאונה שנגרמה על ידו </w:t>
      </w:r>
      <w:r>
        <w:rPr>
          <w:rtl w:val="true"/>
        </w:rPr>
        <w:t>–</w:t>
      </w:r>
      <w:r>
        <w:rPr>
          <w:rtl w:val="true"/>
        </w:rPr>
        <w:t xml:space="preserve"> במתן עדות שקר</w:t>
      </w:r>
      <w:r>
        <w:rPr>
          <w:rtl w:val="true"/>
        </w:rPr>
        <w:t xml:space="preserve">. </w:t>
      </w:r>
      <w:r>
        <w:rPr>
          <w:rtl w:val="true"/>
        </w:rPr>
        <w:t xml:space="preserve">כפי שקבע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 ב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6193/20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זכאי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25.3.2021</w:t>
      </w:r>
      <w:r>
        <w:rPr>
          <w:rtl w:val="true"/>
        </w:rPr>
        <w:t>)‏‏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קוטל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וקורע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מרהיב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בניסיונות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לחמוק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יבוא</w:t>
      </w:r>
      <w:r>
        <w:rPr>
          <w:rtl w:val="true"/>
        </w:rPr>
        <w:t xml:space="preserve">; </w:t>
      </w:r>
      <w:r>
        <w:rPr>
          <w:rtl w:val="true"/>
        </w:rPr>
        <w:t>וכשיבוא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[...]"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spacing w:before="280" w:after="240"/>
        <w:ind w:hanging="0" w:start="0" w:end="0"/>
        <w:jc w:val="both"/>
        <w:rPr/>
      </w:pPr>
      <w:r>
        <w:rPr>
          <w:rtl w:val="true"/>
        </w:rPr>
        <w:t>באין ערעור המדינה על קולת העונש</w:t>
      </w:r>
      <w:r>
        <w:rPr>
          <w:rtl w:val="true"/>
        </w:rPr>
        <w:t xml:space="preserve">, </w:t>
      </w:r>
      <w:r>
        <w:rPr>
          <w:rtl w:val="true"/>
        </w:rPr>
        <w:t xml:space="preserve">אין בידינו להחמיר את עונשו של המערער ולהאריך את תקופת מאסרו בכלא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7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).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לאור העובדה שהמערער ראוי היה לעונש חמור יותר מזה שנגזר עליו</w:t>
      </w:r>
      <w:r>
        <w:rPr>
          <w:rtl w:val="true"/>
        </w:rPr>
        <w:t xml:space="preserve">, </w:t>
      </w:r>
      <w:r>
        <w:rPr>
          <w:rtl w:val="true"/>
        </w:rPr>
        <w:t>לא נוכל לשעות לבקשתו להתחשבות נוספת בנסיבות חייו</w:t>
      </w:r>
      <w:r>
        <w:rPr>
          <w:rtl w:val="true"/>
        </w:rPr>
        <w:t xml:space="preserve">, </w:t>
      </w:r>
      <w:r>
        <w:rPr>
          <w:rtl w:val="true"/>
        </w:rPr>
        <w:t>למרות שאלו אינן פשוטות כלל ועיקר</w:t>
      </w:r>
      <w:r>
        <w:rPr>
          <w:rtl w:val="true"/>
        </w:rPr>
        <w:t xml:space="preserve">, </w:t>
      </w:r>
      <w:r>
        <w:rPr>
          <w:rtl w:val="true"/>
        </w:rPr>
        <w:t>ואני רחוק מלהקל בהן ראש</w:t>
      </w:r>
      <w:r>
        <w:rPr>
          <w:rtl w:val="true"/>
        </w:rPr>
        <w:t xml:space="preserve">. </w:t>
      </w:r>
      <w:r>
        <w:rPr>
          <w:rtl w:val="true"/>
        </w:rPr>
        <w:t>אוסיף ואציין כי למערער עבר פלילי מכביד</w:t>
      </w:r>
      <w:r>
        <w:rPr>
          <w:rtl w:val="true"/>
        </w:rPr>
        <w:t xml:space="preserve">, </w:t>
      </w:r>
      <w:r>
        <w:rPr>
          <w:rtl w:val="true"/>
        </w:rPr>
        <w:t>אשר כולל בתוכו עבירות תעבורה רבות</w:t>
      </w:r>
      <w:r>
        <w:rPr>
          <w:rtl w:val="true"/>
        </w:rPr>
        <w:t xml:space="preserve">, </w:t>
      </w:r>
      <w:r>
        <w:rPr>
          <w:rtl w:val="true"/>
        </w:rPr>
        <w:t>וכי התסקיר העדכני אודותיו</w:t>
      </w:r>
      <w:r>
        <w:rPr>
          <w:rtl w:val="true"/>
        </w:rPr>
        <w:t xml:space="preserve">, </w:t>
      </w:r>
      <w:r>
        <w:rPr>
          <w:rtl w:val="true"/>
        </w:rPr>
        <w:t>ששירות המבחן הגיש לעיוננו</w:t>
      </w:r>
      <w:r>
        <w:rPr>
          <w:rtl w:val="true"/>
        </w:rPr>
        <w:t xml:space="preserve">, </w:t>
      </w:r>
      <w:r>
        <w:rPr>
          <w:rtl w:val="true"/>
        </w:rPr>
        <w:t>ממילא אינו ממליץ על הקלה בעונשו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tl w:val="true"/>
        </w:rPr>
        <w:t>אוסיף ואציין כי תאונות דרכים קשות בכבישי ישראל אשר נגרמות על ידי נהגים קלי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פזיזים ובלתי זהירים הן בגדר מכת מדינה</w:t>
      </w:r>
      <w:r>
        <w:rPr>
          <w:rtl w:val="true"/>
        </w:rPr>
        <w:t xml:space="preserve">. </w:t>
      </w:r>
      <w:r>
        <w:rPr>
          <w:rtl w:val="true"/>
        </w:rPr>
        <w:t>מסיבה זאת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על בתי המשפט לדאוג למיצוי דין מלא עם העבריין מבלי להתחשב בנסיבותיו האישיות</w:t>
      </w:r>
      <w:r>
        <w:rPr>
          <w:rtl w:val="true"/>
        </w:rPr>
        <w:t xml:space="preserve">, </w:t>
      </w:r>
      <w:r>
        <w:rPr>
          <w:rtl w:val="true"/>
        </w:rPr>
        <w:t>שאם לא כן</w:t>
      </w:r>
      <w:r>
        <w:rPr>
          <w:rtl w:val="true"/>
        </w:rPr>
        <w:t xml:space="preserve">, </w:t>
      </w:r>
      <w:r>
        <w:rPr>
          <w:rtl w:val="true"/>
        </w:rPr>
        <w:t>לא נשיג ולא נקיים את הרתעת הרבים</w:t>
      </w:r>
      <w:r>
        <w:rPr>
          <w:rtl w:val="true"/>
        </w:rPr>
        <w:t xml:space="preserve">. </w:t>
      </w:r>
      <w:r>
        <w:rPr>
          <w:rtl w:val="true"/>
        </w:rPr>
        <w:t>ענישתם של עברייני תנועה שנהיגתם הפרועה והבלתי מתחשבת בזולת גורמת לתאונת דרכים קשה היא בגדר משחק</w:t>
      </w:r>
      <w:r>
        <w:rPr>
          <w:rtl w:val="true"/>
        </w:rPr>
        <w:t>-</w:t>
      </w:r>
      <w:r>
        <w:rPr>
          <w:rtl w:val="true"/>
        </w:rPr>
        <w:t>סכום</w:t>
      </w:r>
      <w:r>
        <w:rPr>
          <w:rtl w:val="true"/>
        </w:rPr>
        <w:t>-</w:t>
      </w:r>
      <w:r>
        <w:rPr>
          <w:rtl w:val="true"/>
        </w:rPr>
        <w:t>אפס</w:t>
      </w:r>
      <w:r>
        <w:rPr>
          <w:rtl w:val="true"/>
        </w:rPr>
        <w:t xml:space="preserve">: </w:t>
      </w:r>
      <w:r>
        <w:rPr>
          <w:rtl w:val="true"/>
        </w:rPr>
        <w:t xml:space="preserve">בית משפט שמרחם על העבריין אינו מרחם על הקורבן הבא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4802/18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 xml:space="preserve">לפסק דיני והאסמכתאות שם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</w:t>
      </w:r>
      <w:r>
        <w:rPr/>
        <w:t>1</w:t>
      </w:r>
      <w:r>
        <w:rPr/>
        <w:t>.2019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7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4802/18</w:t>
        </w:r>
      </w:hyperlink>
      <w:r>
        <w:rPr>
          <w:rtl w:val="true"/>
        </w:rPr>
        <w:t xml:space="preserve">)). </w:t>
      </w:r>
      <w:r>
        <w:rPr>
          <w:rtl w:val="true"/>
        </w:rPr>
        <w:t>הקלה בעונשיהם של עבריינים כאלה אף עלולה לפחת ולהוזיל את ערכם המוסרי של נפגעי התאונות הקשות</w:t>
      </w:r>
      <w:r>
        <w:rPr>
          <w:rtl w:val="true"/>
        </w:rPr>
        <w:t xml:space="preserve">, </w:t>
      </w:r>
      <w:r>
        <w:rPr>
          <w:rtl w:val="true"/>
        </w:rPr>
        <w:t xml:space="preserve">שאותו אנו מצווים לשקם ולהעמיד על מכונו על ידי הטלת עונשים אשר הולמים את חומרת העבירה ואינם נמצאים מתחתיה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7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4802/18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והאסמכתאות שם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>מנקודת ראות זו</w:t>
      </w:r>
      <w:r>
        <w:rPr>
          <w:rtl w:val="true"/>
        </w:rPr>
        <w:t xml:space="preserve">, </w:t>
      </w:r>
      <w:r>
        <w:rPr>
          <w:rtl w:val="true"/>
        </w:rPr>
        <w:t>עונש שראוי היה להטיל על המערער דכאן צריך היה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 xml:space="preserve">להגיע לכדי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לריצוי בפועל בהתחשב במכלול העבירות שהלה ביצע</w:t>
      </w:r>
      <w:r>
        <w:rPr>
          <w:rtl w:val="true"/>
        </w:rPr>
        <w:t xml:space="preserve">, </w:t>
      </w:r>
      <w:r>
        <w:rPr>
          <w:rtl w:val="true"/>
        </w:rPr>
        <w:t>בנסיבות ביצוען ובתוצאותיהן הקשות</w:t>
      </w:r>
      <w:r>
        <w:rPr>
          <w:rtl w:val="true"/>
        </w:rPr>
        <w:t xml:space="preserve">. </w:t>
      </w:r>
      <w:r>
        <w:rPr>
          <w:rtl w:val="true"/>
        </w:rPr>
        <w:t>כפי שכבר ציינתי</w:t>
      </w:r>
      <w:r>
        <w:rPr>
          <w:rtl w:val="true"/>
        </w:rPr>
        <w:t xml:space="preserve">, </w:t>
      </w:r>
      <w:r>
        <w:rPr>
          <w:rtl w:val="true"/>
        </w:rPr>
        <w:t>באין ערעור מטעם המדינה</w:t>
      </w:r>
      <w:r>
        <w:rPr>
          <w:rtl w:val="true"/>
        </w:rPr>
        <w:t xml:space="preserve">, </w:t>
      </w:r>
      <w:r>
        <w:rPr>
          <w:rtl w:val="true"/>
        </w:rPr>
        <w:t>לא נוכל להחמיר בעונשו של המערער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עלינו להעביר מסר חד וברור לפורעי החוק בכבישי ישראל כי נדאג להענישם בחומרה ולא נטה אוזן קשבת לבקשות רחמים</w:t>
      </w:r>
      <w:r>
        <w:rPr>
          <w:rtl w:val="true"/>
        </w:rPr>
        <w:t xml:space="preserve">. </w:t>
      </w:r>
      <w:r>
        <w:rPr>
          <w:rtl w:val="true"/>
        </w:rPr>
        <w:t>כמו כן עלינו להעביר למשפחתה של נופר רווח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אישה צעירה אשר מצאה את מותה בתאונה המזעזעת מעשה</w:t>
      </w:r>
      <w:r>
        <w:rPr>
          <w:rtl w:val="true"/>
        </w:rPr>
        <w:t>-</w:t>
      </w:r>
      <w:r>
        <w:rPr>
          <w:rtl w:val="true"/>
        </w:rPr>
        <w:t>ידיו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וכן </w:t>
      </w:r>
      <w:r>
        <w:rPr>
          <w:rFonts w:ascii="Calibri" w:hAnsi="Calibri" w:cs="Calibri"/>
          <w:rtl w:val="true"/>
        </w:rPr>
        <w:t>לקארין טביב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מיטל יעיש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לבת חן ששון</w:t>
      </w:r>
      <w:r>
        <w:rPr>
          <w:rtl w:val="true"/>
        </w:rPr>
        <w:t xml:space="preserve"> ול</w:t>
      </w:r>
      <w:r>
        <w:rPr>
          <w:rFonts w:ascii="Calibri" w:hAnsi="Calibri" w:cs="Calibri"/>
          <w:rtl w:val="true"/>
        </w:rPr>
        <w:t>אלעד אוקנינו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אשר נפצעו בתאונה זו </w:t>
      </w:r>
      <w:r>
        <w:rPr>
          <w:rtl w:val="true"/>
        </w:rPr>
        <w:t>–</w:t>
      </w:r>
      <w:r>
        <w:rPr>
          <w:rtl w:val="true"/>
        </w:rPr>
        <w:t xml:space="preserve"> מסר חד וברור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זעקתכם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זעקתנו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1"/>
        </w:numPr>
        <w:spacing w:before="0" w:after="280"/>
        <w:ind w:hanging="0" w:start="0" w:end="0"/>
        <w:jc w:val="both"/>
        <w:rPr/>
      </w:pPr>
      <w:r>
        <w:rPr>
          <w:rtl w:val="true"/>
        </w:rPr>
        <w:t>סבורני אפוא כי עלינו לדחות גם את ערעורו של המערער על העונש שהושת עליו</w:t>
      </w:r>
      <w:r>
        <w:rPr>
          <w:rtl w:val="true"/>
        </w:rPr>
        <w:t xml:space="preserve">. </w:t>
      </w:r>
      <w:r>
        <w:rPr>
          <w:rtl w:val="true"/>
        </w:rPr>
        <w:t>אציין בקצרה כי סכום הפיצויים אותו חויב המערער לשלם לנפגעי העבירה הינו סביר לחלוטין</w:t>
      </w:r>
      <w:r>
        <w:rPr>
          <w:rtl w:val="true"/>
        </w:rPr>
        <w:t xml:space="preserve">;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המערער לא העלה ביחס אליו השגות מפורשות במסגרת ערעורו</w:t>
      </w:r>
      <w:r>
        <w:rPr>
          <w:rtl w:val="true"/>
        </w:rPr>
        <w:t>.</w:t>
      </w:r>
    </w:p>
    <w:p>
      <w:pPr>
        <w:pStyle w:val="Ruller4"/>
        <w:spacing w:before="28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spacing w:before="28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numPr>
          <w:ilvl w:val="0"/>
          <w:numId w:val="1"/>
        </w:numPr>
        <w:spacing w:before="280" w:after="280"/>
        <w:ind w:hanging="0" w:start="0" w:end="0"/>
        <w:jc w:val="both"/>
        <w:rPr/>
      </w:pPr>
      <w:r>
        <w:rPr>
          <w:rtl w:val="true"/>
        </w:rPr>
        <w:t>מהטעמים שמניתי לעיל</w:t>
      </w:r>
      <w:r>
        <w:rPr>
          <w:rtl w:val="true"/>
        </w:rPr>
        <w:t xml:space="preserve">, </w:t>
      </w:r>
      <w:r>
        <w:rPr>
          <w:rtl w:val="true"/>
        </w:rPr>
        <w:t>הנני מציע לחבריי כי נדחה את הערעור שלפנינו על כל חלקיו</w:t>
      </w:r>
      <w:r>
        <w:rPr>
          <w:rtl w:val="true"/>
        </w:rPr>
        <w:t xml:space="preserve">, </w:t>
      </w:r>
      <w:r>
        <w:rPr>
          <w:rtl w:val="true"/>
        </w:rPr>
        <w:t xml:space="preserve">בכפוף להחלפתו של </w:t>
      </w:r>
      <w:hyperlink r:id="rId7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כסעיף ההרשעה בגרימת מותה של </w:t>
      </w:r>
      <w:r>
        <w:rPr>
          <w:rFonts w:ascii="Calibri" w:hAnsi="Calibri" w:cs="Calibri"/>
          <w:rtl w:val="true"/>
        </w:rPr>
        <w:t>נופר רווח ז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hyperlink r:id="rId79">
        <w:r>
          <w:rPr>
            <w:rStyle w:val="Hyperlink"/>
            <w:rFonts w:ascii="Calibri" w:hAnsi="Calibri" w:cs="Calibri"/>
            <w:rtl w:val="true"/>
          </w:rPr>
          <w:t>בסעיף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301</w:t>
        </w:r>
        <w:r>
          <w:rPr>
            <w:rStyle w:val="Hyperlink"/>
            <w:rFonts w:ascii="Calibri" w:hAnsi="Calibri" w:cs="Calibri"/>
            <w:rtl w:val="true"/>
          </w:rPr>
          <w:t>ג</w:t>
        </w:r>
      </w:hyperlink>
      <w:r>
        <w:rPr>
          <w:rFonts w:ascii="Calibri" w:hAnsi="Calibri" w:cs="Calibri"/>
          <w:rtl w:val="true"/>
        </w:rPr>
        <w:t xml:space="preserve"> לחוק</w:t>
      </w:r>
      <w:r>
        <w:rPr>
          <w:rFonts w:cs="Calibri" w:ascii="Calibri" w:hAnsi="Calibri"/>
          <w:rtl w:val="true"/>
        </w:rPr>
        <w:t>.</w:t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bookmarkStart w:id="16" w:name="Writer_Name"/>
      <w:bookmarkEnd w:id="16"/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Miriam"/>
          <w:sz w:val="24"/>
          <w:sz w:val="24"/>
          <w:szCs w:val="24"/>
          <w:u w:val="single"/>
          <w:rtl w:val="true"/>
        </w:rPr>
        <w:t>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כנפי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שטיי</w:t>
      </w:r>
      <w:r>
        <w:rPr>
          <w:rFonts w:cs="Miriam"/>
          <w:sz w:val="24"/>
          <w:sz w:val="24"/>
          <w:szCs w:val="24"/>
          <w:u w:val="single"/>
          <w:rtl w:val="true"/>
        </w:rPr>
        <w:t>ניץ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18.5.2023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22057360</w:t>
      </w:r>
      <w:r>
        <w:rPr>
          <w:sz w:val="16"/>
          <w:rtl w:val="true"/>
        </w:rPr>
        <w:t>_</w:t>
      </w:r>
      <w:r>
        <w:rPr>
          <w:sz w:val="16"/>
        </w:rPr>
        <w:t>F12.docx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עט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0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54678313-5736/22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8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82"/>
      <w:footerReference w:type="default" r:id="rId8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5736/22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מוחיי אלדין עסאספה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David" w:hAnsi="David" w:cs="David"/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ListParagraph">
    <w:name w:val="List Paragraph"/>
    <w:basedOn w:val="Normal"/>
    <w:qFormat/>
    <w:pPr>
      <w:overflowPunct w:val="true"/>
      <w:autoSpaceDE w:val="true"/>
      <w:spacing w:lineRule="auto" w:line="254" w:before="0" w:after="160"/>
      <w:ind w:hanging="0" w:start="720" w:end="0"/>
      <w:contextualSpacing/>
      <w:textAlignment w:val="auto"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034714%2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5" TargetMode="External"/><Relationship Id="rId5" Type="http://schemas.openxmlformats.org/officeDocument/2006/relationships/hyperlink" Target="http://www.nevo.co.il/law/70301/5.a" TargetMode="External"/><Relationship Id="rId6" Type="http://schemas.openxmlformats.org/officeDocument/2006/relationships/hyperlink" Target="http://www.nevo.co.il/law/70301/20.a" TargetMode="External"/><Relationship Id="rId7" Type="http://schemas.openxmlformats.org/officeDocument/2006/relationships/hyperlink" Target="http://www.nevo.co.il/law/70301/298" TargetMode="External"/><Relationship Id="rId8" Type="http://schemas.openxmlformats.org/officeDocument/2006/relationships/hyperlink" Target="http://www.nevo.co.il/law/70301/301c" TargetMode="External"/><Relationship Id="rId9" Type="http://schemas.openxmlformats.org/officeDocument/2006/relationships/hyperlink" Target="http://www.nevo.co.il/law/70301/333" TargetMode="External"/><Relationship Id="rId10" Type="http://schemas.openxmlformats.org/officeDocument/2006/relationships/hyperlink" Target="http://www.nevo.co.il/law/5227" TargetMode="External"/><Relationship Id="rId11" Type="http://schemas.openxmlformats.org/officeDocument/2006/relationships/hyperlink" Target="http://www.nevo.co.il/law/5227/62.2" TargetMode="External"/><Relationship Id="rId12" Type="http://schemas.openxmlformats.org/officeDocument/2006/relationships/hyperlink" Target="http://www.nevo.co.il/law/5227/64b.a.2" TargetMode="External"/><Relationship Id="rId13" Type="http://schemas.openxmlformats.org/officeDocument/2006/relationships/hyperlink" Target="http://www.nevo.co.il/law/5227/64b.a.3" TargetMode="External"/><Relationship Id="rId14" Type="http://schemas.openxmlformats.org/officeDocument/2006/relationships/hyperlink" Target="http://www.nevo.co.il/law/74903" TargetMode="External"/><Relationship Id="rId15" Type="http://schemas.openxmlformats.org/officeDocument/2006/relationships/hyperlink" Target="http://www.nevo.co.il/law/74903/217" TargetMode="External"/><Relationship Id="rId16" Type="http://schemas.openxmlformats.org/officeDocument/2006/relationships/hyperlink" Target="http://www.nevo.co.il/case/25034714" TargetMode="External"/><Relationship Id="rId17" Type="http://schemas.openxmlformats.org/officeDocument/2006/relationships/hyperlink" Target="http://www.nevo.co.il/law/70301/298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01c" TargetMode="External"/><Relationship Id="rId20" Type="http://schemas.openxmlformats.org/officeDocument/2006/relationships/hyperlink" Target="http://www.nevo.co.il/law/5227/62.2" TargetMode="External"/><Relationship Id="rId21" Type="http://schemas.openxmlformats.org/officeDocument/2006/relationships/hyperlink" Target="http://www.nevo.co.il/law/5227/64b.a.2" TargetMode="External"/><Relationship Id="rId22" Type="http://schemas.openxmlformats.org/officeDocument/2006/relationships/hyperlink" Target="http://www.nevo.co.il/law/5227/64b.a.3" TargetMode="External"/><Relationship Id="rId23" Type="http://schemas.openxmlformats.org/officeDocument/2006/relationships/hyperlink" Target="http://www.nevo.co.il/law/5227" TargetMode="External"/><Relationship Id="rId24" Type="http://schemas.openxmlformats.org/officeDocument/2006/relationships/hyperlink" Target="http://www.nevo.co.il/law/70301/333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298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301c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298" TargetMode="External"/><Relationship Id="rId31" Type="http://schemas.openxmlformats.org/officeDocument/2006/relationships/hyperlink" Target="http://www.nevo.co.il/law/70301/5.a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301c" TargetMode="External"/><Relationship Id="rId34" Type="http://schemas.openxmlformats.org/officeDocument/2006/relationships/hyperlink" Target="http://www.nevo.co.il/law/70301/5" TargetMode="External"/><Relationship Id="rId35" Type="http://schemas.openxmlformats.org/officeDocument/2006/relationships/hyperlink" Target="http://www.nevo.co.il/law/70301/301c" TargetMode="External"/><Relationship Id="rId36" Type="http://schemas.openxmlformats.org/officeDocument/2006/relationships/hyperlink" Target="http://www.nevo.co.il/law/70301/301c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301c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298" TargetMode="External"/><Relationship Id="rId41" Type="http://schemas.openxmlformats.org/officeDocument/2006/relationships/hyperlink" Target="http://www.nevo.co.il/law/70301/20.a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6124711" TargetMode="External"/><Relationship Id="rId44" Type="http://schemas.openxmlformats.org/officeDocument/2006/relationships/hyperlink" Target="http://www.nevo.co.il/law/70301/301c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26146667" TargetMode="External"/><Relationship Id="rId47" Type="http://schemas.openxmlformats.org/officeDocument/2006/relationships/hyperlink" Target="http://www.nevo.co.il/law/70301/301c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333" TargetMode="External"/><Relationship Id="rId50" Type="http://schemas.openxmlformats.org/officeDocument/2006/relationships/hyperlink" Target="http://www.nevo.co.il/law/70301/20.a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25768745" TargetMode="External"/><Relationship Id="rId53" Type="http://schemas.openxmlformats.org/officeDocument/2006/relationships/hyperlink" Target="http://www.nevo.co.il/law/70301/298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301c" TargetMode="External"/><Relationship Id="rId56" Type="http://schemas.openxmlformats.org/officeDocument/2006/relationships/hyperlink" Target="http://www.nevo.co.il/case/16995452" TargetMode="External"/><Relationship Id="rId57" Type="http://schemas.openxmlformats.org/officeDocument/2006/relationships/hyperlink" Target="http://www.nevo.co.il/case/17939843" TargetMode="External"/><Relationship Id="rId58" Type="http://schemas.openxmlformats.org/officeDocument/2006/relationships/hyperlink" Target="http://www.nevo.co.il/case/6151033" TargetMode="External"/><Relationship Id="rId59" Type="http://schemas.openxmlformats.org/officeDocument/2006/relationships/hyperlink" Target="http://www.nevo.co.il/case/5782008" TargetMode="External"/><Relationship Id="rId60" Type="http://schemas.openxmlformats.org/officeDocument/2006/relationships/hyperlink" Target="http://www.nevo.co.il/case/17916668" TargetMode="External"/><Relationship Id="rId61" Type="http://schemas.openxmlformats.org/officeDocument/2006/relationships/hyperlink" Target="http://www.nevo.co.il/case/17922331" TargetMode="External"/><Relationship Id="rId62" Type="http://schemas.openxmlformats.org/officeDocument/2006/relationships/hyperlink" Target="http://www.nevo.co.il/case/17918597" TargetMode="External"/><Relationship Id="rId63" Type="http://schemas.openxmlformats.org/officeDocument/2006/relationships/hyperlink" Target="http://www.nevo.co.il/case/5573732" TargetMode="External"/><Relationship Id="rId64" Type="http://schemas.openxmlformats.org/officeDocument/2006/relationships/hyperlink" Target="http://www.nevo.co.il/case/26019036" TargetMode="External"/><Relationship Id="rId65" Type="http://schemas.openxmlformats.org/officeDocument/2006/relationships/hyperlink" Target="http://www.nevo.co.il/case/5811601" TargetMode="External"/><Relationship Id="rId66" Type="http://schemas.openxmlformats.org/officeDocument/2006/relationships/hyperlink" Target="http://www.nevo.co.il/law/70301/298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/301c" TargetMode="External"/><Relationship Id="rId69" Type="http://schemas.openxmlformats.org/officeDocument/2006/relationships/hyperlink" Target="http://www.nevo.co.il/case/19999484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case/26978057" TargetMode="External"/><Relationship Id="rId72" Type="http://schemas.openxmlformats.org/officeDocument/2006/relationships/hyperlink" Target="http://www.nevo.co.il/law/74903/217" TargetMode="External"/><Relationship Id="rId73" Type="http://schemas.openxmlformats.org/officeDocument/2006/relationships/hyperlink" Target="http://www.nevo.co.il/law/74903" TargetMode="External"/><Relationship Id="rId74" Type="http://schemas.openxmlformats.org/officeDocument/2006/relationships/hyperlink" Target="http://www.nevo.co.il/case/24323669" TargetMode="External"/><Relationship Id="rId75" Type="http://schemas.openxmlformats.org/officeDocument/2006/relationships/hyperlink" Target="http://www.nevo.co.il/case/24323669" TargetMode="External"/><Relationship Id="rId76" Type="http://schemas.openxmlformats.org/officeDocument/2006/relationships/hyperlink" Target="http://www.nevo.co.il/case/24323669" TargetMode="External"/><Relationship Id="rId77" Type="http://schemas.openxmlformats.org/officeDocument/2006/relationships/hyperlink" Target="http://www.nevo.co.il/law/70301/298" TargetMode="External"/><Relationship Id="rId78" Type="http://schemas.openxmlformats.org/officeDocument/2006/relationships/hyperlink" Target="http://www.nevo.co.il/law/70301" TargetMode="External"/><Relationship Id="rId79" Type="http://schemas.openxmlformats.org/officeDocument/2006/relationships/hyperlink" Target="http://www.nevo.co.il/law/70301/301c" TargetMode="External"/><Relationship Id="rId80" Type="http://schemas.openxmlformats.org/officeDocument/2006/relationships/hyperlink" Target="https://supreme.court.gov.il/" TargetMode="External"/><Relationship Id="rId81" Type="http://schemas.openxmlformats.org/officeDocument/2006/relationships/hyperlink" Target="http://www.nevo.co.il/advertisements/nevo-100.doc" TargetMode="External"/><Relationship Id="rId82" Type="http://schemas.openxmlformats.org/officeDocument/2006/relationships/header" Target="header1.xml"/><Relationship Id="rId83" Type="http://schemas.openxmlformats.org/officeDocument/2006/relationships/footer" Target="footer1.xml"/><Relationship Id="rId84" Type="http://schemas.openxmlformats.org/officeDocument/2006/relationships/numbering" Target="numbering.xml"/><Relationship Id="rId85" Type="http://schemas.openxmlformats.org/officeDocument/2006/relationships/fontTable" Target="fontTable.xml"/><Relationship Id="rId86" Type="http://schemas.openxmlformats.org/officeDocument/2006/relationships/settings" Target="settings.xml"/><Relationship Id="rId8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2023-05-26T03:02:00Z</dcterms:created>
  <dc:creator>h4</dc:creator>
  <dc:description/>
  <cp:keywords/>
  <dc:language>en-IL</dc:language>
  <cp:lastModifiedBy>h1</cp:lastModifiedBy>
  <cp:lastPrinted>2023-05-18T16:02:00Z</cp:lastPrinted>
  <dcterms:modified xsi:type="dcterms:W3CDTF">2023-05-26T03:02:00Z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מוחיי אלדין עסאספה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25034714:2;6124711;26146667;25768745;16995452;17939843;6151033;5782008;17916668;17922331;17918597;5573732;26019036;5811601;19999484;26978057;24323669:3</vt:lpwstr>
  </property>
  <property fmtid="{D5CDD505-2E9C-101B-9397-08002B2CF9AE}" pid="9" name="CITY">
    <vt:lpwstr/>
  </property>
  <property fmtid="{D5CDD505-2E9C-101B-9397-08002B2CF9AE}" pid="10" name="DATE">
    <vt:lpwstr>20230518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אלרון;א' שטיין;ג' כנפי שטייניץ</vt:lpwstr>
  </property>
  <property fmtid="{D5CDD505-2E9C-101B-9397-08002B2CF9AE}" pid="14" name="LAWLISTTMP1">
    <vt:lpwstr>70301/298:7;301c:11;333:2;005.a;005;020.a:2</vt:lpwstr>
  </property>
  <property fmtid="{D5CDD505-2E9C-101B-9397-08002B2CF9AE}" pid="15" name="LAWLISTTMP2">
    <vt:lpwstr>5227/062.2;064b.a.2;064b.a.3</vt:lpwstr>
  </property>
  <property fmtid="{D5CDD505-2E9C-101B-9397-08002B2CF9AE}" pid="16" name="LAWLISTTMP3">
    <vt:lpwstr>74903/217</vt:lpwstr>
  </property>
  <property fmtid="{D5CDD505-2E9C-101B-9397-08002B2CF9AE}" pid="17" name="LAWYER">
    <vt:lpwstr>עודד ציון;דוד גולן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</vt:lpwstr>
  </property>
  <property fmtid="{D5CDD505-2E9C-101B-9397-08002B2CF9AE}" pid="39" name="NOSE21">
    <vt:lpwstr>עבירות</vt:lpwstr>
  </property>
  <property fmtid="{D5CDD505-2E9C-101B-9397-08002B2CF9AE}" pid="40" name="NOSE210">
    <vt:lpwstr/>
  </property>
  <property fmtid="{D5CDD505-2E9C-101B-9397-08002B2CF9AE}" pid="41" name="NOSE22">
    <vt:lpwstr>מחשבה פלילית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1443;1436;1446;1446</vt:lpwstr>
  </property>
  <property fmtid="{D5CDD505-2E9C-101B-9397-08002B2CF9AE}" pid="50" name="NOSE31">
    <vt:lpwstr>המתה בקלות דעת</vt:lpwstr>
  </property>
  <property fmtid="{D5CDD505-2E9C-101B-9397-08002B2CF9AE}" pid="51" name="NOSE310">
    <vt:lpwstr/>
  </property>
  <property fmtid="{D5CDD505-2E9C-101B-9397-08002B2CF9AE}" pid="52" name="NOSE32">
    <vt:lpwstr>קלות דעת</vt:lpwstr>
  </property>
  <property fmtid="{D5CDD505-2E9C-101B-9397-08002B2CF9AE}" pid="53" name="NOSE33">
    <vt:lpwstr>מדיניות ענישה: המתה בקלות דעת</vt:lpwstr>
  </property>
  <property fmtid="{D5CDD505-2E9C-101B-9397-08002B2CF9AE}" pid="54" name="NOSE34">
    <vt:lpwstr>מדיניות ענישה: תאונות דרכים</vt:lpwstr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18467;12613;18472;11753</vt:lpwstr>
  </property>
  <property fmtid="{D5CDD505-2E9C-101B-9397-08002B2CF9AE}" pid="61" name="PADIDATE">
    <vt:lpwstr>20230521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5736</vt:lpwstr>
  </property>
  <property fmtid="{D5CDD505-2E9C-101B-9397-08002B2CF9AE}" pid="67" name="PROCYEAR">
    <vt:lpwstr>22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410120230518</vt:lpwstr>
  </property>
  <property fmtid="{D5CDD505-2E9C-101B-9397-08002B2CF9AE}" pid="71" name="TYPE_N_DATE">
    <vt:lpwstr>41020230518</vt:lpwstr>
  </property>
  <property fmtid="{D5CDD505-2E9C-101B-9397-08002B2CF9AE}" pid="72" name="VOLUME">
    <vt:lpwstr/>
  </property>
  <property fmtid="{D5CDD505-2E9C-101B-9397-08002B2CF9AE}" pid="73" name="WORDNUMPAGES">
    <vt:lpwstr>17</vt:lpwstr>
  </property>
</Properties>
</file>