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5754/19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פריסיליה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קשתי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12276-04-16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ברנט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3854"/>
        <w:gridCol w:w="1279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8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13.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2020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27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3"/>
        <w:gridCol w:w="4"/>
        <w:gridCol w:w="5146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קנבל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ויליאמס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 דחה בעיקרו 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בגדרו הוטלו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על צעירה שהורשעה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 של גרימת מוות ברשלנות ובעבירה של הפקרה לאחר פגיעה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הורה על ביטולו של רכיב המאסר המותנה שהושת על המערערת בכל הנוגע לעבירת ההפקרה בלבד וזאת נוכח הוראות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הורה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לנכות מתקופת הפסילה בפועל שנקבעה בגזר הדין את תקופת הפסילה המנהלית והפסילה עד תום ההליכים וזאת ככל שרישיונה של המערערת היה מופקד במהלך תקופות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גרימת מוות בנהיגה רשלנית ‏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הפקרה לאחר פגיעה‏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תעבורה – עבירות – גרימת מוות בנהיגה רשלנית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תעבורה – עבירות – הפקרה לאחר פגיעה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מחוזי בו נגזרו על 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בעקבות הרשעתה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בעבירה של גרימת מוות ברשלנות ובעבירה של הפקרה לאחר פגיעה בנסיבות מחמירות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 למשך שלוש שנים לבל תעבור עבירה של הפקרה לאחר פגיעה או גרימת מוות ברשלנות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פסילת רישיון נהיגה למשך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מיום השחרור ממאסר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ופיצוי למשפחת המנוח בסך </w:t>
      </w:r>
      <w:r>
        <w:rPr>
          <w:rFonts w:cs="Times New Roman" w:ascii="Times New Roman" w:hAnsi="Times New Roman"/>
          <w:spacing w:val="0"/>
          <w:sz w:val="24"/>
          <w:szCs w:val="26"/>
        </w:rPr>
        <w:t>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עובדות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המערערת פגעה ברכבה בהולך רגל שחצה את הכביש במעבר החצייה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שידעה כי פגעה במנוח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עצרה את רכבה במקום התאונה כדי לעמוד על תוצאותיה ולא הזעיקה עזרה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כעבור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40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דקות דיווחה המערערת לרשויות על קרות 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 את הערעור בעיקרו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זו מדרכה של ערכאת הערעור להתערב בגזר הדין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למעט במקרים חריגים שבהם ניכר כי נפלה טעות מהותית בגזר הדין או מקום שהעונש שנגזר על ידה חורג באופן קיצוני ממדיניות הענישה הנוהגת או הראויה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חריגים אלו אינם מתקיימים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אחריותה של המערערת לגרימת התאונה ומותו של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מידת רשלנותה שתוארה על ידי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בדרגת רשלנות נמוכה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דריסת הולך הרגל בעיר על מעבר חצייה כאשר הוא הספיק לחצות את רוב מעבר החצייה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מדיניות הענישה הנוהגת בעבירות הפקרה בניגוד </w:t>
      </w:r>
      <w:hyperlink r:id="rId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64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התעבורה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שהעונש הקבוע בצידה הינו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מודעותה של המערערת לכך שעקב פגיעתה במנוח נגרמה לו חבלה חמורה או למצער עצמה עיניה באשר לכך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מתחם הענישה שנקבע על ידי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ועד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מנומק ומבוסס היטב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בנסיבות האירוע עצמו והן במדיניות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נימוק המצדיק התערבות בגזר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שבחר למקם את עונשה של המערערת בתחתיתו של המתחם שנקבע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בגילה הצעיר של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חייה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במצבה הנפשי בעקבות 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ובהבעת החרטה על מעשיה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הקשיים עמם מתמודדת המערערת במאסרה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צעירה נעדרת עבר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הינם מנת חלקו של כל אדם מן היישוב המוצא עצמו לראשונה בחייו מאחורי סורג 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עדיין אין אלה נסיבות חריגות המצדיקות הקלה והתחשבות נוספת בענישה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לזו שבה נקט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מעיון בתסקיר המשלים בעניינה של המערערת ולהבדיל מהתסקיר הקודם שהוגש בסמוך לגזר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 הביעה הצער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חרטה ואמפתיה למנוח ולמשפחתו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התסקיר המשלים מצביע על נסיגה בעמדת המערערת בקבלת אחריות על מעשיה ובקשיה לגלות אמפתיה למנוח ולבני משפחתו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כשהיא ממוקדת במחירים אותם היא נאלצת לשלם עקב הסתבכותה תוך הצגת עמדה קורבנית כשהיא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ממוקדת בכך שלא ידעה שפגעה בהולך רגל ולפיכך מתקשה לתפוס את עצמה כמי שהפקירה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 מול המחזה מכמיר הלב של צעירה בראשית דרכה בחיים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נעדרת עבר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העומדת בפני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לבושה במדי אסירה כשהיא ממררת בבכי ומבקשת הקלה 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להנכיח בענישה את קדושת חייו של קורבן מעשיה בהם פגעה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שעדיין מתקשה לראות את אחריותה להם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ולגלות כלפיו וכלפי בני משפחתו מידת אמפתיה ראויה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שהדבר נוגע לאורך תקופת המאסר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מקום להתערב בגזר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לרכיב המאסר המותנה שהוטל על המערערת בגין עבירת ההפקרה ולנוכח הוראת </w:t>
      </w:r>
      <w:hyperlink r:id="rId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64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התעבורה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על ביטולו של רכיב המאסר המותנה שהושת על המערערת בגזר הדין בכל הנוגע לעבירת ההפקרה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לרכיב פסילת רישיון הנהיגה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כי יש מקום לנכות מתקופת הפסילה בפועל שנקבעה בגזר הדין את תקופת הפסילה המנהלית והפסילה עד תום ההליכים וזאת ככל שרישיונה של המערערת היה מופקד במהלך תקופות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במזכירות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או במשרד הרישוי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במשטרת 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ברנט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12276-04-16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2.7.2019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;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14.12.2015</w:t>
      </w:r>
      <w:r>
        <w:rPr>
          <w:rtl w:val="true"/>
        </w:rPr>
        <w:t xml:space="preserve"> </w:t>
      </w:r>
      <w:r>
        <w:rPr>
          <w:rtl w:val="true"/>
        </w:rPr>
        <w:t xml:space="preserve">פגעה המערערת ברכבה בהולך רגל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אשר חצה את הכביש בכיוון נסיעתה על מעבר החצייה</w:t>
      </w:r>
      <w:r>
        <w:rPr>
          <w:rtl w:val="true"/>
        </w:rPr>
        <w:t xml:space="preserve">. </w:t>
      </w:r>
      <w:r>
        <w:rPr>
          <w:rtl w:val="true"/>
        </w:rPr>
        <w:t>המנוח הספיק לחצות כתשעה מטרים מרוחב הכביש עד לפגיעה בו</w:t>
      </w:r>
      <w:r>
        <w:rPr>
          <w:rtl w:val="true"/>
        </w:rPr>
        <w:t xml:space="preserve">. </w:t>
      </w:r>
      <w:r>
        <w:rPr>
          <w:rtl w:val="true"/>
        </w:rPr>
        <w:t>בעקבות התאונה</w:t>
      </w:r>
      <w:r>
        <w:rPr>
          <w:rtl w:val="true"/>
        </w:rPr>
        <w:t xml:space="preserve">, </w:t>
      </w:r>
      <w:r>
        <w:rPr>
          <w:rtl w:val="true"/>
        </w:rPr>
        <w:t>הוטח המנוח על שמשת הרכב ומשם אל הכביש</w:t>
      </w:r>
      <w:r>
        <w:rPr>
          <w:rtl w:val="true"/>
        </w:rPr>
        <w:t xml:space="preserve">. </w:t>
      </w:r>
      <w:r>
        <w:rPr>
          <w:rtl w:val="true"/>
        </w:rPr>
        <w:t>המנוח הובהל לבית החולים</w:t>
      </w:r>
      <w:r>
        <w:rPr>
          <w:rtl w:val="true"/>
        </w:rPr>
        <w:t xml:space="preserve">, </w:t>
      </w:r>
      <w:r>
        <w:rPr>
          <w:rtl w:val="true"/>
        </w:rPr>
        <w:t>וכעבור שלושה ימים נפטר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שידעה כי פגעה במנוח</w:t>
      </w:r>
      <w:r>
        <w:rPr>
          <w:rtl w:val="true"/>
        </w:rPr>
        <w:t xml:space="preserve">, </w:t>
      </w:r>
      <w:r>
        <w:rPr>
          <w:rtl w:val="true"/>
        </w:rPr>
        <w:t>לא עצרה את רכבה במקום התאונה כדי לעמוד על תוצאותיה ולא הזעיקה עזרה</w:t>
      </w:r>
      <w:r>
        <w:rPr>
          <w:rtl w:val="true"/>
        </w:rPr>
        <w:t xml:space="preserve">. </w:t>
      </w:r>
      <w:r>
        <w:rPr>
          <w:rtl w:val="true"/>
        </w:rPr>
        <w:t>כעבור כ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דקות דיווחה המערערת לרשויות על קרות התאונה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ניהול הליך הוכחות</w:t>
      </w:r>
      <w:r>
        <w:rPr>
          <w:rtl w:val="true"/>
        </w:rPr>
        <w:t xml:space="preserve">, </w:t>
      </w:r>
      <w:r>
        <w:rPr>
          <w:rtl w:val="true"/>
        </w:rPr>
        <w:t>הורשעה המערערת בעבירה של גרימת מוות ברשלנות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>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התעבורה</w:t>
      </w:r>
      <w:r>
        <w:rPr>
          <w:rtl w:val="true"/>
        </w:rPr>
        <w:t xml:space="preserve">), </w:t>
      </w:r>
      <w:r>
        <w:rPr>
          <w:rtl w:val="true"/>
        </w:rPr>
        <w:t>ובעבירה של הפקרה לאחר פגיעה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התעבורה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עמד בית משפט קמא על הערכים החברתיים המוגנים שנפגעו כתוצאה מביצוע העבירות</w:t>
      </w:r>
      <w:r>
        <w:rPr>
          <w:rtl w:val="true"/>
        </w:rPr>
        <w:t xml:space="preserve">, </w:t>
      </w:r>
      <w:r>
        <w:rPr>
          <w:rtl w:val="true"/>
        </w:rPr>
        <w:t>ביניהם פגיעה בערך חיי אדם</w:t>
      </w:r>
      <w:r>
        <w:rPr>
          <w:rtl w:val="true"/>
        </w:rPr>
        <w:t xml:space="preserve">, </w:t>
      </w:r>
      <w:r>
        <w:rPr>
          <w:rtl w:val="true"/>
        </w:rPr>
        <w:t>על כך שמעשיה של המערערת ראויים לגינוי מוסרי וחברתי</w:t>
      </w:r>
      <w:r>
        <w:rPr>
          <w:rtl w:val="true"/>
        </w:rPr>
        <w:t xml:space="preserve">, </w:t>
      </w:r>
      <w:r>
        <w:rPr>
          <w:rtl w:val="true"/>
        </w:rPr>
        <w:t>וכי מפסיקת בית משפט זה עולה כי יש להחמיר את הענישה עם אלו המפקירים אדם לאחר פגיעה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ובהתחשב בנסיבות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העמיד בית משפט קמא את מתחם הענישה בגין שתי העבירות בהן הורשעה המערערת מ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ועד 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, </w:t>
      </w:r>
      <w:r>
        <w:rPr>
          <w:rtl w:val="true"/>
        </w:rPr>
        <w:t>ולצד זאת רכיבי ענישה נוספים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התחשב בית המשפט לקולא בגילה הצעיר של המערערת</w:t>
      </w:r>
      <w:r>
        <w:rPr>
          <w:rtl w:val="true"/>
        </w:rPr>
        <w:t xml:space="preserve">; </w:t>
      </w:r>
      <w:r>
        <w:rPr>
          <w:rtl w:val="true"/>
        </w:rPr>
        <w:t>בחרטה ובצער שהביעה על מעשיה</w:t>
      </w:r>
      <w:r>
        <w:rPr>
          <w:rtl w:val="true"/>
        </w:rPr>
        <w:t xml:space="preserve">; </w:t>
      </w:r>
      <w:r>
        <w:rPr>
          <w:rtl w:val="true"/>
        </w:rPr>
        <w:t>במצבה הנפשי הקשה בעקבות התאונה</w:t>
      </w:r>
      <w:r>
        <w:rPr>
          <w:rtl w:val="true"/>
        </w:rPr>
        <w:t xml:space="preserve">; </w:t>
      </w:r>
      <w:r>
        <w:rPr>
          <w:rtl w:val="true"/>
        </w:rPr>
        <w:t>ובנסיבות חייה כעולה מתסקיר שירות המבחן ומחוות דעת רפואית שהוגשו בעניינה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קבע בית המשפט כי חרף הנסיבות המקלות</w:t>
      </w:r>
      <w:r>
        <w:rPr>
          <w:rtl w:val="true"/>
        </w:rPr>
        <w:t xml:space="preserve">, </w:t>
      </w:r>
      <w:r>
        <w:rPr>
          <w:rtl w:val="true"/>
        </w:rPr>
        <w:t>אין להסתפק בהטלת עונש מאסר שירוצה על דרך של עבודות שירות</w:t>
      </w:r>
      <w:r>
        <w:rPr>
          <w:rtl w:val="true"/>
        </w:rPr>
        <w:t xml:space="preserve">, </w:t>
      </w:r>
      <w:r>
        <w:rPr>
          <w:rtl w:val="true"/>
        </w:rPr>
        <w:t>ויש להטיל עונש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זאת בהתחשב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בפסיקתו של בית משפט זה ביחס לנסיבות אישיות ייחודיות במקרים דומים</w:t>
      </w:r>
      <w:r>
        <w:rPr>
          <w:rtl w:val="true"/>
        </w:rPr>
        <w:t xml:space="preserve">. </w:t>
      </w: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>גזר בית המשפט על המערערת את העונשים כמפורט בפתח פסק דין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לעונש המאסר</w:t>
      </w:r>
      <w:r>
        <w:rPr>
          <w:rtl w:val="true"/>
        </w:rPr>
        <w:t xml:space="preserve">, </w:t>
      </w:r>
      <w:r>
        <w:rPr>
          <w:rtl w:val="true"/>
        </w:rPr>
        <w:t>טענה המערערת כי מתחם הענישה שקבע בית משפט קמא מחמיר יתר על המידה ביחס למדיניות הענישה הנוהגת במקרים דומים</w:t>
      </w:r>
      <w:r>
        <w:rPr>
          <w:rtl w:val="true"/>
        </w:rPr>
        <w:t xml:space="preserve">. </w:t>
      </w:r>
      <w:r>
        <w:rPr>
          <w:rtl w:val="true"/>
        </w:rPr>
        <w:t>עוד טענה המערערת כי בית משפט קמא שגה משלא העניק משקל הולם למצבה הנפשי המורכב</w:t>
      </w:r>
      <w:r>
        <w:rPr>
          <w:rtl w:val="true"/>
        </w:rPr>
        <w:t xml:space="preserve">, </w:t>
      </w:r>
      <w:r>
        <w:rPr>
          <w:rtl w:val="true"/>
        </w:rPr>
        <w:t>כעולה מחוות הדעת שהוגשה בעניינה ומהעדויות השונות שנשמעו בעניין זה</w:t>
      </w:r>
      <w:r>
        <w:rPr>
          <w:rtl w:val="true"/>
        </w:rPr>
        <w:t xml:space="preserve">, </w:t>
      </w:r>
      <w:r>
        <w:rPr>
          <w:rtl w:val="true"/>
        </w:rPr>
        <w:t>ולנסיבותיה האישיות</w:t>
      </w:r>
      <w:r>
        <w:rPr>
          <w:rtl w:val="true"/>
        </w:rPr>
        <w:t xml:space="preserve">, </w:t>
      </w:r>
      <w:r>
        <w:rPr>
          <w:rtl w:val="true"/>
        </w:rPr>
        <w:t>וביניהן העדר עבר פלילי ותעבורתי</w:t>
      </w:r>
      <w:r>
        <w:rPr>
          <w:rtl w:val="true"/>
        </w:rPr>
        <w:t xml:space="preserve">, </w:t>
      </w:r>
      <w:r>
        <w:rPr>
          <w:rtl w:val="true"/>
        </w:rPr>
        <w:t>ולעובדה שהשלימה לימודי משפטים במהלך תקופת המשפט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טענה המערערת כי לא ניתן משקל מספק לאמור בתסקיר שירות המבחן שהוגש לבית משפט קמא</w:t>
      </w:r>
      <w:r>
        <w:rPr>
          <w:rtl w:val="true"/>
        </w:rPr>
        <w:t xml:space="preserve">, </w:t>
      </w:r>
      <w:r>
        <w:rPr>
          <w:rtl w:val="true"/>
        </w:rPr>
        <w:t>ממנו עולה כי נטלה אחריות למעשיה</w:t>
      </w:r>
      <w:r>
        <w:rPr>
          <w:rtl w:val="true"/>
        </w:rPr>
        <w:t xml:space="preserve">; </w:t>
      </w:r>
      <w:r>
        <w:rPr>
          <w:rtl w:val="true"/>
        </w:rPr>
        <w:t>כי התאונה השפיעה על מצבה הנפשי</w:t>
      </w:r>
      <w:r>
        <w:rPr>
          <w:rtl w:val="true"/>
        </w:rPr>
        <w:t xml:space="preserve">; </w:t>
      </w:r>
      <w:r>
        <w:rPr>
          <w:rtl w:val="true"/>
        </w:rPr>
        <w:t>כי היא זקוקה לטיפול אינטנסיבי וכי תתקשה להתמודד עם תנאי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עוד נטען כי לא ניתן משקל הולם בגזר הדין לכך שהמערערת לקחה אחריות על מעשיה כבר מהרגע הראשון</w:t>
      </w:r>
      <w:r>
        <w:rPr>
          <w:rtl w:val="true"/>
        </w:rPr>
        <w:t xml:space="preserve">, </w:t>
      </w:r>
      <w:r>
        <w:rPr>
          <w:rtl w:val="true"/>
        </w:rPr>
        <w:t>דיווחה על קרות התאונה לאחר כ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דקות והגיעה לתחנת המשטרה מיוזמתה</w:t>
      </w:r>
      <w:r>
        <w:rPr>
          <w:rtl w:val="true"/>
        </w:rPr>
        <w:t xml:space="preserve">, </w:t>
      </w:r>
      <w:r>
        <w:rPr>
          <w:rtl w:val="true"/>
        </w:rPr>
        <w:t>וכן לכך שכוחות ההצלה הגיעו בתוך כדקה למקום התאונה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טענה המערערת כי יש לחרוג בעניינה ממתחם הענישה ולהעמיד את עונש המאסר כך שזה ירוצה על דרך של עבודות שירות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לרכיב פסילת רישיון הנהיגה</w:t>
      </w:r>
      <w:r>
        <w:rPr>
          <w:rtl w:val="true"/>
        </w:rPr>
        <w:t xml:space="preserve">, </w:t>
      </w:r>
      <w:r>
        <w:rPr>
          <w:rtl w:val="true"/>
        </w:rPr>
        <w:t>טענה המערערת כי משהסכימה שרישיונה יפסל עד תום ההליכים נגדה</w:t>
      </w:r>
      <w:r>
        <w:rPr>
          <w:rtl w:val="true"/>
        </w:rPr>
        <w:t xml:space="preserve">, </w:t>
      </w:r>
      <w:r>
        <w:rPr>
          <w:rtl w:val="true"/>
        </w:rPr>
        <w:t>פרק זמן של למעלה משלוש שנים</w:t>
      </w:r>
      <w:r>
        <w:rPr>
          <w:rtl w:val="true"/>
        </w:rPr>
        <w:t xml:space="preserve">, </w:t>
      </w:r>
      <w:r>
        <w:rPr>
          <w:rtl w:val="true"/>
        </w:rPr>
        <w:t>היה מקום להורות כי פרק זמן זה</w:t>
      </w:r>
      <w:r>
        <w:rPr>
          <w:rtl w:val="true"/>
        </w:rPr>
        <w:t xml:space="preserve">, </w:t>
      </w:r>
      <w:r>
        <w:rPr>
          <w:rtl w:val="true"/>
        </w:rPr>
        <w:t>בצירוף תקופת הפסילה המנהלית</w:t>
      </w:r>
      <w:r>
        <w:rPr>
          <w:rtl w:val="true"/>
        </w:rPr>
        <w:t xml:space="preserve">, </w:t>
      </w:r>
      <w:r>
        <w:rPr>
          <w:rtl w:val="true"/>
        </w:rPr>
        <w:t>ינוכה מתקופת הפסילה שגזר בית משפט קמא</w:t>
      </w:r>
      <w:r>
        <w:rPr>
          <w:rtl w:val="true"/>
        </w:rPr>
        <w:t xml:space="preserve">. </w:t>
      </w:r>
      <w:r>
        <w:rPr>
          <w:rtl w:val="true"/>
        </w:rPr>
        <w:t>אשר לרכיב המאסר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טענה המערערת כי בהתאם </w:t>
      </w:r>
      <w:hyperlink r:id="rId1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לא היה מקום לגזור עליה מאסר על תנאי מקום שנגזר עליה מאסר בפועל</w:t>
      </w:r>
      <w:r>
        <w:rPr>
          <w:rtl w:val="true"/>
        </w:rPr>
        <w:t xml:space="preserve">.     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המשלים</w:t>
      </w:r>
      <w:r>
        <w:rPr>
          <w:rtl w:val="true"/>
        </w:rPr>
        <w:t xml:space="preserve">),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מצדה</w:t>
      </w:r>
      <w:r>
        <w:rPr>
          <w:rtl w:val="true"/>
        </w:rPr>
        <w:t xml:space="preserve">, </w:t>
      </w:r>
      <w:r>
        <w:rPr>
          <w:rtl w:val="true"/>
        </w:rPr>
        <w:t>בקושי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ובקשיים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 טענה באת כוח המדינה כי יש לדחות את הערעור משאין מקום להפחית מעונש המאסר שנגזר על המערערת</w:t>
      </w:r>
      <w:r>
        <w:rPr>
          <w:rtl w:val="true"/>
        </w:rPr>
        <w:t xml:space="preserve">. </w:t>
      </w:r>
      <w:r>
        <w:rPr>
          <w:rtl w:val="true"/>
        </w:rPr>
        <w:t xml:space="preserve">נטען כי דרגת רשלנותה של המערערת </w:t>
      </w:r>
      <w:r>
        <w:rPr>
          <w:rtl w:val="true"/>
        </w:rPr>
        <w:t>"</w:t>
      </w:r>
      <w:r>
        <w:rPr>
          <w:rtl w:val="true"/>
        </w:rPr>
        <w:t>אינה ברף הנמוך</w:t>
      </w:r>
      <w:r>
        <w:rPr>
          <w:rtl w:val="true"/>
        </w:rPr>
        <w:t xml:space="preserve">", </w:t>
      </w:r>
      <w:r>
        <w:rPr>
          <w:rtl w:val="true"/>
        </w:rPr>
        <w:t>בין היתר בהתחשב בכך שפגעה בהולך רגל במעבר חצייה</w:t>
      </w:r>
      <w:r>
        <w:rPr>
          <w:rtl w:val="true"/>
        </w:rPr>
        <w:t xml:space="preserve">, </w:t>
      </w:r>
      <w:r>
        <w:rPr>
          <w:rtl w:val="true"/>
        </w:rPr>
        <w:t>וכי בית משפט קמא קבע מפורשות שהמערערת ידעה כי פגעה באדם שנגרמה לו חבלה חמורה</w:t>
      </w:r>
      <w:r>
        <w:rPr>
          <w:rtl w:val="true"/>
        </w:rPr>
        <w:t xml:space="preserve">, </w:t>
      </w:r>
      <w:r>
        <w:rPr>
          <w:rtl w:val="true"/>
        </w:rPr>
        <w:t>וחרף זאת</w:t>
      </w:r>
      <w:r>
        <w:rPr>
          <w:rtl w:val="true"/>
        </w:rPr>
        <w:t xml:space="preserve">, </w:t>
      </w:r>
      <w:r>
        <w:rPr>
          <w:rtl w:val="true"/>
        </w:rPr>
        <w:t>המשיכה בנסיעתה</w:t>
      </w:r>
      <w:r>
        <w:rPr>
          <w:rtl w:val="true"/>
        </w:rPr>
        <w:t xml:space="preserve">. </w:t>
      </w:r>
      <w:r>
        <w:rPr>
          <w:rtl w:val="true"/>
        </w:rPr>
        <w:t>עוד עמדה באת כוח המדינה על כך שנטילת האחריות על ידי המערערת מוגבלת ושהיא מתקשה לגלות אמפתיה כלפי המנוח ומשפחתו</w:t>
      </w:r>
      <w:r>
        <w:rPr>
          <w:rtl w:val="true"/>
        </w:rPr>
        <w:t xml:space="preserve">, </w:t>
      </w:r>
      <w:r>
        <w:rPr>
          <w:rtl w:val="true"/>
        </w:rPr>
        <w:t>כעולה מהתסקיר המשלים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ששמענו את טענות הצדדים בערעור</w:t>
      </w:r>
      <w:r>
        <w:rPr>
          <w:rtl w:val="true"/>
        </w:rPr>
        <w:t xml:space="preserve">, </w:t>
      </w:r>
      <w:r>
        <w:rPr>
          <w:rtl w:val="true"/>
        </w:rPr>
        <w:t>עיינו בנימוקי הערעור על נספחיו וקראנו את גזר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כמו גם את תסקיר שירות המבחן המשלים וכן את הפסיקה אליה הפנו באי כוח הצדדים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דין הערעור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 זו מדרכה של ערכאת הערעור להתערב בגזר הדין של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למעט במקרים חריגים שבהם ניכר כי נפלה טעות מהותית בגזר הדין או מקום שהעונש שנגזר על ידה חורג באופן קיצוני ממדיניות הענישה הנוהגת או הראויה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4731/19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3.10.2019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מסארוה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2.11.2017</w:t>
      </w:r>
      <w:r>
        <w:rPr>
          <w:rtl w:val="true"/>
        </w:rPr>
        <w:t xml:space="preserve">)). </w:t>
      </w:r>
      <w:r>
        <w:rPr>
          <w:rtl w:val="true"/>
        </w:rPr>
        <w:t>כפי שיבואר להלן</w:t>
      </w:r>
      <w:r>
        <w:rPr>
          <w:rtl w:val="true"/>
        </w:rPr>
        <w:t xml:space="preserve">, </w:t>
      </w:r>
      <w:r>
        <w:rPr>
          <w:rtl w:val="true"/>
        </w:rPr>
        <w:t>איננו סבורים כי העונש שנגזר על המערערת חורג ממדיניות הענישה הנוהגת או הראויה בנסיבות העניין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אחריותה של המערערת לגרימת התאונה ומותו של המנוח</w:t>
      </w:r>
      <w:r>
        <w:rPr>
          <w:rtl w:val="true"/>
        </w:rPr>
        <w:t xml:space="preserve">; </w:t>
      </w:r>
      <w:r>
        <w:rPr>
          <w:rtl w:val="true"/>
        </w:rPr>
        <w:t>מידת רשלנותה שתוארה על ידי בית משפט קמא ש</w:t>
      </w:r>
      <w:r>
        <w:rPr>
          <w:rtl w:val="true"/>
        </w:rPr>
        <w:t>"</w:t>
      </w:r>
      <w:r>
        <w:rPr>
          <w:rtl w:val="true"/>
        </w:rPr>
        <w:t>אינה בדרגת רשלנות נמוכה</w:t>
      </w:r>
      <w:r>
        <w:rPr>
          <w:rtl w:val="true"/>
        </w:rPr>
        <w:t xml:space="preserve">, </w:t>
      </w:r>
      <w:r>
        <w:rPr>
          <w:rtl w:val="true"/>
        </w:rPr>
        <w:t>דריסת הולך הרגל בעיר על מעבר חצייה כאשר הוא הספיק לחצות את רוב מעבר החצייה</w:t>
      </w:r>
      <w:r>
        <w:rPr>
          <w:rtl w:val="true"/>
        </w:rPr>
        <w:t xml:space="preserve">"; </w:t>
      </w:r>
      <w:r>
        <w:rPr>
          <w:rtl w:val="true"/>
        </w:rPr>
        <w:t xml:space="preserve">מדיניות הענישה הנוהגת בעבירות הפקרה בניגוד </w:t>
      </w:r>
      <w:hyperlink r:id="rId1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שהעונש הקבוע בצידה הינו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>מודעותה של המערערת לכך שעקב פגיעתה במנוח נגרמה לו חבלה חמורה או למצער עצמה עיניה באשר לכך</w:t>
      </w:r>
      <w:r>
        <w:rPr>
          <w:rtl w:val="true"/>
        </w:rPr>
        <w:t xml:space="preserve">, </w:t>
      </w:r>
      <w:r>
        <w:rPr>
          <w:rtl w:val="true"/>
        </w:rPr>
        <w:t>אנו סבורים כי מתחם הענישה שנקבע על ידי בית משפט קמא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 ועד 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מנומק ומבוסס היטב</w:t>
      </w:r>
      <w:r>
        <w:rPr>
          <w:rtl w:val="true"/>
        </w:rPr>
        <w:t xml:space="preserve">, </w:t>
      </w:r>
      <w:r>
        <w:rPr>
          <w:rtl w:val="true"/>
        </w:rPr>
        <w:t>הן בנסיבות האירוע עצמו והן במדיניות הענישה הנוהגת אותה פירט בית משפט בגזר דינו</w:t>
      </w:r>
      <w:r>
        <w:rPr>
          <w:rtl w:val="true"/>
        </w:rPr>
        <w:t xml:space="preserve">, </w:t>
      </w:r>
      <w:r>
        <w:rPr>
          <w:rtl w:val="true"/>
        </w:rPr>
        <w:t>ואיננו מוצאים מקום להתערב בו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מצאנו בנימוקי הערעור הכתובים ובטיעונים בעל פה שנשמעו לפנינו נימוק המצדיק התערבותנו בגזר דינו של בית משפט קמא שבחר למקם את עונשה של המערערת בתחתיתו של המתחם שנקבע</w:t>
      </w:r>
      <w:r>
        <w:rPr>
          <w:rtl w:val="true"/>
        </w:rPr>
        <w:t xml:space="preserve">, </w:t>
      </w:r>
      <w:r>
        <w:rPr>
          <w:rtl w:val="true"/>
        </w:rPr>
        <w:t>בהתחשב בגילה הצעיר של המערערת</w:t>
      </w:r>
      <w:r>
        <w:rPr>
          <w:rtl w:val="true"/>
        </w:rPr>
        <w:t xml:space="preserve">; </w:t>
      </w:r>
      <w:r>
        <w:rPr>
          <w:rtl w:val="true"/>
        </w:rPr>
        <w:t>בנסיבות חייה</w:t>
      </w:r>
      <w:r>
        <w:rPr>
          <w:rtl w:val="true"/>
        </w:rPr>
        <w:t xml:space="preserve">; </w:t>
      </w:r>
      <w:r>
        <w:rPr>
          <w:rtl w:val="true"/>
        </w:rPr>
        <w:t>במצבה הנפשי בעקבות התאונה</w:t>
      </w:r>
      <w:r>
        <w:rPr>
          <w:rtl w:val="true"/>
        </w:rPr>
        <w:t xml:space="preserve">; </w:t>
      </w:r>
      <w:r>
        <w:rPr>
          <w:rtl w:val="true"/>
        </w:rPr>
        <w:t>ובהבעת החרטה על מעשיה</w:t>
      </w:r>
      <w:r>
        <w:rPr>
          <w:rtl w:val="true"/>
        </w:rPr>
        <w:t xml:space="preserve">. </w:t>
      </w:r>
      <w:r>
        <w:rPr>
          <w:rtl w:val="true"/>
        </w:rPr>
        <w:t>הקשיים עמם מתמודדת המערערת במאסרה</w:t>
      </w:r>
      <w:r>
        <w:rPr>
          <w:rtl w:val="true"/>
        </w:rPr>
        <w:t xml:space="preserve">, </w:t>
      </w:r>
      <w:r>
        <w:rPr>
          <w:rtl w:val="true"/>
        </w:rPr>
        <w:t>צעירה נעדרת עבר פלילי</w:t>
      </w:r>
      <w:r>
        <w:rPr>
          <w:rtl w:val="true"/>
        </w:rPr>
        <w:t xml:space="preserve">, </w:t>
      </w:r>
      <w:r>
        <w:rPr>
          <w:rtl w:val="true"/>
        </w:rPr>
        <w:t>הינם מנת חלקו של כל אדם מן היישוב המוצא עצמו לראשונה בחייו מאחורי סורג ובריח בסביבה קשה שאינו מורגל אליה</w:t>
      </w:r>
      <w:r>
        <w:rPr>
          <w:rtl w:val="true"/>
        </w:rPr>
        <w:t xml:space="preserve">, </w:t>
      </w:r>
      <w:r>
        <w:rPr>
          <w:rtl w:val="true"/>
        </w:rPr>
        <w:t>על אחת כמה וכמה צעירה</w:t>
      </w:r>
      <w:r>
        <w:rPr>
          <w:rtl w:val="true"/>
        </w:rPr>
        <w:t xml:space="preserve">, </w:t>
      </w:r>
      <w:r>
        <w:rPr>
          <w:rtl w:val="true"/>
        </w:rPr>
        <w:t>כמו המערערת כאן</w:t>
      </w:r>
      <w:r>
        <w:rPr>
          <w:rtl w:val="true"/>
        </w:rPr>
        <w:t xml:space="preserve">. </w:t>
      </w:r>
      <w:r>
        <w:rPr>
          <w:rtl w:val="true"/>
        </w:rPr>
        <w:t>עדיין אין אלה נסיבות חריגות המצדיקות הקלה והתחשבות נוספת בענישה</w:t>
      </w:r>
      <w:r>
        <w:rPr>
          <w:rtl w:val="true"/>
        </w:rPr>
        <w:t xml:space="preserve">, </w:t>
      </w:r>
      <w:r>
        <w:rPr>
          <w:rtl w:val="true"/>
        </w:rPr>
        <w:t>מעבר לזו שבה נקט בית 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בכך נבדל ענייננו מעניינו של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18.12.2019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rtl w:val="true"/>
        </w:rPr>
        <w:t xml:space="preserve">), </w:t>
      </w:r>
      <w:r>
        <w:rPr>
          <w:rtl w:val="true"/>
        </w:rPr>
        <w:t>אליו הפנה בא כוח המערערת</w:t>
      </w:r>
      <w:r>
        <w:rPr>
          <w:rtl w:val="true"/>
        </w:rPr>
        <w:t xml:space="preserve">, </w:t>
      </w:r>
      <w:r>
        <w:rPr>
          <w:rtl w:val="true"/>
        </w:rPr>
        <w:t xml:space="preserve">שם מצא בית משפט זה לציין כי </w:t>
      </w:r>
      <w:r>
        <w:rPr>
          <w:rtl w:val="true"/>
        </w:rPr>
        <w:t>"</w:t>
      </w:r>
      <w:r>
        <w:rPr>
          <w:rtl w:val="true"/>
        </w:rPr>
        <w:t>בענייננו נראה כי אכן קיימות נסיבות ייחודיות המטות את הכף לטובת חריגה מסוימת ממתחם הענישה לצורך הקלה בעונשו של המערער</w:t>
      </w:r>
      <w:r>
        <w:rPr>
          <w:rtl w:val="true"/>
        </w:rPr>
        <w:t xml:space="preserve">...", </w:t>
      </w:r>
      <w:r>
        <w:rPr>
          <w:rtl w:val="true"/>
        </w:rPr>
        <w:t>מה גם שבענייננו המערערת הורשעה בנוסף לעבירת ההפקרה גם בעבירה של גרימת מוות בנהיגה רשלנית</w:t>
      </w:r>
      <w:r>
        <w:rPr>
          <w:rtl w:val="true"/>
        </w:rPr>
        <w:t xml:space="preserve">, </w:t>
      </w:r>
      <w:r>
        <w:rPr>
          <w:rtl w:val="true"/>
        </w:rPr>
        <w:t xml:space="preserve">בשונה מעניינו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rtl w:val="true"/>
        </w:rPr>
        <w:t xml:space="preserve">, </w:t>
      </w:r>
      <w:r>
        <w:rPr>
          <w:rtl w:val="true"/>
        </w:rPr>
        <w:t>שלא הורשע בעבירה של גרימת מוות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 כוח המערערת בפתח טיעוניו לפנינו חזר והדגיש כי המערערת נוטלת אחריות על מעשיה ומביעה עליהם צער עמוק</w:t>
      </w:r>
      <w:r>
        <w:rPr>
          <w:rtl w:val="true"/>
        </w:rPr>
        <w:t xml:space="preserve">, </w:t>
      </w:r>
      <w:r>
        <w:rPr>
          <w:rtl w:val="true"/>
        </w:rPr>
        <w:t>אלא שמעיון בתסקיר המשלים שהוגש בעניינה של המערערת</w:t>
      </w:r>
      <w:r>
        <w:rPr>
          <w:rtl w:val="true"/>
        </w:rPr>
        <w:t xml:space="preserve">, </w:t>
      </w:r>
      <w:r>
        <w:rPr>
          <w:rtl w:val="true"/>
        </w:rPr>
        <w:t>ולהבדיל מהתסקיר הקודם שהוגש בסמוך לגזר הדין</w:t>
      </w:r>
      <w:r>
        <w:rPr>
          <w:rtl w:val="true"/>
        </w:rPr>
        <w:t xml:space="preserve">, </w:t>
      </w:r>
      <w:r>
        <w:rPr>
          <w:rtl w:val="true"/>
        </w:rPr>
        <w:t>בו הביעה צער</w:t>
      </w:r>
      <w:r>
        <w:rPr>
          <w:rtl w:val="true"/>
        </w:rPr>
        <w:t xml:space="preserve">, </w:t>
      </w:r>
      <w:r>
        <w:rPr>
          <w:rtl w:val="true"/>
        </w:rPr>
        <w:t>חרטה ואמפתיה למנוח ולמשפחתו</w:t>
      </w:r>
      <w:r>
        <w:rPr>
          <w:rtl w:val="true"/>
        </w:rPr>
        <w:t xml:space="preserve">; </w:t>
      </w:r>
      <w:r>
        <w:rPr>
          <w:rtl w:val="true"/>
        </w:rPr>
        <w:t>התסקיר המשלים מצביע על נסיגה בעמדת המערערת בקבלת אחריות על מעשיה ובקשיה לגלות אמפתיה למנוח ולבני משפחתו</w:t>
      </w:r>
      <w:r>
        <w:rPr>
          <w:rtl w:val="true"/>
        </w:rPr>
        <w:t xml:space="preserve">, </w:t>
      </w:r>
      <w:r>
        <w:rPr>
          <w:rtl w:val="true"/>
        </w:rPr>
        <w:t xml:space="preserve">כשהיא ממוקדת במחירים אותם היא נאלצת לשלם עקב הסתבכותה תוך הצגת עמדה קורבנית כשהיא </w:t>
      </w:r>
      <w:r>
        <w:rPr>
          <w:rtl w:val="true"/>
        </w:rPr>
        <w:t>"</w:t>
      </w:r>
      <w:r>
        <w:rPr>
          <w:rtl w:val="true"/>
        </w:rPr>
        <w:t>ממוקדת בכך שלא ידעה שפגעה בהולך רגל ולפיכך מתקשה לתפוס את עצמה כמי שהפקירה אדם</w:t>
      </w:r>
      <w:r>
        <w:rPr>
          <w:rtl w:val="true"/>
        </w:rPr>
        <w:t xml:space="preserve">". </w:t>
      </w:r>
      <w:r>
        <w:rPr>
          <w:rtl w:val="true"/>
        </w:rPr>
        <w:t>התסקיר המשלים מעמיד איפוא בספק את רצינות חרטתה של המערערת ואת הבעת הצער מפיה בטרם נגזר דינה</w:t>
      </w:r>
      <w:r>
        <w:rPr>
          <w:rtl w:val="true"/>
        </w:rPr>
        <w:t xml:space="preserve">, </w:t>
      </w:r>
      <w:r>
        <w:rPr>
          <w:rtl w:val="true"/>
        </w:rPr>
        <w:t>ומחליש עד מאד את תהודת הדברים הנרגשים שהשמיעה לפנינו בדבר חרטה</w:t>
      </w:r>
      <w:r>
        <w:rPr>
          <w:rtl w:val="true"/>
        </w:rPr>
        <w:t xml:space="preserve">, </w:t>
      </w:r>
      <w:r>
        <w:rPr>
          <w:rtl w:val="true"/>
        </w:rPr>
        <w:t>צער</w:t>
      </w:r>
      <w:r>
        <w:rPr>
          <w:rtl w:val="true"/>
        </w:rPr>
        <w:t xml:space="preserve">, </w:t>
      </w:r>
      <w:r>
        <w:rPr>
          <w:rtl w:val="true"/>
        </w:rPr>
        <w:t>הפנמה ואמפתיה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אל מול המחזה מכמיר הלב של צעירה בראשית דרכה בחיים</w:t>
      </w:r>
      <w:r>
        <w:rPr>
          <w:rtl w:val="true"/>
        </w:rPr>
        <w:t xml:space="preserve">, </w:t>
      </w:r>
      <w:r>
        <w:rPr>
          <w:rtl w:val="true"/>
        </w:rPr>
        <w:t>נעדרת עבר פלילי</w:t>
      </w:r>
      <w:r>
        <w:rPr>
          <w:rtl w:val="true"/>
        </w:rPr>
        <w:t xml:space="preserve">, </w:t>
      </w:r>
      <w:r>
        <w:rPr>
          <w:rtl w:val="true"/>
        </w:rPr>
        <w:t>העומדת בפני בית המשפט</w:t>
      </w:r>
      <w:r>
        <w:rPr>
          <w:rtl w:val="true"/>
        </w:rPr>
        <w:t xml:space="preserve">, </w:t>
      </w:r>
      <w:r>
        <w:rPr>
          <w:rtl w:val="true"/>
        </w:rPr>
        <w:t>לבושה במדי אסירה כשהיא ממררת בבכי ומבקשת הקלה בדין</w:t>
      </w:r>
      <w:r>
        <w:rPr>
          <w:rtl w:val="true"/>
        </w:rPr>
        <w:t xml:space="preserve">, </w:t>
      </w:r>
      <w:r>
        <w:rPr>
          <w:rtl w:val="true"/>
        </w:rPr>
        <w:t>יש להנכיח בענישה את קדושת חייו של קורבן מעשיה בהם פגעה המערערת</w:t>
      </w:r>
      <w:r>
        <w:rPr>
          <w:rtl w:val="true"/>
        </w:rPr>
        <w:t xml:space="preserve">, </w:t>
      </w:r>
      <w:r>
        <w:rPr>
          <w:rtl w:val="true"/>
        </w:rPr>
        <w:t>שעדיין מתקשה לראות את אחריותה להם</w:t>
      </w:r>
      <w:r>
        <w:rPr>
          <w:rtl w:val="true"/>
        </w:rPr>
        <w:t xml:space="preserve">, </w:t>
      </w:r>
      <w:r>
        <w:rPr>
          <w:rtl w:val="true"/>
        </w:rPr>
        <w:t>ולגלות כלפיו וכלפי בני משפחתו מידת אמפתיה ראויה</w:t>
      </w:r>
      <w:r>
        <w:rPr>
          <w:rtl w:val="true"/>
        </w:rPr>
        <w:t xml:space="preserve">. </w:t>
      </w:r>
      <w:r>
        <w:rPr>
          <w:rtl w:val="true"/>
        </w:rPr>
        <w:t xml:space="preserve">יפים לכאן דבריה של המשנה לנשיא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tl w:val="true"/>
        </w:rPr>
        <w:t>שנאמרו 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16.12.2014</w:t>
      </w:r>
      <w:r>
        <w:rPr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מזור</w:t>
      </w:r>
      <w:r>
        <w:rPr>
          <w:rtl w:val="true"/>
        </w:rPr>
        <w:t>."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וככל שהדבר נוגע לאורך תקופת המאסר</w:t>
      </w:r>
      <w:r>
        <w:rPr>
          <w:rtl w:val="true"/>
        </w:rPr>
        <w:t xml:space="preserve">, </w:t>
      </w:r>
      <w:r>
        <w:rPr>
          <w:rtl w:val="true"/>
        </w:rPr>
        <w:t>לא מצאנו מקום להתערב בגזר דינו של בית משפט קמא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לרכיב המאסר המותנה שהוטל על המערערת בגין עבירת ההפקרה ולנוכח הוראת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אנו מורים על ביטולו של רכיב המאסר המותנה שהושת על המערערת בגזר הדין בכל הנוגע לעבירת ההפקרה בלבד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וולקוב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22.1.2017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סביחאת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לרכיב פסילת רישיון הנהיגה</w:t>
      </w:r>
      <w:r>
        <w:rPr>
          <w:rtl w:val="true"/>
        </w:rPr>
        <w:t xml:space="preserve">, </w:t>
      </w:r>
      <w:r>
        <w:rPr>
          <w:rtl w:val="true"/>
        </w:rPr>
        <w:t>מצאנו כי יש מקום לנכות מתקופת הפסילה בפועל שנקבעה בגזר הדין את תקופת הפסילה המנהלית והפסילה עד תום ההליכים וזאת ככל שרישיונה של המערערת היה מופקד במהלך תקופות אלה</w:t>
      </w:r>
      <w:r>
        <w:rPr>
          <w:rtl w:val="true"/>
        </w:rPr>
        <w:t xml:space="preserve">, </w:t>
      </w:r>
      <w:r>
        <w:rPr>
          <w:rtl w:val="true"/>
        </w:rPr>
        <w:t>במזכירות בית המשפט או במשרד הרישוי</w:t>
      </w:r>
      <w:r>
        <w:rPr>
          <w:rtl w:val="true"/>
        </w:rPr>
        <w:t xml:space="preserve">, </w:t>
      </w:r>
      <w:r>
        <w:rPr>
          <w:rtl w:val="true"/>
        </w:rPr>
        <w:t>או במשטרת ישראל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22.1.2020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19057540</w:t>
      </w:r>
      <w:r>
        <w:rPr>
          <w:sz w:val="16"/>
          <w:rtl w:val="true"/>
        </w:rPr>
        <w:t>_</w:t>
      </w:r>
      <w:r>
        <w:rPr>
          <w:sz w:val="16"/>
        </w:rPr>
        <w:t>Q01.docx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54678313-5754/19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5754/19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פריסיליה קשתי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0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0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281997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5227/64" TargetMode="External"/><Relationship Id="rId5" Type="http://schemas.openxmlformats.org/officeDocument/2006/relationships/hyperlink" Target="http://www.nevo.co.il/law/5227/64a.c" TargetMode="External"/><Relationship Id="rId6" Type="http://schemas.openxmlformats.org/officeDocument/2006/relationships/hyperlink" Target="http://www.nevo.co.il/law/5227/64a.d" TargetMode="External"/><Relationship Id="rId7" Type="http://schemas.openxmlformats.org/officeDocument/2006/relationships/hyperlink" Target="http://www.nevo.co.il/law/5227/64a.c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64a.d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case/21281997" TargetMode="External"/><Relationship Id="rId12" Type="http://schemas.openxmlformats.org/officeDocument/2006/relationships/hyperlink" Target="http://www.nevo.co.il/law/5227/64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5227/64a.c" TargetMode="External"/><Relationship Id="rId15" Type="http://schemas.openxmlformats.org/officeDocument/2006/relationships/hyperlink" Target="http://www.nevo.co.il/law/5227/64a.d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case/25860716" TargetMode="External"/><Relationship Id="rId18" Type="http://schemas.openxmlformats.org/officeDocument/2006/relationships/hyperlink" Target="http://www.nevo.co.il/case/22944893" TargetMode="External"/><Relationship Id="rId19" Type="http://schemas.openxmlformats.org/officeDocument/2006/relationships/hyperlink" Target="http://www.nevo.co.il/law/5227/64a.c" TargetMode="External"/><Relationship Id="rId20" Type="http://schemas.openxmlformats.org/officeDocument/2006/relationships/hyperlink" Target="http://www.nevo.co.il/law/5227" TargetMode="External"/><Relationship Id="rId21" Type="http://schemas.openxmlformats.org/officeDocument/2006/relationships/hyperlink" Target="http://www.nevo.co.il/case/24963922" TargetMode="External"/><Relationship Id="rId22" Type="http://schemas.openxmlformats.org/officeDocument/2006/relationships/hyperlink" Target="http://www.nevo.co.il/case/10488209" TargetMode="External"/><Relationship Id="rId23" Type="http://schemas.openxmlformats.org/officeDocument/2006/relationships/hyperlink" Target="http://www.nevo.co.il/law/5227/64a.d" TargetMode="External"/><Relationship Id="rId24" Type="http://schemas.openxmlformats.org/officeDocument/2006/relationships/hyperlink" Target="http://www.nevo.co.il/law/5227" TargetMode="External"/><Relationship Id="rId25" Type="http://schemas.openxmlformats.org/officeDocument/2006/relationships/hyperlink" Target="http://www.nevo.co.il/case/21473423" TargetMode="External"/><Relationship Id="rId26" Type="http://schemas.openxmlformats.org/officeDocument/2006/relationships/hyperlink" Target="http://www.nevo.co.il/case/22326237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2020-01-26T12:08:00Z</dcterms:created>
  <dc:creator>h4</dc:creator>
  <dc:description/>
  <cp:keywords/>
  <dc:language>en-IL</dc:language>
  <cp:lastModifiedBy>orly</cp:lastModifiedBy>
  <cp:lastPrinted>2020-01-22T13:05:00Z</cp:lastPrinted>
  <dcterms:modified xsi:type="dcterms:W3CDTF">2020-01-26T12:08:00Z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פריסיליה קשתי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21281997:2;25860716;22944893;24963922;10488209;21473423;22326237</vt:lpwstr>
  </property>
  <property fmtid="{D5CDD505-2E9C-101B-9397-08002B2CF9AE}" pid="9" name="CITY">
    <vt:lpwstr/>
  </property>
  <property fmtid="{D5CDD505-2E9C-101B-9397-08002B2CF9AE}" pid="10" name="DATE">
    <vt:lpwstr>20200122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עמית;ג' קרא;י' וילנר</vt:lpwstr>
  </property>
  <property fmtid="{D5CDD505-2E9C-101B-9397-08002B2CF9AE}" pid="14" name="LAWLISTTMP1">
    <vt:lpwstr>5227/064;064a.c:2;064a.d:2</vt:lpwstr>
  </property>
  <property fmtid="{D5CDD505-2E9C-101B-9397-08002B2CF9AE}" pid="15" name="LAWYER">
    <vt:lpwstr>דגנית כהן ויליאמס;אבי חימי;רומי קנבל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תעבורה</vt:lpwstr>
  </property>
  <property fmtid="{D5CDD505-2E9C-101B-9397-08002B2CF9AE}" pid="30" name="NOSE14">
    <vt:lpwstr>תעבורה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77;77;104;104;77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עבירות</vt:lpwstr>
  </property>
  <property fmtid="{D5CDD505-2E9C-101B-9397-08002B2CF9AE}" pid="41" name="NOSE24">
    <vt:lpwstr>עבירות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1446;1446;1830;1830;1446</vt:lpwstr>
  </property>
  <property fmtid="{D5CDD505-2E9C-101B-9397-08002B2CF9AE}" pid="48" name="NOSE31">
    <vt:lpwstr>מדיניות ענישה: גרימת מוות בנהיגה רשלנית ‏</vt:lpwstr>
  </property>
  <property fmtid="{D5CDD505-2E9C-101B-9397-08002B2CF9AE}" pid="49" name="NOSE310">
    <vt:lpwstr/>
  </property>
  <property fmtid="{D5CDD505-2E9C-101B-9397-08002B2CF9AE}" pid="50" name="NOSE32">
    <vt:lpwstr>מדיניות ענישה: הפקרה לאחר פגיעה‏</vt:lpwstr>
  </property>
  <property fmtid="{D5CDD505-2E9C-101B-9397-08002B2CF9AE}" pid="51" name="NOSE33">
    <vt:lpwstr>גרימת מוות בנהיגה רשלנית</vt:lpwstr>
  </property>
  <property fmtid="{D5CDD505-2E9C-101B-9397-08002B2CF9AE}" pid="52" name="NOSE34">
    <vt:lpwstr>הפקרה לאחר פגיעה</vt:lpwstr>
  </property>
  <property fmtid="{D5CDD505-2E9C-101B-9397-08002B2CF9AE}" pid="53" name="NOSE35">
    <vt:lpwstr>מדיניות ענישה: שיקולים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15705;15636;11230;11231;8994</vt:lpwstr>
  </property>
  <property fmtid="{D5CDD505-2E9C-101B-9397-08002B2CF9AE}" pid="59" name="PADIDATE">
    <vt:lpwstr>20200126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5754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410120200122</vt:lpwstr>
  </property>
  <property fmtid="{D5CDD505-2E9C-101B-9397-08002B2CF9AE}" pid="69" name="TYPE_N_DATE">
    <vt:lpwstr>41020200122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