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577/22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ascii="David;Malgun Gothic Semilight" w:hAnsi="David;Malgun Gothic Semilight"/>
                <w:rtl w:val="true"/>
              </w:rPr>
              <w:t>ת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להב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נאוגרקר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אוחנינה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46801-05-21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24.02.2022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סקה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144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144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144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ו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157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413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ה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Start w:id="9" w:name="_Hlk97467384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להוקיעם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מהמגזר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היהודי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משתייך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וביטחונו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המרדה וגזענות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לגזענות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התפרעות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במזיד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אזרחים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ובעסקים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בבעלותם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ובולטת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ומקומם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בעיצומו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משאבי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מוקצים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ואזרחיה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התגבשה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חבורת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פורעים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ביניהם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באזרחים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תמימים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שמובן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כתפי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מגלמים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ניפץ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השמשה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וגנב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חפצים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שקדמו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ודבריו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שרואיין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רוחו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המסר העונשי שיש להשמיע באופן חד וברור הוא כי מעשים מעין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הנעשים על רקע גזעני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 מן החמורים שבדין ויש להוקיעם מכל וכל – בין אם מדובר בקורבן מהמגזר היהודי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ובן אם הקורבן משתייך למגזר הערבי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מורכבות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וביטחונו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המוגנים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מוחשית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הגבוה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שריר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ובכבודו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יוצא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נתמקד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בבחירתו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בתחתית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שהתקבלה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ומצדיקה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מחליטה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יהא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bookmarkEnd w:id="9"/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zCs w:val="24"/>
          <w:u w:val="single"/>
        </w:rPr>
      </w:pPr>
      <w:bookmarkStart w:id="15" w:name="Start_Write"/>
      <w:bookmarkStart w:id="16" w:name="Writer_Name"/>
      <w:bookmarkEnd w:id="15"/>
      <w:bookmarkEnd w:id="16"/>
      <w:r>
        <w:rPr>
          <w:rFonts w:ascii="Century" w:hAnsi="Century" w:cs="Miriam"/>
          <w:b/>
          <w:b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zCs w:val="24"/>
          <w:u w:val="single"/>
        </w:rPr>
      </w:pPr>
      <w:r>
        <w:rPr>
          <w:rFonts w:cs="Miriam" w:ascii="Century" w:hAnsi="Century"/>
          <w:b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בית המשפט המחוזי בתל אביב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46801-05-21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5.1.2022</w:t>
      </w:r>
      <w:r>
        <w:rPr>
          <w:rtl w:val="true"/>
        </w:rPr>
        <w:t xml:space="preserve">. </w:t>
      </w:r>
      <w:r>
        <w:rPr>
          <w:rtl w:val="true"/>
        </w:rPr>
        <w:t xml:space="preserve">בגדרו השית על המשיב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וזאת בגין עבירות של הסתה לאלימות</w:t>
      </w:r>
      <w:r>
        <w:rPr>
          <w:rtl w:val="true"/>
        </w:rPr>
        <w:t xml:space="preserve">, </w:t>
      </w:r>
      <w:r>
        <w:rPr>
          <w:rtl w:val="true"/>
        </w:rPr>
        <w:t>הסתה לגזענות</w:t>
      </w:r>
      <w:r>
        <w:rPr>
          <w:rtl w:val="true"/>
        </w:rPr>
        <w:t xml:space="preserve">, </w:t>
      </w:r>
      <w:r>
        <w:rPr>
          <w:rtl w:val="true"/>
        </w:rPr>
        <w:t>התפרעות ממניע גזעני וחבלה במזיד ברכב ממניע גזעני</w:t>
      </w:r>
      <w:r>
        <w:rPr>
          <w:rtl w:val="true"/>
        </w:rPr>
        <w:t xml:space="preserve">. </w:t>
      </w:r>
      <w:r>
        <w:rPr>
          <w:rtl w:val="true"/>
        </w:rPr>
        <w:t>הערעור נסב</w:t>
      </w:r>
      <w:r>
        <w:rPr>
          <w:rtl w:val="true"/>
        </w:rPr>
        <w:t xml:space="preserve"> </w:t>
      </w:r>
      <w:r>
        <w:rPr>
          <w:rtl w:val="true"/>
        </w:rPr>
        <w:t>על קולת 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בשנית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12.5.2021</w:t>
      </w:r>
      <w:r>
        <w:rPr>
          <w:rtl w:val="true"/>
        </w:rPr>
        <w:t xml:space="preserve">, </w:t>
      </w:r>
      <w:r>
        <w:rPr>
          <w:rtl w:val="true"/>
        </w:rPr>
        <w:t xml:space="preserve">על רקע מבצע </w:t>
      </w:r>
      <w:r>
        <w:rPr>
          <w:rtl w:val="true"/>
        </w:rPr>
        <w:t>"</w:t>
      </w:r>
      <w:r>
        <w:rPr>
          <w:rtl w:val="true"/>
        </w:rPr>
        <w:t>שומר החומות</w:t>
      </w:r>
      <w:r>
        <w:rPr>
          <w:rtl w:val="true"/>
        </w:rPr>
        <w:t xml:space="preserve">" </w:t>
      </w:r>
      <w:r>
        <w:rPr>
          <w:rtl w:val="true"/>
        </w:rPr>
        <w:t>והמצב הביטחוני ששרר ברחבי המדינה באותה תקופה</w:t>
      </w:r>
      <w:r>
        <w:rPr>
          <w:rtl w:val="true"/>
        </w:rPr>
        <w:t xml:space="preserve">, </w:t>
      </w:r>
      <w:r>
        <w:rPr>
          <w:rtl w:val="true"/>
        </w:rPr>
        <w:t>החלה להתגבש ברשתות החברתיות ״התארגנות״ לפגוע באזרחים ערבים ובעסקים בבעלותם</w:t>
      </w:r>
      <w:r>
        <w:rPr>
          <w:rtl w:val="true"/>
        </w:rPr>
        <w:t xml:space="preserve">. </w:t>
      </w:r>
      <w:r>
        <w:rPr>
          <w:rtl w:val="true"/>
        </w:rPr>
        <w:t>באותו ערב</w:t>
      </w:r>
      <w:r>
        <w:rPr>
          <w:rtl w:val="true"/>
        </w:rPr>
        <w:t xml:space="preserve">, </w:t>
      </w:r>
      <w:r>
        <w:rPr>
          <w:rtl w:val="true"/>
        </w:rPr>
        <w:t xml:space="preserve">סביבות השעה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הגיעו עשרות אנשים לרחוב בן גוריון בבת</w:t>
      </w:r>
      <w:r>
        <w:rPr>
          <w:rtl w:val="true"/>
        </w:rPr>
        <w:t>-</w:t>
      </w:r>
      <w:r>
        <w:rPr>
          <w:rtl w:val="true"/>
        </w:rPr>
        <w:t>ים והחלו לנפץ חלונות של בתי עסק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את חלונות מסעדת </w:t>
      </w:r>
      <w:r>
        <w:rPr>
          <w:rtl w:val="true"/>
        </w:rPr>
        <w:t>"</w:t>
      </w:r>
      <w:r>
        <w:rPr>
          <w:rtl w:val="true"/>
        </w:rPr>
        <w:t>שווארמה סהרה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המסעדה</w:t>
      </w:r>
      <w:r>
        <w:rPr>
          <w:rtl w:val="true"/>
        </w:rPr>
        <w:t xml:space="preserve">) </w:t>
      </w:r>
      <w:r>
        <w:rPr>
          <w:rtl w:val="true"/>
        </w:rPr>
        <w:t>הנמצאת בבעלות אזרח ערבי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החברתיות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21:20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הפורעים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נאספו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לערבים</w:t>
      </w:r>
      <w:r>
        <w:rPr>
          <w:rtl w:val="true"/>
        </w:rPr>
        <w:t xml:space="preserve">"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הקהל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למסעדה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ובקבוקים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וניפצו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לערבים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לערבים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21:36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. </w:t>
      </w:r>
      <w:r>
        <w:rPr>
          <w:rtl w:val="true"/>
        </w:rPr>
        <w:t>משהמתלונן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".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מהפורעים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מהנוכחים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מרכבו</w:t>
      </w:r>
      <w:r>
        <w:rPr>
          <w:rtl w:val="true"/>
        </w:rPr>
        <w:t xml:space="preserve">, </w:t>
      </w:r>
      <w:r>
        <w:rPr>
          <w:rtl w:val="true"/>
        </w:rPr>
        <w:t>חשמלו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בשוקר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בבעיטות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טלסקופית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קורקינט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חשמלי</w:t>
      </w:r>
      <w:r>
        <w:rPr>
          <w:rtl w:val="true"/>
        </w:rPr>
        <w:t xml:space="preserve">.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ניפצו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שמשותיו</w:t>
      </w:r>
      <w:r>
        <w:rPr>
          <w:rtl w:val="true"/>
        </w:rPr>
        <w:t xml:space="preserve">, </w:t>
      </w:r>
      <w:r>
        <w:rPr>
          <w:rtl w:val="true"/>
        </w:rPr>
        <w:t>שברו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מראותיו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דלתותיו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ובבעיטות</w:t>
      </w:r>
      <w:r>
        <w:rPr>
          <w:rtl w:val="true"/>
        </w:rPr>
        <w:t xml:space="preserve">, </w:t>
      </w:r>
      <w:r>
        <w:rPr>
          <w:rtl w:val="true"/>
        </w:rPr>
        <w:t>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וגנבו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אחורית</w:t>
      </w:r>
      <w:r>
        <w:rPr>
          <w:rtl w:val="true"/>
        </w:rPr>
        <w:t xml:space="preserve">, </w:t>
      </w:r>
      <w:r>
        <w:rPr>
          <w:rtl w:val="true"/>
        </w:rPr>
        <w:t>ירק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בשיניים</w:t>
      </w:r>
      <w:r>
        <w:rPr>
          <w:rtl w:val="true"/>
        </w:rPr>
        <w:t xml:space="preserve">,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21:45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התראיין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"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מעשים אלו יוחסו למשיב עבירות של הסתה לאלימות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הסתה לגזענות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 xml:space="preserve">); </w:t>
      </w:r>
      <w:r>
        <w:rPr>
          <w:rtl w:val="true"/>
        </w:rPr>
        <w:t>התפרעות שסופה נזק מתוך 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בצירוף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; </w:t>
      </w:r>
      <w:r>
        <w:rPr>
          <w:rtl w:val="true"/>
        </w:rPr>
        <w:t>וחבלה במזיד ברכב ממניע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ביחד עם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בעובדות כתב האישום המתוקן בשנית במסגרת הסדר טיעון</w:t>
      </w:r>
      <w:r>
        <w:rPr>
          <w:rtl w:val="true"/>
        </w:rPr>
        <w:t xml:space="preserve">, </w:t>
      </w:r>
      <w:r>
        <w:rPr>
          <w:rtl w:val="true"/>
        </w:rPr>
        <w:t>אשר לא כלל הסכמה לעניין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החומרה היתרה שבעבירות המבוצעת על רקע אידאולוגי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הסכנה הנשקפת לציבור מפניהן</w:t>
      </w:r>
      <w:r>
        <w:rPr>
          <w:rtl w:val="true"/>
        </w:rPr>
        <w:t xml:space="preserve">, </w:t>
      </w:r>
      <w:r>
        <w:rPr>
          <w:rtl w:val="true"/>
        </w:rPr>
        <w:t xml:space="preserve">וכן על כך שבמקרה שלפנינו העבירות התרחשו בעיצומו של מבצע </w:t>
      </w:r>
      <w:r>
        <w:rPr>
          <w:rtl w:val="true"/>
        </w:rPr>
        <w:t>"</w:t>
      </w:r>
      <w:r>
        <w:rPr>
          <w:rtl w:val="true"/>
        </w:rPr>
        <w:t>שומר החומות</w:t>
      </w:r>
      <w:r>
        <w:rPr>
          <w:rtl w:val="true"/>
        </w:rPr>
        <w:t xml:space="preserve">". </w:t>
      </w:r>
      <w:r>
        <w:rPr>
          <w:rtl w:val="true"/>
        </w:rPr>
        <w:t>בשים לב לכך</w:t>
      </w:r>
      <w:r>
        <w:rPr>
          <w:rtl w:val="true"/>
        </w:rPr>
        <w:t xml:space="preserve">, </w:t>
      </w:r>
      <w:r>
        <w:rPr>
          <w:rtl w:val="true"/>
        </w:rPr>
        <w:t>קבע כי עוצמת הפגיעה בערכים המוגנים היא משמעותית</w:t>
      </w:r>
      <w:r>
        <w:rPr>
          <w:rtl w:val="true"/>
        </w:rPr>
        <w:t xml:space="preserve">. </w:t>
      </w:r>
      <w:r>
        <w:rPr>
          <w:rtl w:val="true"/>
        </w:rPr>
        <w:t xml:space="preserve">עוד שקל את </w:t>
      </w:r>
      <w:r>
        <w:rPr>
          <w:rtl w:val="true"/>
        </w:rPr>
        <w:t>"</w:t>
      </w:r>
      <w:r>
        <w:rPr>
          <w:rtl w:val="true"/>
        </w:rPr>
        <w:t>תרומת</w:t>
      </w:r>
      <w:r>
        <w:rPr>
          <w:rtl w:val="true"/>
        </w:rPr>
        <w:t xml:space="preserve">" </w:t>
      </w:r>
      <w:r>
        <w:rPr>
          <w:rtl w:val="true"/>
        </w:rPr>
        <w:t>המשיב ל</w:t>
      </w:r>
      <w:r>
        <w:rPr>
          <w:rtl w:val="true"/>
        </w:rPr>
        <w:t>"</w:t>
      </w:r>
      <w:r>
        <w:rPr>
          <w:rtl w:val="true"/>
        </w:rPr>
        <w:t>שלהוב</w:t>
      </w:r>
      <w:r>
        <w:rPr>
          <w:rtl w:val="true"/>
        </w:rPr>
        <w:t xml:space="preserve">" </w:t>
      </w:r>
      <w:r>
        <w:rPr>
          <w:rtl w:val="true"/>
        </w:rPr>
        <w:t>הרוחות</w:t>
      </w:r>
      <w:r>
        <w:rPr>
          <w:rtl w:val="true"/>
        </w:rPr>
        <w:t xml:space="preserve">; </w:t>
      </w:r>
      <w:r>
        <w:rPr>
          <w:rtl w:val="true"/>
        </w:rPr>
        <w:t>הנזק שגרם בצוותא עם אחרים למסעדה ולרכבו של המתלונן</w:t>
      </w:r>
      <w:r>
        <w:rPr>
          <w:rtl w:val="true"/>
        </w:rPr>
        <w:t xml:space="preserve">; </w:t>
      </w:r>
      <w:r>
        <w:rPr>
          <w:rtl w:val="true"/>
        </w:rPr>
        <w:t>העובדה שהמשיב ירק לעבר המתלונן בהיותו פצוע על הקרקע וגנב חפצים מרכבו</w:t>
      </w:r>
      <w:r>
        <w:rPr>
          <w:rtl w:val="true"/>
        </w:rPr>
        <w:t xml:space="preserve">; </w:t>
      </w:r>
      <w:r>
        <w:rPr>
          <w:rtl w:val="true"/>
        </w:rPr>
        <w:t xml:space="preserve">וכן הדברים שהמשיב השמיע בראיון לכתב </w:t>
      </w:r>
      <w:r>
        <w:rPr>
          <w:rtl w:val="true"/>
        </w:rPr>
        <w:t>"</w:t>
      </w:r>
      <w:r>
        <w:rPr>
          <w:rtl w:val="true"/>
        </w:rPr>
        <w:t xml:space="preserve">כאן </w:t>
      </w:r>
      <w:r>
        <w:rPr/>
        <w:t>11</w:t>
      </w:r>
      <w:r>
        <w:rPr>
          <w:rtl w:val="true"/>
        </w:rPr>
        <w:t xml:space="preserve">".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אל מול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בעובדה שהמשיב לא היה חלק מקבוצת ה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 </w:t>
      </w:r>
      <w:r>
        <w:rPr>
          <w:rtl w:val="true"/>
        </w:rPr>
        <w:t>במסגרתה התגבשה ההתארגנות לאירוע</w:t>
      </w:r>
      <w:r>
        <w:rPr>
          <w:rtl w:val="true"/>
        </w:rPr>
        <w:t xml:space="preserve">, </w:t>
      </w:r>
      <w:r>
        <w:rPr>
          <w:rtl w:val="true"/>
        </w:rPr>
        <w:t>אלא הגיע לזירת ההתרחשות רק לאחר שכבר היו בה עשרות אנשים נוספים בעקבות צפייה בסרטונים ממקום האירוע</w:t>
      </w:r>
      <w:r>
        <w:rPr>
          <w:rtl w:val="true"/>
        </w:rPr>
        <w:t xml:space="preserve">. </w:t>
      </w:r>
      <w:r>
        <w:rPr>
          <w:rtl w:val="true"/>
        </w:rPr>
        <w:t>כן צוין</w:t>
      </w:r>
      <w:r>
        <w:rPr>
          <w:rtl w:val="true"/>
        </w:rPr>
        <w:t xml:space="preserve">, </w:t>
      </w:r>
      <w:r>
        <w:rPr>
          <w:rtl w:val="true"/>
        </w:rPr>
        <w:t>כי עליית המשיב על דלפק המסעדה והשמעת קריאות מסיתות וגזעניות היו בהמשך להתנהגות דומה של משתתפים אחרים באירוע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הוסיף ושקל את היותו של המשיב צעיר בן </w:t>
      </w:r>
      <w:r>
        <w:rPr/>
        <w:t>20</w:t>
      </w:r>
      <w:r>
        <w:rPr>
          <w:rtl w:val="true"/>
        </w:rPr>
        <w:t xml:space="preserve"> "</w:t>
      </w:r>
      <w:r>
        <w:rPr>
          <w:rtl w:val="true"/>
        </w:rPr>
        <w:t>שחי בסמוך לשולי החברה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הרחוק מלהיות דמות מרכזית או משמעותית</w:t>
      </w:r>
      <w:r>
        <w:rPr>
          <w:rtl w:val="true"/>
        </w:rPr>
        <w:t xml:space="preserve">, </w:t>
      </w:r>
      <w:r>
        <w:rPr>
          <w:rtl w:val="true"/>
        </w:rPr>
        <w:t>וסבר שקיים ספק עד כמה תרם לשלהוב היצרים באירוע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המשיב לא נטל חלק בתקיפתו הפיזית של המתלונן וכי הוא אינו אחראי לחבלות שנגרמו לו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נתונים אלו</w:t>
      </w:r>
      <w:r>
        <w:rPr>
          <w:rtl w:val="true"/>
        </w:rPr>
        <w:t xml:space="preserve">, </w:t>
      </w:r>
      <w:r>
        <w:rPr>
          <w:rtl w:val="true"/>
        </w:rPr>
        <w:t>ובהתחשב במדיניות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מתחם העונש ההולם בעניינו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לצרכי קביעת עונשו של המשיב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 להודאתו ולכך שהביע חרטה על מעשיו</w:t>
      </w:r>
      <w:r>
        <w:rPr>
          <w:rtl w:val="true"/>
        </w:rPr>
        <w:t xml:space="preserve">; </w:t>
      </w:r>
      <w:r>
        <w:rPr>
          <w:rtl w:val="true"/>
        </w:rPr>
        <w:t>לעברו הפלילי המונה רישום אחד ללא הרשעה מבית המשפט לנוער</w:t>
      </w:r>
      <w:r>
        <w:rPr>
          <w:rtl w:val="true"/>
        </w:rPr>
        <w:t xml:space="preserve">; </w:t>
      </w:r>
      <w:r>
        <w:rPr>
          <w:rtl w:val="true"/>
        </w:rPr>
        <w:t>לעובדה שמדובר בריצוי עונש מאסר ראשון</w:t>
      </w:r>
      <w:r>
        <w:rPr>
          <w:rtl w:val="true"/>
        </w:rPr>
        <w:t xml:space="preserve">, </w:t>
      </w:r>
      <w:r>
        <w:rPr>
          <w:rtl w:val="true"/>
        </w:rPr>
        <w:t>ולנתוניו האישיים ה</w:t>
      </w:r>
      <w:r>
        <w:rPr>
          <w:rtl w:val="true"/>
        </w:rPr>
        <w:t>"</w:t>
      </w:r>
      <w:r>
        <w:rPr>
          <w:rtl w:val="true"/>
        </w:rPr>
        <w:t>קשים והמורכבים</w:t>
      </w:r>
      <w:r>
        <w:rPr>
          <w:rtl w:val="true"/>
        </w:rPr>
        <w:t xml:space="preserve">" </w:t>
      </w:r>
      <w:r>
        <w:rPr>
          <w:rtl w:val="true"/>
        </w:rPr>
        <w:t>כעולה מתסקיר שירות המבחן בעניינו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 המשפט המחוזי השית על המשיב עונשים כדלקמן</w:t>
      </w:r>
      <w:r>
        <w:rPr>
          <w:rtl w:val="true"/>
        </w:rPr>
        <w:t xml:space="preserve">: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את אחת מבין העבירות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לבעל המסעדה בסכום של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העונש שהושת על המשיב אינו הולם את חומרת מעשיו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שורת המעשים שביצע ממניע גזעני</w:t>
      </w:r>
      <w:r>
        <w:rPr>
          <w:rtl w:val="true"/>
        </w:rPr>
        <w:t>-</w:t>
      </w:r>
      <w:r>
        <w:rPr>
          <w:rtl w:val="true"/>
        </w:rPr>
        <w:t>לאומני מהווים מסכת עבריינית ״חריגה בחומרתה״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אין מדובר בפעולה רגעית</w:t>
      </w:r>
      <w:r>
        <w:rPr>
          <w:rtl w:val="true"/>
        </w:rPr>
        <w:t xml:space="preserve">, </w:t>
      </w:r>
      <w:r>
        <w:rPr>
          <w:rtl w:val="true"/>
        </w:rPr>
        <w:t>אלא התנהלות מתמשכת שכללה מעשים פיזיים לצד מעשים שנועדו לליבוי שנאה</w:t>
      </w:r>
      <w:r>
        <w:rPr>
          <w:rtl w:val="true"/>
        </w:rPr>
        <w:t xml:space="preserve">, </w:t>
      </w:r>
      <w:r>
        <w:rPr>
          <w:rtl w:val="true"/>
        </w:rPr>
        <w:t>שילהוב</w:t>
      </w:r>
      <w:r>
        <w:rPr>
          <w:rtl w:val="true"/>
        </w:rPr>
        <w:t xml:space="preserve">, </w:t>
      </w:r>
      <w:r>
        <w:rPr>
          <w:rtl w:val="true"/>
        </w:rPr>
        <w:t>ועידוד אחרים לפעול בעצמם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 הפנתה לפסיקת בית משפט זה לפיה יש להחמיר בענישה בגין עבירות הנובעות ממניע גזעני</w:t>
      </w:r>
      <w:r>
        <w:rPr>
          <w:rtl w:val="true"/>
        </w:rPr>
        <w:t xml:space="preserve">, </w:t>
      </w:r>
      <w:r>
        <w:rPr>
          <w:rtl w:val="true"/>
        </w:rPr>
        <w:t>ולשיטתה הדברים נכונים ביתר שאת היות שהעבירות בוצעו בעיצומה של תקופה מתוחה ונפיצה במיוחד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העונש המרבי בגין ביצוע העבירות בהן המשיב הורשע הוא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ומכאן שלא ניתן להשלים עם עונש בן פחות 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אחוז מכך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 הוסיפה כי מחד גיסא לא ניתן משקל ראוי לאופן בו המשיב שלהב את ההמון תוך שימוש בדגל ישראל וביזויו ולדבריו בראיון שהתקיים בשידור חי בטלוויזיה</w:t>
      </w:r>
      <w:r>
        <w:rPr>
          <w:rtl w:val="true"/>
        </w:rPr>
        <w:t xml:space="preserve">; </w:t>
      </w:r>
      <w:r>
        <w:rPr>
          <w:rtl w:val="true"/>
        </w:rPr>
        <w:t>ומאידך גיסא בית המשפט המחוזי התחשב לקולה באופן מופרז בעובדה שהמשיב לא היה חלק מן ההתארגנות הראשונית לאירוע ולא נטל חלק בתקיפה הפיזית של המתלונן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בכך שלא פסק פיצויים לטובת המתלונן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 טען כי גזר דינו של בית המשפט המחוזי עולה בקנה אחד עם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הולם את מעשיו</w:t>
      </w:r>
      <w:r>
        <w:rPr>
          <w:rtl w:val="true"/>
        </w:rPr>
        <w:t xml:space="preserve">, </w:t>
      </w:r>
      <w:r>
        <w:rPr>
          <w:rtl w:val="true"/>
        </w:rPr>
        <w:t>ומשקלל את נתוניו האישיים כראוי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מתחם הענישה לו טענה המשיבה בבית המשפט המחוזי חמור מן הראוי ואינו נתמך במדיניות הענישה המשתקפת בפסיקה</w:t>
      </w:r>
      <w:r>
        <w:rPr>
          <w:rtl w:val="true"/>
        </w:rPr>
        <w:t xml:space="preserve">. </w:t>
      </w:r>
      <w:r>
        <w:rPr>
          <w:rtl w:val="true"/>
        </w:rPr>
        <w:t>עוד הודגש שהמשיב מוגדר כעצור ביטחוני וכי הדבר משליך על תנאי מאסרו</w:t>
      </w:r>
      <w:r>
        <w:rPr>
          <w:rtl w:val="true"/>
        </w:rPr>
        <w:t xml:space="preserve">, </w:t>
      </w:r>
      <w:r>
        <w:rPr>
          <w:rtl w:val="true"/>
        </w:rPr>
        <w:t>וכן שהוא הודה בהזדמנות הראשונה וחסך בכך זמן שיפוטי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</w:t>
      </w:r>
      <w:r>
        <w:rPr>
          <w:rtl w:val="true"/>
        </w:rPr>
        <w:t xml:space="preserve">, </w:t>
      </w:r>
      <w:r>
        <w:rPr>
          <w:rtl w:val="true"/>
        </w:rPr>
        <w:t>התקבל תסקיר שירות מבחן עדכני בעניינו של המשיב</w:t>
      </w:r>
      <w:r>
        <w:rPr>
          <w:rtl w:val="true"/>
        </w:rPr>
        <w:t xml:space="preserve">, </w:t>
      </w:r>
      <w:r>
        <w:rPr>
          <w:rtl w:val="true"/>
        </w:rPr>
        <w:t>בו פורטו נסיבות חייו</w:t>
      </w:r>
      <w:r>
        <w:rPr>
          <w:rtl w:val="true"/>
        </w:rPr>
        <w:t xml:space="preserve">. </w:t>
      </w:r>
      <w:r>
        <w:rPr>
          <w:rtl w:val="true"/>
        </w:rPr>
        <w:t>בתוך כך תואר כי</w:t>
      </w:r>
      <w:r>
        <w:rPr>
          <w:rtl w:val="true"/>
        </w:rPr>
        <w:t xml:space="preserve">: "...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התנהלותו משקפת ילדותיות</w:t>
      </w:r>
      <w:r>
        <w:rPr>
          <w:rtl w:val="true"/>
        </w:rPr>
        <w:t xml:space="preserve">, </w:t>
      </w:r>
      <w:r>
        <w:rPr>
          <w:rtl w:val="true"/>
        </w:rPr>
        <w:t>קושי בהפקת לקחים והיעדר למידה מסנקציות</w:t>
      </w:r>
      <w:r>
        <w:rPr>
          <w:rtl w:val="true"/>
        </w:rPr>
        <w:t xml:space="preserve">"; </w:t>
      </w:r>
      <w:r>
        <w:rPr>
          <w:rtl w:val="true"/>
        </w:rPr>
        <w:t>וצוין כי התנהלותו האלימה של המשיב נבעה בעיקר מתוך צרכי שייכות</w:t>
      </w:r>
      <w:r>
        <w:rPr>
          <w:rtl w:val="true"/>
        </w:rPr>
        <w:t xml:space="preserve">, </w:t>
      </w:r>
      <w:r>
        <w:rPr>
          <w:rtl w:val="true"/>
        </w:rPr>
        <w:t>אימפולסיביות</w:t>
      </w:r>
      <w:r>
        <w:rPr>
          <w:rtl w:val="true"/>
        </w:rPr>
        <w:t xml:space="preserve">, </w:t>
      </w:r>
      <w:r>
        <w:rPr>
          <w:rtl w:val="true"/>
        </w:rPr>
        <w:t>קושי בוויסות דחפים ובהצבת גבול לעצמו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כלל ידוע הוא כי בית המשפט ייטה שלא להתערב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שבהם ניכרת חריגה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על פני הדברים טעות מהותית ובולטת בגזר הדין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30.1.2022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10.2.2022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Arial TUR;Arial"/>
          <w:sz w:val="22"/>
          <w:szCs w:val="22"/>
        </w:rPr>
      </w:pPr>
      <w:r>
        <w:rPr>
          <w:rFonts w:cs="Arial TUR;Arial"/>
          <w:sz w:val="22"/>
          <w:szCs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Times New Roman"/>
          <w:sz w:val="27"/>
          <w:szCs w:val="27"/>
        </w:rPr>
      </w:pPr>
      <w:r>
        <w:rPr>
          <w:rtl w:val="true"/>
        </w:rPr>
        <w:tab/>
      </w:r>
      <w:r>
        <w:rPr>
          <w:rtl w:val="true"/>
        </w:rPr>
        <w:t>לאחר שעמדות הצדדים הוצגו לפנינו</w:t>
      </w:r>
      <w:r>
        <w:rPr>
          <w:rtl w:val="true"/>
        </w:rPr>
        <w:t xml:space="preserve">, </w:t>
      </w:r>
      <w:r>
        <w:rPr>
          <w:rtl w:val="true"/>
        </w:rPr>
        <w:t>בכתב 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יש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tl w:val="true"/>
        </w:rPr>
        <w:t xml:space="preserve"> את הערעור</w:t>
      </w:r>
      <w:r>
        <w:rPr>
          <w:rtl w:val="true"/>
        </w:rPr>
        <w:t xml:space="preserve">, </w:t>
      </w:r>
      <w:r>
        <w:rPr>
          <w:rtl w:val="true"/>
        </w:rPr>
        <w:t>היות שהעונש שנגזר על המשיב סוטה לקולה באופן קיצוני ואינו מבטא באופן הולם את חומרת מעשיו</w:t>
      </w:r>
      <w:r>
        <w:rPr>
          <w:rtl w:val="true"/>
        </w:rPr>
        <w:t>.</w:t>
      </w:r>
      <w:r>
        <w:rPr>
          <w:rFonts w:cs="Times New Roman"/>
          <w:sz w:val="27"/>
          <w:szCs w:val="27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  <w:rtl w:val="true"/>
        </w:rPr>
        <w:tab/>
      </w:r>
      <w:r>
        <w:rPr>
          <w:rtl w:val="true"/>
        </w:rPr>
        <w:t xml:space="preserve">למסקנה זו הגעתי הגם שבנסיבות העניין לא מצאתי להידרש לראיות או נתונים אשר לשיטת המערערת לא הוצגו לבית המשפט המחוזי בשל </w:t>
      </w:r>
      <w:r>
        <w:rPr>
          <w:rtl w:val="true"/>
        </w:rPr>
        <w:t>"</w:t>
      </w:r>
      <w:r>
        <w:rPr>
          <w:rtl w:val="true"/>
        </w:rPr>
        <w:t>שגגה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האירוע בו המשיב נטל חלק הוא מביש ומקומם – בעיצומו של מבצע </w:t>
      </w:r>
      <w:r>
        <w:rPr>
          <w:rtl w:val="true"/>
        </w:rPr>
        <w:t>"</w:t>
      </w:r>
      <w:r>
        <w:rPr>
          <w:rtl w:val="true"/>
        </w:rPr>
        <w:t>שומר החומות</w:t>
      </w:r>
      <w:r>
        <w:rPr>
          <w:rtl w:val="true"/>
        </w:rPr>
        <w:t xml:space="preserve">" </w:t>
      </w:r>
      <w:r>
        <w:rPr>
          <w:rtl w:val="true"/>
        </w:rPr>
        <w:t>כאשר משאבי כוחות הביטחון מוקצים לצרכי הגנה על ביטחון המדינה ואזרחיה</w:t>
      </w:r>
      <w:r>
        <w:rPr>
          <w:rtl w:val="true"/>
        </w:rPr>
        <w:t xml:space="preserve">, </w:t>
      </w:r>
      <w:r>
        <w:rPr>
          <w:rtl w:val="true"/>
        </w:rPr>
        <w:t>התגבשה חבורת פורעים</w:t>
      </w:r>
      <w:r>
        <w:rPr>
          <w:rtl w:val="true"/>
        </w:rPr>
        <w:t xml:space="preserve">, </w:t>
      </w:r>
      <w:r>
        <w:rPr>
          <w:rtl w:val="true"/>
        </w:rPr>
        <w:t>ביניהם המשיב</w:t>
      </w:r>
      <w:r>
        <w:rPr>
          <w:rtl w:val="true"/>
        </w:rPr>
        <w:t xml:space="preserve">, </w:t>
      </w:r>
      <w:r>
        <w:rPr>
          <w:rtl w:val="true"/>
        </w:rPr>
        <w:t>על מנת לפגוע באזרחים תמימים</w:t>
      </w:r>
      <w:r>
        <w:rPr>
          <w:rtl w:val="true"/>
        </w:rPr>
        <w:t xml:space="preserve">, </w:t>
      </w:r>
      <w:r>
        <w:rPr>
          <w:rtl w:val="true"/>
        </w:rPr>
        <w:t>וזאת אך ורק על רקע היותם בני המגזר הערבי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ניפץ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שרואיין</w:t>
      </w:r>
      <w:r>
        <w:rPr>
          <w:rtl w:val="true"/>
        </w:rPr>
        <w:t xml:space="preserve">, </w:t>
      </w:r>
      <w:r>
        <w:rPr>
          <w:rtl w:val="true"/>
        </w:rPr>
        <w:t>מוספים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הנעשים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היהודי</w:t>
      </w:r>
      <w:r>
        <w:rPr>
          <w:rtl w:val="true"/>
        </w:rPr>
        <w:t xml:space="preserve">, </w:t>
      </w:r>
      <w:r>
        <w:rPr>
          <w:rtl w:val="true"/>
        </w:rPr>
        <w:t>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נסיבות חייו של המשיב מורכבות</w:t>
      </w:r>
      <w:r>
        <w:rPr>
          <w:rtl w:val="true"/>
        </w:rPr>
        <w:t xml:space="preserve">. </w:t>
      </w:r>
      <w:r>
        <w:rPr>
          <w:rtl w:val="true"/>
        </w:rPr>
        <w:t>לא ארחיב בתיאורן משיקולי צנעת הפרט</w:t>
      </w:r>
      <w:r>
        <w:rPr>
          <w:rtl w:val="true"/>
        </w:rPr>
        <w:t xml:space="preserve">. </w:t>
      </w:r>
      <w:r>
        <w:rPr>
          <w:rtl w:val="true"/>
        </w:rPr>
        <w:t>לשיקולים אלו יש משקל בעת גזירת עונשו</w:t>
      </w:r>
      <w:r>
        <w:rPr>
          <w:rtl w:val="true"/>
        </w:rPr>
        <w:t xml:space="preserve">, </w:t>
      </w:r>
      <w:r>
        <w:rPr>
          <w:rtl w:val="true"/>
        </w:rPr>
        <w:t>ואולם בית המשפט המחוזי הקנה להם משקל החורג מן הראוי בנסיבות המקרה</w:t>
      </w:r>
      <w:r>
        <w:rPr>
          <w:rtl w:val="true"/>
        </w:rPr>
        <w:t xml:space="preserve">. </w:t>
      </w:r>
      <w:r>
        <w:rPr>
          <w:rtl w:val="true"/>
        </w:rPr>
        <w:t>זאת בפרט מאחר שנפסק לא אחת</w:t>
      </w:r>
      <w:r>
        <w:rPr>
          <w:rtl w:val="true"/>
        </w:rPr>
        <w:t xml:space="preserve">, </w:t>
      </w:r>
      <w:r>
        <w:rPr>
          <w:rtl w:val="true"/>
        </w:rPr>
        <w:t>כי בעבירות המבוצעות על רקע גזעני</w:t>
      </w:r>
      <w:r>
        <w:rPr>
          <w:rtl w:val="true"/>
        </w:rPr>
        <w:t xml:space="preserve">, </w:t>
      </w:r>
      <w:r>
        <w:rPr>
          <w:rtl w:val="true"/>
        </w:rPr>
        <w:t>יש לנקוט במדיניות ענישה מחמירה לפיה נדחים ככלל שיקולי ענישה אחרים</w:t>
      </w:r>
      <w:r>
        <w:rPr>
          <w:rtl w:val="true"/>
        </w:rPr>
        <w:t xml:space="preserve">, </w:t>
      </w:r>
      <w:r>
        <w:rPr>
          <w:rtl w:val="true"/>
        </w:rPr>
        <w:t>ובהם נסיבות אישיות ושיקולי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מפני שיקולי ההגנה על שלום הציבור וביטחונו ושיקולי הרתעת היחיד והרבים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3.5.2020</w:t>
      </w:r>
      <w:r>
        <w:rPr>
          <w:rtl w:val="true"/>
        </w:rPr>
        <w:t xml:space="preserve">) </w:t>
      </w:r>
      <w:r>
        <w:rPr>
          <w:rtl w:val="true"/>
        </w:rPr>
        <w:t>ואסמכתאות הכלולות בו‏‏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 xml:space="preserve">: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...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באיזון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האוכלוסיה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רקטות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והתפרעויות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וערבים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גזענות</w:t>
      </w:r>
      <w:r>
        <w:rPr>
          <w:rtl w:val="true"/>
        </w:rPr>
        <w:t>" 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נ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אסווד</w:t>
      </w:r>
      <w:r>
        <w:rPr>
          <w:sz w:val="27"/>
          <w:szCs w:val="27"/>
          <w:rtl w:val="true"/>
        </w:rPr>
        <w:t xml:space="preserve">, </w:t>
      </w:r>
      <w:r>
        <w:rPr>
          <w:sz w:val="27"/>
          <w:sz w:val="27"/>
          <w:szCs w:val="27"/>
          <w:rtl w:val="true"/>
        </w:rPr>
        <w:t>פסקה</w:t>
      </w:r>
      <w:r>
        <w:rPr>
          <w:rFonts w:eastAsia="Arial TUR;Arial" w:cs="Arial TUR;Arial"/>
          <w:sz w:val="27"/>
          <w:sz w:val="27"/>
          <w:szCs w:val="27"/>
          <w:rtl w:val="true"/>
        </w:rPr>
        <w:t xml:space="preserve"> </w:t>
      </w:r>
      <w:r>
        <w:rPr>
          <w:sz w:val="27"/>
          <w:szCs w:val="27"/>
        </w:rPr>
        <w:t>10</w:t>
      </w:r>
      <w:r>
        <w:rPr>
          <w:sz w:val="27"/>
          <w:szCs w:val="27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sz w:val="27"/>
          <w:szCs w:val="27"/>
        </w:rPr>
        <w:t>24.2.2022</w:t>
      </w:r>
      <w:r>
        <w:rPr>
          <w:rtl w:val="true"/>
        </w:rPr>
        <w:t>)‏‏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אסווד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;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וקיים</w:t>
      </w:r>
      <w:r>
        <w:rPr>
          <w:rtl w:val="true"/>
        </w:rPr>
        <w:t xml:space="preserve">;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היריקה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חפציו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בין אם נבחן את מתחם העונש ההולם שנקבע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ובין אם נתמקד בבחירתו של בית המשפט המחוזי למקם את עונשו של המשיב בתחתית המתחם שקבע</w:t>
      </w:r>
      <w:r>
        <w:rPr>
          <w:rtl w:val="true"/>
        </w:rPr>
        <w:t xml:space="preserve">, </w:t>
      </w:r>
      <w:r>
        <w:rPr>
          <w:rtl w:val="true"/>
        </w:rPr>
        <w:t>התוצאה העונשית אשר התקבלה מקלה עם המשיב באופן ניכר</w:t>
      </w:r>
      <w:r>
        <w:rPr>
          <w:rtl w:val="true"/>
        </w:rPr>
        <w:t xml:space="preserve">, </w:t>
      </w:r>
      <w:r>
        <w:rPr>
          <w:rtl w:val="true"/>
        </w:rPr>
        <w:t>ומצדיקה את התערבותו של בית משפט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סיכומו של דבר – גם בהינתן הכלל לפיו ערכאת הערעור אינה ממצה את הדין עם הנאשם שנמצא חייב בדינו כאשר היא מחליטה לקבל את ערעור המדינה על קולת העונש</w:t>
      </w:r>
      <w:r>
        <w:rPr>
          <w:rtl w:val="true"/>
        </w:rPr>
        <w:t xml:space="preserve">, </w:t>
      </w:r>
      <w:r>
        <w:rPr>
          <w:rtl w:val="true"/>
        </w:rPr>
        <w:t>נסיבות ענייננו מחייבות החמרה משמעותית בעונשו של המשיב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משבעניין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>בשונה מנסיבות ההליך שלפנינו</w:t>
      </w:r>
      <w:r>
        <w:rPr>
          <w:rtl w:val="true"/>
        </w:rPr>
        <w:t xml:space="preserve">, </w:t>
      </w:r>
      <w:r>
        <w:rPr>
          <w:rtl w:val="true"/>
        </w:rPr>
        <w:t>מדובר היה במעורבות בשני אירועים נפרדים</w:t>
      </w:r>
      <w:r>
        <w:rPr>
          <w:rtl w:val="true"/>
        </w:rPr>
        <w:t xml:space="preserve">, </w:t>
      </w:r>
      <w:r>
        <w:rPr>
          <w:rtl w:val="true"/>
        </w:rPr>
        <w:t>ובהתחשב בכלל השיקולים לעיל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לחברתי ולחברי לקבל את הערעור ולהחמיר בעונשו של המשיב באופן שתחת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יהא עונשו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  <w:r>
        <w:rPr>
          <w:rtl w:val="true"/>
        </w:rPr>
        <w:t>עוד נוסיף</w:t>
      </w:r>
      <w:r>
        <w:rPr>
          <w:rtl w:val="true"/>
        </w:rPr>
        <w:t xml:space="preserve">, </w:t>
      </w:r>
      <w:r>
        <w:rPr>
          <w:rtl w:val="true"/>
        </w:rPr>
        <w:t>כי משהמערערת לא עתרה לחיוב המשיב בפיצוי כספי לטובת המתלונן בבית המשפט קמא</w:t>
      </w:r>
      <w:r>
        <w:rPr>
          <w:rtl w:val="true"/>
        </w:rPr>
        <w:t xml:space="preserve">, </w:t>
      </w:r>
      <w:r>
        <w:rPr>
          <w:rtl w:val="true"/>
        </w:rPr>
        <w:t>אין מקום עתה לפסוק פיצוי שכזה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 רכיבי גזר הדין קמא יוותרו 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בהעדר עילה לחסות את שמו של המשיב</w:t>
      </w:r>
      <w:r>
        <w:rPr>
          <w:rtl w:val="true"/>
        </w:rPr>
        <w:t xml:space="preserve">, </w:t>
      </w:r>
      <w:r>
        <w:rPr>
          <w:rtl w:val="true"/>
        </w:rPr>
        <w:t>כפי שהסכימו באי</w:t>
      </w:r>
      <w:r>
        <w:rPr>
          <w:rtl w:val="true"/>
        </w:rPr>
        <w:t>-</w:t>
      </w:r>
      <w:r>
        <w:rPr>
          <w:rtl w:val="true"/>
        </w:rPr>
        <w:t>כוח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שמו המלא יפורסם בפסק דין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6.3.2022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22005770</w:t>
      </w:r>
      <w:r>
        <w:rPr>
          <w:sz w:val="16"/>
          <w:rtl w:val="true"/>
        </w:rPr>
        <w:t>_</w:t>
      </w:r>
      <w:r>
        <w:rPr>
          <w:sz w:val="16"/>
        </w:rPr>
        <w:t>J02.docx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י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אלרון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54678313-577/22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577/22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להב נאוגרקר אוחנינה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64278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b" TargetMode="External"/><Relationship Id="rId6" Type="http://schemas.openxmlformats.org/officeDocument/2006/relationships/hyperlink" Target="http://www.nevo.co.il/law/70301/144d2" TargetMode="External"/><Relationship Id="rId7" Type="http://schemas.openxmlformats.org/officeDocument/2006/relationships/hyperlink" Target="http://www.nevo.co.il/law/70301/144f" TargetMode="External"/><Relationship Id="rId8" Type="http://schemas.openxmlformats.org/officeDocument/2006/relationships/hyperlink" Target="http://www.nevo.co.il/law/70301/157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case/27642785" TargetMode="External"/><Relationship Id="rId11" Type="http://schemas.openxmlformats.org/officeDocument/2006/relationships/hyperlink" Target="http://www.nevo.co.il/law/70301/144d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b" TargetMode="External"/><Relationship Id="rId14" Type="http://schemas.openxmlformats.org/officeDocument/2006/relationships/hyperlink" Target="http://www.nevo.co.il/law/70301/157" TargetMode="External"/><Relationship Id="rId15" Type="http://schemas.openxmlformats.org/officeDocument/2006/relationships/hyperlink" Target="http://www.nevo.co.il/law/70301/144f" TargetMode="External"/><Relationship Id="rId16" Type="http://schemas.openxmlformats.org/officeDocument/2006/relationships/hyperlink" Target="http://www.nevo.co.il/law/70301/413e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f" TargetMode="External"/><Relationship Id="rId19" Type="http://schemas.openxmlformats.org/officeDocument/2006/relationships/hyperlink" Target="http://www.nevo.co.il/case/27476753" TargetMode="External"/><Relationship Id="rId20" Type="http://schemas.openxmlformats.org/officeDocument/2006/relationships/hyperlink" Target="http://www.nevo.co.il/case/28250215" TargetMode="External"/><Relationship Id="rId21" Type="http://schemas.openxmlformats.org/officeDocument/2006/relationships/hyperlink" Target="http://www.nevo.co.il/case/24263086" TargetMode="External"/><Relationship Id="rId22" Type="http://schemas.openxmlformats.org/officeDocument/2006/relationships/hyperlink" Target="http://www.nevo.co.il/case/28296934" TargetMode="External"/><Relationship Id="rId23" Type="http://schemas.openxmlformats.org/officeDocument/2006/relationships/hyperlink" Target="https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2022-03-06T18:18:00Z</dcterms:created>
  <dc:creator>h4</dc:creator>
  <dc:description/>
  <cp:keywords/>
  <dc:language>en-IL</dc:language>
  <cp:lastModifiedBy>orly</cp:lastModifiedBy>
  <cp:lastPrinted>2022-03-06T09:03:00Z</cp:lastPrinted>
  <dcterms:modified xsi:type="dcterms:W3CDTF">2022-03-06T18:18:00Z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להב נאוגרקר אוחנינה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27642785:2;27476753;28250215;24263086;28296934</vt:lpwstr>
  </property>
  <property fmtid="{D5CDD505-2E9C-101B-9397-08002B2CF9AE}" pid="9" name="CITY">
    <vt:lpwstr/>
  </property>
  <property fmtid="{D5CDD505-2E9C-101B-9397-08002B2CF9AE}" pid="10" name="DATE">
    <vt:lpwstr>20220306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אלרון;י' וילנר;ע' גרוסקופף</vt:lpwstr>
  </property>
  <property fmtid="{D5CDD505-2E9C-101B-9397-08002B2CF9AE}" pid="14" name="LAWLISTTMP1">
    <vt:lpwstr>70301/144d2;144b;157;144f:2;413e;029</vt:lpwstr>
  </property>
  <property fmtid="{D5CDD505-2E9C-101B-9397-08002B2CF9AE}" pid="15" name="LAWYER">
    <vt:lpwstr>יוסי סקה;יוסי בכר;אופיר טישלר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</vt:lpwstr>
  </property>
  <property fmtid="{D5CDD505-2E9C-101B-9397-08002B2CF9AE}" pid="48" name="NOSE31">
    <vt:lpwstr>מדיניות ענישה: עבירות המרדה וגזענות</vt:lpwstr>
  </property>
  <property fmtid="{D5CDD505-2E9C-101B-9397-08002B2CF9AE}" pid="49" name="NOSE310">
    <vt:lpwstr/>
  </property>
  <property fmtid="{D5CDD505-2E9C-101B-9397-08002B2CF9AE}" pid="50" name="NOSE32">
    <vt:lpwstr>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8986;15230</vt:lpwstr>
  </property>
  <property fmtid="{D5CDD505-2E9C-101B-9397-08002B2CF9AE}" pid="59" name="PADIDATE">
    <vt:lpwstr>20220307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577</vt:lpwstr>
  </property>
  <property fmtid="{D5CDD505-2E9C-101B-9397-08002B2CF9AE}" pid="65" name="PROCYEAR">
    <vt:lpwstr>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410120220306</vt:lpwstr>
  </property>
  <property fmtid="{D5CDD505-2E9C-101B-9397-08002B2CF9AE}" pid="69" name="TYPE_N_DATE">
    <vt:lpwstr>41020220306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