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578/21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סעיד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סרארי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.12.2020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52905-11-16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יוסף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קלמן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ברום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הימן</w:t>
            </w:r>
          </w:p>
        </w:tc>
      </w:tr>
    </w:tbl>
    <w:p>
      <w:pPr>
        <w:pStyle w:val="Ruller31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4.1.2023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</w:t>
            </w:r>
            <w:r>
              <w:rPr>
                <w:rtl w:val="true"/>
              </w:rPr>
              <w:t>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דראוושה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רוזן</w:t>
            </w:r>
            <w:r>
              <w:rPr>
                <w:rtl w:val="true"/>
              </w:rPr>
              <w:t xml:space="preserve">;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פמיליה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פוגל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פוגל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לוין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מרים גור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אריה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הרפורמה בעבירות ההמתה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על מדרג עבירות ההמתה ועל רצח מתוך אדישות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ספר יעקב וינרוט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 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גרשון גונטובניק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אבי וינרוט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חיים זיכרמן עורכים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441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מרים גור אריה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הרפורמה המוצעת לעבירות ההמתה במשפט הישראלי לאור עקרון האשמה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 על אתר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ascii="FrankRuehl" w:hAnsi="FrankRuehl" w:cs="FrankRuehl"/>
          <w:color w:val="000000"/>
          <w:sz w:val="24"/>
          <w:sz w:val="24"/>
          <w:rtl w:val="true"/>
        </w:rPr>
        <w:t>יורם רבין</w:t>
      </w:r>
      <w:r>
        <w:rPr>
          <w:rFonts w:cs="FrankRuehl" w:ascii="FrankRuehl" w:hAnsi="FrankRuehl"/>
          <w:color w:val="000000"/>
          <w:sz w:val="24"/>
          <w:rtl w:val="true"/>
        </w:rPr>
        <w:t xml:space="preserve">,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יניב ואקי  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דיני עונשין 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חאלד גנאים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הרפורמה בעבירות ההמתה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</w:rPr>
          <w:t>2019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לאור עקרונות היסוד של המשפט ומחקר היסטורי והשוואתי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2020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7">
        <w:r>
          <w:rPr>
            <w:rtl w:val="true"/>
          </w:rPr>
        </w:r>
      </w:hyperlink>
      <w:bookmarkStart w:id="11" w:name="Links_End"/>
      <w:bookmarkStart w:id="12" w:name="Links_End"/>
      <w:bookmarkEnd w:id="12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3" w:name="LawTable"/>
      <w:bookmarkEnd w:id="13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)).,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)).,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301.3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2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5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3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7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4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5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כד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9">
        <w:r>
          <w:rPr>
            <w:rStyle w:val="Hyperlink"/>
            <w:rFonts w:cs="FrankRuehl" w:ascii="FrankRuehl" w:hAnsi="FrankRuehl"/>
            <w:sz w:val="24"/>
            <w:u w:val="none"/>
          </w:rPr>
          <w:t>184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sz w:val="24"/>
            <w:u w:val="none"/>
          </w:rPr>
          <w:t>216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4" w:name="LawTable_End"/>
      <w:bookmarkStart w:id="15" w:name="LawTable_End"/>
      <w:bookmarkEnd w:id="15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6" w:name="ABSTRACT_START"/>
      <w:bookmarkEnd w:id="16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פסק כי </w:t>
      </w:r>
      <w:r>
        <w:rPr>
          <w:rFonts w:ascii="Times New Roman" w:hAnsi="Times New Roman" w:cs="Times New Roman"/>
          <w:spacing w:val="0"/>
          <w:szCs w:val="26"/>
          <w:rtl w:val="true"/>
        </w:rPr>
        <w:t>חלף הרשעת המערער בעבירת רצח בכוונה תחילה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של אחותו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בנוסחו טרם הרפורמה בעבירות ההמתה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יורשע בעבירת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מעשה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אינו </w:t>
      </w:r>
      <w:r>
        <w:rPr>
          <w:rFonts w:ascii="Times New Roman" w:hAnsi="Times New Roman" w:cs="Times New Roman"/>
          <w:spacing w:val="0"/>
          <w:szCs w:val="26"/>
          <w:rtl w:val="true"/>
        </w:rPr>
        <w:t>נכנס לגדרי עבירת הרצח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הורה כי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שהעונש בצד עבירה זו הוא עונש מרבי של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הדיון 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>ושב לבי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ל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ascii="Times New Roman" w:hAnsi="Times New Roman" w:cs="Times New Roman"/>
          <w:spacing w:val="0"/>
          <w:szCs w:val="26"/>
          <w:rtl w:val="true"/>
        </w:rPr>
        <w:t>זירת דינו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עבירת הרצח – תיקון </w:t>
      </w:r>
      <w:r>
        <w:rPr>
          <w:rFonts w:cs="Times New Roman" w:ascii="Times New Roman" w:hAnsi="Times New Roman"/>
          <w:spacing w:val="0"/>
          <w:szCs w:val="26"/>
        </w:rPr>
        <w:t>137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עבירת הרצח – החלטה להמית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עבירת הרצח – אכזריות מיוחדת או תוך התעללות גופנית או נפשית בקורבן ‏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רצח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ענישה – תיקון </w:t>
      </w:r>
      <w:r>
        <w:rPr>
          <w:rFonts w:cs="Times New Roman" w:ascii="Times New Roman" w:hAnsi="Times New Roman"/>
          <w:spacing w:val="0"/>
          <w:szCs w:val="26"/>
        </w:rPr>
        <w:t>137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עבירת רצח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מאסר עולם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הורשע </w:t>
      </w:r>
      <w:r>
        <w:rPr>
          <w:rFonts w:ascii="Times New Roman" w:hAnsi="Times New Roman" w:cs="Times New Roman"/>
          <w:spacing w:val="0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ברצח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בכוונה תחילה של </w:t>
      </w:r>
      <w:r>
        <w:rPr>
          <w:rFonts w:ascii="Times New Roman" w:hAnsi="Times New Roman" w:cs="Times New Roman"/>
          <w:spacing w:val="0"/>
          <w:szCs w:val="26"/>
          <w:rtl w:val="true"/>
        </w:rPr>
        <w:t>אחותו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בנוסחו קודם לרפורמה בעבירות ההמתה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הרשעתו נגזר עליו עונש של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נסב על הכרעת 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ממוקד בסוגיית הרפורמה בעבירות ההמתה והשלכתה על עניינו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לקבוע האם מעשה ההמתה </w:t>
      </w:r>
      <w:r>
        <w:rPr>
          <w:rFonts w:ascii="Times New Roman" w:hAnsi="Times New Roman" w:cs="Times New Roman"/>
          <w:spacing w:val="0"/>
          <w:szCs w:val="26"/>
          <w:rtl w:val="true"/>
        </w:rPr>
        <w:t>נכנס בגדרי עבירת הרצח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שמא יש להרשיעו בעבירת הרצח הבסיסית 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שטיין וכשר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תחילה נדונו ונדחו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 המערער ביחס לאופן ניסוח 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שלא התבקש לתקנו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ובדבר סתירה הקיימת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כביכול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עובדות כתב האישום לטענות המדינה כי מתקיימות נסיבות המחמירות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ציין כי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המבנה שעוצב בחוק הוא של צורה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של עבירת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וצורה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מוחמרת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לעיתים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ההבחנה בין שתי העבירות אינה כה חדה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המחוקק ראה לנגד עיניו מקרים שבהם מעשה המתה ייכנס לגדרי נסיבה מחמירה אחת או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מידת האשם שבו אינה תואמת לעבירת הרצח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חריגים שכאלו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שבהם מתקיימות נסיבות מיוחדות שבשלהן המעשה אינו מבטא דרגת אשמה חמורה במיוחד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cs="Times New Roman" w:ascii="Times New Roman" w:hAnsi="Times New Roman"/>
          <w:spacing w:val="0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יורשע הנאשם בעבירת הרצח 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כן קיימת נקודת השקה בין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שבאה לביטוי בכך שניתן להשית גם בגין עבירת הרצח הבסיסית עונש של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עמד על 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חשיבות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רבה לכך שלא תינתן פרשנות רחבה מן הראוי לנסיבות המחמירות הקבועות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במקרה זה 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נסיבה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הקבועה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 נעשה לאחר תכנון או לאחר הליך ממשי של שקילה וגיבוש החלטה להמית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לא מתקיימת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עמד על הקושי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לקבוע כללים גורפים לתיחום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הסעיף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ציין כי ב</w:t>
      </w:r>
      <w:r>
        <w:rPr>
          <w:rFonts w:ascii="Times New Roman" w:hAnsi="Times New Roman" w:cs="Times New Roman"/>
          <w:spacing w:val="0"/>
          <w:szCs w:val="26"/>
          <w:rtl w:val="true"/>
        </w:rPr>
        <w:t>פסיק</w:t>
      </w:r>
      <w:r>
        <w:rPr>
          <w:rFonts w:ascii="Times New Roman" w:hAnsi="Times New Roman" w:cs="Times New Roman"/>
          <w:spacing w:val="0"/>
          <w:szCs w:val="26"/>
          <w:rtl w:val="true"/>
        </w:rPr>
        <w:t>ה 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בין היתר כי כאשר הרוצח מבצע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שרשרת פעולות הדורשות זמן ומאמץ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ניתן ללמוד ממנה כי הרצח נעשה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תכנון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עוד נקבע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במקרים מסוימים יש חשיבות לממד הזמן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כאשר תכנית ההמתה נפרשת על פני זמן ממושך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נוטה הכף לטובת קביעה כי הרוצח פעל לאחר הליך ממשי של שקילה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אף הצטיידות הרוצח מראש בכלי ההמתה או באמצעי לצורך הסתרת הגופה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עשויים ללמד כי נסיבה מחמירה זו מתקיימת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כך גם נקיטת פעולות להבאת הקורבן לזירת הרצח בעיתוי המתאים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או פעולות להכנת זירת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לרכיבים מסוג זה מצטרפת העובדה כי המבצע פגע פעמים רבות בקורבן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בנשק קר או 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המסקנה המתבקשת היא כי מדובר ברצח ש</w:t>
      </w:r>
      <w:r>
        <w:rPr>
          <w:rFonts w:ascii="Times New Roman" w:hAnsi="Times New Roman" w:cs="Times New Roman"/>
          <w:spacing w:val="0"/>
          <w:szCs w:val="26"/>
          <w:rtl w:val="true"/>
        </w:rPr>
        <w:t>נכנס לגדר הסעיף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 אין תמיכה בראיות לכך 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מעשה הרצח היה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מתוכנן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אף לא הוכח כי מעשה </w:t>
      </w:r>
      <w:r>
        <w:rPr>
          <w:rFonts w:ascii="Times New Roman" w:hAnsi="Times New Roman" w:cs="Times New Roman"/>
          <w:spacing w:val="0"/>
          <w:szCs w:val="26"/>
          <w:rtl w:val="true"/>
        </w:rPr>
        <w:t>ההמתה בוצע לאחר הליך ממשי של שקילה וגיבוש החלטה להמית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בהחלטה שהתקבלה באופן ספונטני ועל רקע ויכוח סוער ואלים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האב למנוחה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איומי אלימות קודמים של המערער נפרשו על פני תקופת זמן ארוכה </w:t>
      </w:r>
      <w:r>
        <w:rPr>
          <w:rFonts w:ascii="Times New Roman" w:hAnsi="Times New Roman" w:cs="Times New Roman"/>
          <w:spacing w:val="0"/>
          <w:szCs w:val="26"/>
          <w:rtl w:val="true"/>
        </w:rPr>
        <w:t>אך אין בכך כדי ל</w:t>
      </w:r>
      <w:r>
        <w:rPr>
          <w:rFonts w:ascii="Times New Roman" w:hAnsi="Times New Roman" w:cs="Times New Roman"/>
          <w:spacing w:val="0"/>
          <w:szCs w:val="26"/>
          <w:rtl w:val="true"/>
        </w:rPr>
        <w:t>למד דווקא כי המתת המנוחה הייתה תוצר של הליך שקול ומחושב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על מערכת היחסים העכורה שעמדה ברקע התפרצות המערער ברגע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במקרה זה ה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הקבועה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 נעשה כפעולה עונשית במטרה להטיל מרות או מורא ולכפות אורחות התנהגות על 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 מתקיימת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המקרים ה בהם תתקיים נסיבה זו הם המקרים שכונו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רצח על רקע כבוד המשפחה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נסיבה מחמירה 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כוללת רכיב אחד לפיו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 נעשה כפעולה עונשית</w:t>
      </w:r>
      <w:r>
        <w:rPr>
          <w:rFonts w:cs="Times New Roman" w:ascii="Times New Roman" w:hAnsi="Times New Roman"/>
          <w:spacing w:val="0"/>
          <w:szCs w:val="26"/>
          <w:rtl w:val="true"/>
        </w:rPr>
        <w:t>";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ורכיב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שני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יסוד נפשי שלפיו אותה פעולה עונשית נעשתה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במטרה להטיל מרות או מורא ולכפות אורחות התנהגות על 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לתאר את הנסיבה כמתייחסת למעגל פנימי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שבו מדובר על כך שמעשה ההמתה בוצע כאקט עונשי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 ענישה פרטית של הרוצח כלפי הקורבן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המבוסס על תפיסה תרבותית או אידיאולוגית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ומעגל חיצוני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שבא לידי ביטוי בדרישה כי המתת הקורבן נעשתה במטרה להטיל מרות או מורא ולכפות אורחות התנהגות על 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במעגל החיצוני המוקד אינו במישור היחסים שבין הרוצח לקורבן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בין הרוצח למעגל הסביבתי הרחב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מנת שתחול נסיבה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נדרש כי מבחינת המבצע הרצח נעשה במטרה להשפיע על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במקרה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מעגל הפנימי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מעשה הרצח בוצע על רקע אי שביעות רצונו של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מאורחות חייה של המנוחה ורצונו להטיל עליה את מרותו ולכפות עליה אורחות התנהגות שונים משלה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חס 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מעגל החיצוני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היסוד הנפשי הנדרש עניינו במטרה שאותה רוצה להשיג המבצע ביחס 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לו היה נקבע כי המערער רצח את המנוחה במטרה להשפיע על חלק מהמשפחה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ניתן לטעון כי מתקיים היסוד הנפשי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כל קביעה שכזו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>טענת המשיבה פעולת המערער לא נעשתה כלפי המנוחה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היה במעשה כדי לשדר מסר לכלל הנשים במשפחה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ובציבור בכלל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המחוקק בחר שלא לאמץ נוסח דומה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די בכך שבפעולתו יש אפשרות שהמעשה ישדר מסר שכזה או שמדובר במעשה שמעצם טיבו יכול לשדר מסר שכזה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 להראות כי המערער עצמ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באופן סובייקטיבי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ביצע את הרצח במטרה לשדר את אותו מסר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הוצגו ראיות התומכות בכך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במקרה זה ה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הקבועה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 נעשה באכזריות מיוחדת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תוך התעללות גופנית או נפשית בקורבן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 מתקיימת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השימוש ב</w:t>
      </w:r>
      <w:r>
        <w:rPr>
          <w:rFonts w:ascii="Times New Roman" w:hAnsi="Times New Roman" w:cs="Times New Roman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שמור למקרים חריגים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מפני שיש להמעיט מחומרת מעשיו של הרוצח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מפני ש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לכבד את המדרג שעוצב בקפידה ברפורמה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במעשה רצח אכזרי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הוא אינו דומה למקרים שהוכרו בפסיקה עד כה ככאלו אשר נכנסים לגדרי הסעיף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7" w:name="ABSTRACT_END"/>
      <w:bookmarkStart w:id="18" w:name="ABSTRACT_END"/>
      <w:bookmarkEnd w:id="1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9" w:name="PsakDin"/>
            <w:bookmarkStart w:id="20" w:name="BeginProtocol"/>
            <w:bookmarkStart w:id="21" w:name="secretary"/>
            <w:bookmarkEnd w:id="19"/>
            <w:bookmarkEnd w:id="20"/>
            <w:bookmarkEnd w:id="2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22" w:name="Writer_Name"/>
      <w:bookmarkEnd w:id="2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23" w:name="Start_Write"/>
      <w:bookmarkStart w:id="24" w:name="Start_Write"/>
      <w:bookmarkEnd w:id="24"/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 ערעור על הכרעת דינו של בית המשפט המחוזי בתל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קלמן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ברום</w:t>
      </w:r>
      <w:r>
        <w:rPr>
          <w:rtl w:val="true"/>
        </w:rPr>
        <w:t xml:space="preserve"> והשופט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הימן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3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52905-11-16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1.12.2020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סעיד אבו סרארי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סעיד</w:t>
      </w:r>
      <w:r>
        <w:rPr>
          <w:rtl w:val="true"/>
        </w:rPr>
        <w:t xml:space="preserve">), </w:t>
      </w:r>
      <w:r>
        <w:rPr>
          <w:rtl w:val="true"/>
        </w:rPr>
        <w:t>הורשע ברצח אחותו</w:t>
      </w:r>
      <w:r>
        <w:rPr>
          <w:rtl w:val="true"/>
        </w:rPr>
        <w:t xml:space="preserve">, </w:t>
      </w:r>
      <w:r>
        <w:rPr>
          <w:rtl w:val="true"/>
        </w:rPr>
        <w:t xml:space="preserve">הודא כחיל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הודא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בנוסחו קודם לרפורמה בעבירות ההמתה</w:t>
      </w:r>
      <w:r>
        <w:rPr>
          <w:rtl w:val="true"/>
        </w:rPr>
        <w:t xml:space="preserve">. </w:t>
      </w:r>
      <w:r>
        <w:rPr>
          <w:rtl w:val="true"/>
        </w:rPr>
        <w:t>בגין הרשעתו נגזר עליו עונש של מאסר עולם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 שלפנינו ממוקד בסוגיית הרפורמה בעבירות ההמתה והשלכתה על עניינו של המערער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 xml:space="preserve">עלינו לקבוע האם מעשה ההמתה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tl w:val="true"/>
        </w:rPr>
        <w:t>" (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);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במטרה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ולכפות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ציבור</w:t>
      </w:r>
      <w:r>
        <w:rPr>
          <w:rtl w:val="true"/>
        </w:rPr>
        <w:t>" (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באכזריות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התעללות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גופנית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בקורבן</w:t>
      </w:r>
      <w:r>
        <w:rPr>
          <w:rtl w:val="true"/>
        </w:rPr>
        <w:t>" (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אקדים ואומר כי לגישתי יש לקבל את הערעור</w:t>
      </w:r>
      <w:r>
        <w:rPr>
          <w:rtl w:val="true"/>
        </w:rPr>
        <w:t xml:space="preserve">, </w:t>
      </w:r>
      <w:r>
        <w:rPr>
          <w:rtl w:val="true"/>
        </w:rPr>
        <w:t>כך שהמערער יורשע בעבירת הרצח הבסיסית תחת הרשעתו בעבירת רצח בכוונה תחילה לפי החוק בנוסחו הקודם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עיקרי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כתב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האישום</w:t>
      </w:r>
    </w:p>
    <w:p>
      <w:pPr>
        <w:pStyle w:val="Ruller41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והמנוחה התגוררו בדירה ביפו עם הוריהם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הדירה</w:t>
      </w:r>
      <w:r>
        <w:rPr>
          <w:rtl w:val="true"/>
        </w:rPr>
        <w:t xml:space="preserve">). </w:t>
      </w:r>
      <w:r>
        <w:rPr>
          <w:rtl w:val="true"/>
        </w:rPr>
        <w:t xml:space="preserve">ביום </w:t>
      </w:r>
      <w:r>
        <w:rPr/>
        <w:t>25.10.2016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19:00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שאל המערער את אביו</w:t>
      </w:r>
      <w:r>
        <w:rPr>
          <w:rtl w:val="true"/>
        </w:rPr>
        <w:t xml:space="preserve">, </w:t>
      </w:r>
      <w:r>
        <w:rPr>
          <w:rtl w:val="true"/>
        </w:rPr>
        <w:t>בעודם בדירה</w:t>
      </w:r>
      <w:r>
        <w:rPr>
          <w:rtl w:val="true"/>
        </w:rPr>
        <w:t xml:space="preserve">, </w:t>
      </w:r>
      <w:r>
        <w:rPr>
          <w:rtl w:val="true"/>
        </w:rPr>
        <w:t xml:space="preserve">היכן </w:t>
      </w:r>
      <w:r>
        <w:rPr>
          <w:rtl w:val="true"/>
        </w:rPr>
        <w:t>"</w:t>
      </w:r>
      <w:r>
        <w:rPr>
          <w:rtl w:val="true"/>
        </w:rPr>
        <w:t>מסתובבת</w:t>
      </w:r>
      <w:r>
        <w:rPr>
          <w:rtl w:val="true"/>
        </w:rPr>
        <w:t xml:space="preserve">"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הביע תמיהה על כך שאינה חוזרת לדירה וכן הביע מורת רוח מהתנהגותה</w:t>
      </w:r>
      <w:r>
        <w:rPr>
          <w:rtl w:val="true"/>
        </w:rPr>
        <w:t xml:space="preserve">. </w:t>
      </w:r>
      <w:r>
        <w:rPr>
          <w:rtl w:val="true"/>
        </w:rPr>
        <w:t>סמוך לכך</w:t>
      </w:r>
      <w:r>
        <w:rPr>
          <w:rtl w:val="true"/>
        </w:rPr>
        <w:t xml:space="preserve">, </w:t>
      </w:r>
      <w:r>
        <w:rPr>
          <w:rtl w:val="true"/>
        </w:rPr>
        <w:t>המנוחה שבה לדירה והתפתח ויכוח קולני בינה לבין אביה על אודות פרק הזמן ששהתה מחוץ לדירה ומעשיה בו</w:t>
      </w:r>
      <w:r>
        <w:rPr>
          <w:rtl w:val="true"/>
        </w:rPr>
        <w:t xml:space="preserve">. </w:t>
      </w:r>
      <w:r>
        <w:rPr>
          <w:rtl w:val="true"/>
        </w:rPr>
        <w:t>במהלך הוויכוח האב סטר למנוחה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כלשון כתב האישום</w:t>
      </w:r>
      <w:r>
        <w:rPr>
          <w:rtl w:val="true"/>
        </w:rPr>
        <w:t>, "</w:t>
      </w:r>
      <w:r>
        <w:rPr>
          <w:rtl w:val="true"/>
        </w:rPr>
        <w:t>בעקבות הוויכוח</w:t>
      </w:r>
      <w:r>
        <w:rPr>
          <w:rtl w:val="true"/>
        </w:rPr>
        <w:t xml:space="preserve">", </w:t>
      </w:r>
      <w:r>
        <w:rPr>
          <w:rtl w:val="true"/>
        </w:rPr>
        <w:t>גמלה בלבו של המערער ההחלטה לגרום בכוונה תחילה למות המנוחה</w:t>
      </w:r>
      <w:r>
        <w:rPr>
          <w:rtl w:val="true"/>
        </w:rPr>
        <w:t xml:space="preserve">. </w:t>
      </w:r>
      <w:r>
        <w:rPr>
          <w:rtl w:val="true"/>
        </w:rPr>
        <w:t>המערער נטל סכין</w:t>
      </w:r>
      <w:r>
        <w:rPr>
          <w:rtl w:val="true"/>
        </w:rPr>
        <w:t xml:space="preserve">, </w:t>
      </w:r>
      <w:r>
        <w:rPr>
          <w:rtl w:val="true"/>
        </w:rPr>
        <w:t>נכנס לחדרה של המנוחה</w:t>
      </w:r>
      <w:r>
        <w:rPr>
          <w:rtl w:val="true"/>
        </w:rPr>
        <w:t xml:space="preserve">, </w:t>
      </w:r>
      <w:r>
        <w:rPr>
          <w:rtl w:val="true"/>
        </w:rPr>
        <w:t>שישבה באותה עת על המיטה</w:t>
      </w:r>
      <w:r>
        <w:rPr>
          <w:rtl w:val="true"/>
        </w:rPr>
        <w:t xml:space="preserve">, </w:t>
      </w:r>
      <w:r>
        <w:rPr>
          <w:rtl w:val="true"/>
        </w:rPr>
        <w:t xml:space="preserve">ודקר אותה באמצעות הסכין מספר רב של פעמים </w:t>
      </w:r>
      <w:r>
        <w:rPr>
          <w:rtl w:val="true"/>
        </w:rPr>
        <w:t>–</w:t>
      </w:r>
      <w:r>
        <w:rPr>
          <w:rtl w:val="true"/>
        </w:rPr>
        <w:t xml:space="preserve"> שבע דקירות בגב</w:t>
      </w:r>
      <w:r>
        <w:rPr>
          <w:rtl w:val="true"/>
        </w:rPr>
        <w:t xml:space="preserve">, </w:t>
      </w:r>
      <w:r>
        <w:rPr>
          <w:rtl w:val="true"/>
        </w:rPr>
        <w:t>דקירה בכתף שמאל</w:t>
      </w:r>
      <w:r>
        <w:rPr>
          <w:rtl w:val="true"/>
        </w:rPr>
        <w:t xml:space="preserve">, </w:t>
      </w:r>
      <w:r>
        <w:rPr>
          <w:rtl w:val="true"/>
        </w:rPr>
        <w:t>דקירה בזרוע ימין ושלוש דקירות בבטן ובאגן</w:t>
      </w:r>
      <w:r>
        <w:rPr>
          <w:rtl w:val="true"/>
        </w:rPr>
        <w:t xml:space="preserve">. </w:t>
      </w:r>
      <w:r>
        <w:rPr>
          <w:rtl w:val="true"/>
        </w:rPr>
        <w:t>המנוחה נפלה ארצה</w:t>
      </w:r>
      <w:r>
        <w:rPr>
          <w:rtl w:val="true"/>
        </w:rPr>
        <w:t xml:space="preserve">, </w:t>
      </w:r>
      <w:r>
        <w:rPr>
          <w:rtl w:val="true"/>
        </w:rPr>
        <w:t>ובעודה שרועה על הרצפה המערער המשיך ודקר אותה שלוש פעמים בחזה</w:t>
      </w:r>
      <w:r>
        <w:rPr>
          <w:rtl w:val="true"/>
        </w:rPr>
        <w:t xml:space="preserve">. </w:t>
      </w:r>
      <w:r>
        <w:rPr>
          <w:rtl w:val="true"/>
        </w:rPr>
        <w:t>מותה נגרם כתוצאה מאיבוד דם</w:t>
      </w:r>
      <w:r>
        <w:rPr>
          <w:rtl w:val="true"/>
        </w:rPr>
        <w:t xml:space="preserve">, </w:t>
      </w:r>
      <w:r>
        <w:rPr>
          <w:rtl w:val="true"/>
        </w:rPr>
        <w:t>לאחר שאחד מפצעי הדקירה בגבה פגע באבי העורקים</w:t>
      </w:r>
      <w:r>
        <w:rPr>
          <w:rtl w:val="true"/>
        </w:rPr>
        <w:t xml:space="preserve">. </w:t>
      </w:r>
      <w:r>
        <w:rPr>
          <w:rtl w:val="true"/>
        </w:rPr>
        <w:t>המערער נטל את הסכין ונמלט</w:t>
      </w:r>
      <w:r>
        <w:rPr>
          <w:rtl w:val="true"/>
        </w:rPr>
        <w:t xml:space="preserve">. </w:t>
      </w:r>
      <w:r>
        <w:rPr>
          <w:rtl w:val="true"/>
        </w:rPr>
        <w:t>במהלך מנוסתו החליף את בגדיו והשליך את הסכין ובגדיו המגואלים בדם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בשל מעשים אלו יוחסה למערער כאמור עבירה של רצח בכוונה תחילה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בנוסחו עובר לרפורמה בעבירות ההמתה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קבע כי התשתית הראייתית אשר הוצגה לפניו מבססת מעבר לספק סביר את התקיימות יסודות עבירת הרצח בכוונה תחילה</w:t>
      </w:r>
      <w:r>
        <w:rPr>
          <w:rtl w:val="true"/>
        </w:rPr>
        <w:t xml:space="preserve">. </w:t>
      </w:r>
      <w:r>
        <w:rPr>
          <w:rtl w:val="true"/>
        </w:rPr>
        <w:t>אתאר את הכרעת הדין בתמצית בלבד</w:t>
      </w:r>
      <w:r>
        <w:rPr>
          <w:rtl w:val="true"/>
        </w:rPr>
        <w:t xml:space="preserve">, </w:t>
      </w:r>
      <w:r>
        <w:rPr>
          <w:rtl w:val="true"/>
        </w:rPr>
        <w:t>מאחר שבעת הזו עיקר קביעותיו העובדתיות של בית המשפט המחוזי  אינן במחלוקת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ראיות מרכזיות שהוצגו והובילו להרשעת המערער הן עדויות ההורים </w:t>
      </w:r>
      <w:r>
        <w:rPr>
          <w:rtl w:val="true"/>
        </w:rPr>
        <w:t>–</w:t>
      </w:r>
      <w:r>
        <w:rPr>
          <w:rtl w:val="true"/>
        </w:rPr>
        <w:t xml:space="preserve"> עדנאן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האב</w:t>
      </w:r>
      <w:r>
        <w:rPr>
          <w:rtl w:val="true"/>
        </w:rPr>
        <w:t xml:space="preserve">) </w:t>
      </w:r>
      <w:r>
        <w:rPr>
          <w:rtl w:val="true"/>
        </w:rPr>
        <w:t xml:space="preserve">ורסמייה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tl w:val="true"/>
        </w:rPr>
        <w:t xml:space="preserve">), </w:t>
      </w:r>
      <w:r>
        <w:rPr>
          <w:rtl w:val="true"/>
        </w:rPr>
        <w:t>אשר שהו בדירה בעת האירוע</w:t>
      </w:r>
      <w:r>
        <w:rPr>
          <w:rtl w:val="true"/>
        </w:rPr>
        <w:t xml:space="preserve">. </w:t>
      </w:r>
      <w:r>
        <w:rPr>
          <w:rtl w:val="true"/>
        </w:rPr>
        <w:t>בתמצית יצוין</w:t>
      </w:r>
      <w:r>
        <w:rPr>
          <w:rtl w:val="true"/>
        </w:rPr>
        <w:t xml:space="preserve">, </w:t>
      </w:r>
      <w:r>
        <w:rPr>
          <w:rtl w:val="true"/>
        </w:rPr>
        <w:t>כי בסמוך לאחר האירוע השניים מסרו למשטרה גרסה המפלילה את המערער בדקירת המנוחה</w:t>
      </w:r>
      <w:r>
        <w:rPr>
          <w:rtl w:val="true"/>
        </w:rPr>
        <w:t xml:space="preserve">, </w:t>
      </w:r>
      <w:r>
        <w:rPr>
          <w:rtl w:val="true"/>
        </w:rPr>
        <w:t xml:space="preserve">שלפיה המערער נכנס לחדר שבו שהו האב והמנוחה ושם דקר את המנוחה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39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37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ביחס לאב</w:t>
      </w:r>
      <w:r>
        <w:rPr>
          <w:rtl w:val="true"/>
        </w:rPr>
        <w:t xml:space="preserve">, </w:t>
      </w:r>
      <w:r>
        <w:rPr>
          <w:rtl w:val="true"/>
        </w:rPr>
        <w:t>נקבע כי יש להעדיף את גרסתו המקורית על פני הדברים שמסר בשלבים מאוחרים יותר של החקירה</w:t>
      </w:r>
      <w:r>
        <w:rPr>
          <w:rtl w:val="true"/>
        </w:rPr>
        <w:t xml:space="preserve">, </w:t>
      </w:r>
      <w:r>
        <w:rPr>
          <w:rtl w:val="true"/>
        </w:rPr>
        <w:t>עת חזר בו מחלק מאמירותיו</w:t>
      </w:r>
      <w:r>
        <w:rPr>
          <w:rtl w:val="true"/>
        </w:rPr>
        <w:t xml:space="preserve">. </w:t>
      </w:r>
      <w:r>
        <w:rPr>
          <w:rtl w:val="true"/>
        </w:rPr>
        <w:t>בעדותו בבית המשפט</w:t>
      </w:r>
      <w:r>
        <w:rPr>
          <w:rtl w:val="true"/>
        </w:rPr>
        <w:t xml:space="preserve">, </w:t>
      </w:r>
      <w:r>
        <w:rPr>
          <w:rtl w:val="true"/>
        </w:rPr>
        <w:t>אף הוכרז האב כ</w:t>
      </w:r>
      <w:r>
        <w:rPr>
          <w:rtl w:val="true"/>
        </w:rPr>
        <w:t>"</w:t>
      </w:r>
      <w:r>
        <w:rPr>
          <w:rtl w:val="true"/>
        </w:rPr>
        <w:t>עד עוין</w:t>
      </w:r>
      <w:r>
        <w:rPr>
          <w:rtl w:val="true"/>
        </w:rPr>
        <w:t xml:space="preserve">".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אומצה גרסת האם כפי שנמסרה בהודעתה הראשונה במשטרה</w:t>
      </w:r>
      <w:r>
        <w:rPr>
          <w:rtl w:val="true"/>
        </w:rPr>
        <w:t xml:space="preserve">. </w:t>
      </w:r>
      <w:r>
        <w:rPr>
          <w:rtl w:val="true"/>
        </w:rPr>
        <w:t>גם גרסת האם הייתה לא עקבית</w:t>
      </w:r>
      <w:r>
        <w:rPr>
          <w:rtl w:val="true"/>
        </w:rPr>
        <w:t xml:space="preserve">, </w:t>
      </w:r>
      <w:r>
        <w:rPr>
          <w:rtl w:val="true"/>
        </w:rPr>
        <w:t>שעה שבעימות שנערך עם המערער נסוגה מאמירתה כי המערער הוא שדקר את המנוחה</w:t>
      </w:r>
      <w:r>
        <w:rPr>
          <w:rtl w:val="true"/>
        </w:rPr>
        <w:t xml:space="preserve">. </w:t>
      </w:r>
      <w:r>
        <w:rPr>
          <w:rtl w:val="true"/>
        </w:rPr>
        <w:t>בעדותה בבית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אף טענה בשלב מסוים כי כלל לא ראתה מי דקר את המנוחה כי הייתה מחוץ לבית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דיון מיום </w:t>
      </w:r>
      <w:r>
        <w:rPr/>
        <w:t>5.11.2017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142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בהמשך עדותה אישרה כי ראתה שהמערער הוא שדקר את המנוחה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154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כן נשמעו עדויות נוספות על אמירות האב והאם בסמוך לאחר המעשה</w:t>
      </w:r>
      <w:r>
        <w:rPr>
          <w:rtl w:val="true"/>
        </w:rPr>
        <w:t xml:space="preserve">. </w:t>
      </w:r>
      <w:r>
        <w:rPr>
          <w:rtl w:val="true"/>
        </w:rPr>
        <w:t>פואד נבולסי</w:t>
      </w:r>
      <w:r>
        <w:rPr>
          <w:rtl w:val="true"/>
        </w:rPr>
        <w:t xml:space="preserve">, </w:t>
      </w:r>
      <w:r>
        <w:rPr>
          <w:rtl w:val="true"/>
        </w:rPr>
        <w:t>גיסו של האב</w:t>
      </w:r>
      <w:r>
        <w:rPr>
          <w:rtl w:val="true"/>
        </w:rPr>
        <w:t xml:space="preserve">, </w:t>
      </w:r>
      <w:r>
        <w:rPr>
          <w:rtl w:val="true"/>
        </w:rPr>
        <w:t>תיאר כי בערב האירוע האב התקשר אליו וביקש ממנו לבוא מהר</w:t>
      </w:r>
      <w:r>
        <w:rPr>
          <w:rtl w:val="true"/>
        </w:rPr>
        <w:t xml:space="preserve">, </w:t>
      </w:r>
      <w:r>
        <w:rPr>
          <w:rtl w:val="true"/>
        </w:rPr>
        <w:t>וכאשר שאל מה קרה</w:t>
      </w:r>
      <w:r>
        <w:rPr>
          <w:rtl w:val="true"/>
        </w:rPr>
        <w:t xml:space="preserve">, </w:t>
      </w:r>
      <w:r>
        <w:rPr>
          <w:rtl w:val="true"/>
        </w:rPr>
        <w:t>האב השיב לו כי המערער רצח את המנוחה</w:t>
      </w:r>
      <w:r>
        <w:rPr>
          <w:rtl w:val="true"/>
        </w:rPr>
        <w:t xml:space="preserve">. </w:t>
      </w:r>
      <w:r>
        <w:rPr>
          <w:rtl w:val="true"/>
        </w:rPr>
        <w:t xml:space="preserve">דבר דומה אמר לו האב עם הגעתו לדירה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דיון מיום </w:t>
      </w:r>
      <w:r>
        <w:rPr/>
        <w:t>31.10.2017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85</w:t>
      </w:r>
      <w:r>
        <w:rPr>
          <w:rtl w:val="true"/>
        </w:rPr>
        <w:t xml:space="preserve">). </w:t>
      </w:r>
      <w:r>
        <w:rPr>
          <w:rtl w:val="true"/>
        </w:rPr>
        <w:t>עוד סיפר</w:t>
      </w:r>
      <w:r>
        <w:rPr>
          <w:rtl w:val="true"/>
        </w:rPr>
        <w:t xml:space="preserve">, </w:t>
      </w:r>
      <w:r>
        <w:rPr>
          <w:rtl w:val="true"/>
        </w:rPr>
        <w:t xml:space="preserve">כי האם הייתה מחוץ לדירה וצעקה </w:t>
      </w:r>
      <w:r>
        <w:rPr>
          <w:rtl w:val="true"/>
        </w:rPr>
        <w:t>"</w:t>
      </w:r>
      <w:r>
        <w:rPr>
          <w:rtl w:val="true"/>
        </w:rPr>
        <w:t>למה רצחת אותה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86</w:t>
      </w:r>
      <w:r>
        <w:rPr>
          <w:rtl w:val="true"/>
        </w:rPr>
        <w:t xml:space="preserve">). </w:t>
      </w:r>
      <w:r>
        <w:rPr>
          <w:rtl w:val="true"/>
        </w:rPr>
        <w:t>עדה נוספת</w:t>
      </w:r>
      <w:r>
        <w:rPr>
          <w:rtl w:val="true"/>
        </w:rPr>
        <w:t xml:space="preserve">, </w:t>
      </w:r>
      <w:r>
        <w:rPr>
          <w:rtl w:val="true"/>
        </w:rPr>
        <w:t>שכנתם של האב והאם</w:t>
      </w:r>
      <w:r>
        <w:rPr>
          <w:rtl w:val="true"/>
        </w:rPr>
        <w:t xml:space="preserve">, </w:t>
      </w:r>
      <w:r>
        <w:rPr>
          <w:rtl w:val="true"/>
        </w:rPr>
        <w:t xml:space="preserve">העידה כי ראתה את האם צועקת </w:t>
      </w:r>
      <w:r>
        <w:rPr>
          <w:rtl w:val="true"/>
        </w:rPr>
        <w:t>"</w:t>
      </w:r>
      <w:r>
        <w:rPr>
          <w:rtl w:val="true"/>
        </w:rPr>
        <w:t>הבן שלי הרג את אחותו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דיון מיום </w:t>
      </w:r>
      <w:r>
        <w:rPr/>
        <w:t>5.11.2017</w:t>
      </w:r>
      <w:r>
        <w:rPr>
          <w:rtl w:val="true"/>
        </w:rPr>
        <w:t xml:space="preserve">, </w:t>
      </w:r>
      <w:r>
        <w:rPr>
          <w:rtl w:val="true"/>
        </w:rPr>
        <w:t xml:space="preserve">בעמודים </w:t>
      </w:r>
      <w:r>
        <w:rPr/>
        <w:t>108-107</w:t>
      </w:r>
      <w:r>
        <w:rPr>
          <w:rtl w:val="true"/>
        </w:rPr>
        <w:t xml:space="preserve">). </w:t>
      </w:r>
      <w:r>
        <w:rPr>
          <w:rtl w:val="true"/>
        </w:rPr>
        <w:t>לדברי שכן אחר</w:t>
      </w:r>
      <w:r>
        <w:rPr>
          <w:rtl w:val="true"/>
        </w:rPr>
        <w:t xml:space="preserve">, </w:t>
      </w:r>
      <w:r>
        <w:rPr>
          <w:rtl w:val="true"/>
        </w:rPr>
        <w:t xml:space="preserve">ראה את האם צורחת שבתה נדקרה והיא אף סיפרה לו שהמערער דקר את בתה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44</w:t>
      </w:r>
      <w:r>
        <w:rPr>
          <w:rtl w:val="true"/>
        </w:rPr>
        <w:t xml:space="preserve">). </w:t>
      </w:r>
      <w:r>
        <w:rPr>
          <w:rtl w:val="true"/>
        </w:rPr>
        <w:t>עדה נוספת תיארה כי בעת שהמתינה ברכבה שמעה קולות של בכי</w:t>
      </w:r>
      <w:r>
        <w:rPr>
          <w:rtl w:val="true"/>
        </w:rPr>
        <w:t xml:space="preserve">, </w:t>
      </w:r>
      <w:r>
        <w:rPr>
          <w:rtl w:val="true"/>
        </w:rPr>
        <w:t xml:space="preserve">וכאשר יצאה מהרכב ראתה את האם אשר אמרה לה כי בנה דקר את אחותו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48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48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קבע כי עדויות האב והאם לא היו עקביות</w:t>
      </w:r>
      <w:r>
        <w:rPr>
          <w:rtl w:val="true"/>
        </w:rPr>
        <w:t xml:space="preserve">, </w:t>
      </w:r>
      <w:r>
        <w:rPr>
          <w:rtl w:val="true"/>
        </w:rPr>
        <w:t>אולם כי יש בסיס ראייתי מוצק למתן אמון בגרסאותיהם הראשונות בסמוך לאחר האירוע</w:t>
      </w:r>
      <w:r>
        <w:rPr>
          <w:rtl w:val="true"/>
        </w:rPr>
        <w:t xml:space="preserve">, </w:t>
      </w:r>
      <w:r>
        <w:rPr>
          <w:rtl w:val="true"/>
        </w:rPr>
        <w:t>המחוזקות בראיות חיצוניות</w:t>
      </w:r>
      <w:r>
        <w:rPr>
          <w:rtl w:val="true"/>
        </w:rPr>
        <w:t xml:space="preserve">. </w:t>
      </w:r>
      <w:r>
        <w:rPr>
          <w:rtl w:val="true"/>
        </w:rPr>
        <w:t>נומק</w:t>
      </w:r>
      <w:r>
        <w:rPr>
          <w:rtl w:val="true"/>
        </w:rPr>
        <w:t xml:space="preserve">, </w:t>
      </w:r>
      <w:r>
        <w:rPr>
          <w:rtl w:val="true"/>
        </w:rPr>
        <w:t>כי גרסאות אלו של השניים תומכות אחת בשנייה ביחס לזהות הדוקר</w:t>
      </w:r>
      <w:r>
        <w:rPr>
          <w:rtl w:val="true"/>
        </w:rPr>
        <w:t xml:space="preserve">, </w:t>
      </w:r>
      <w:r>
        <w:rPr>
          <w:rtl w:val="true"/>
        </w:rPr>
        <w:t>הרקע למעשה ואופן ההתרחשות</w:t>
      </w:r>
      <w:r>
        <w:rPr>
          <w:rtl w:val="true"/>
        </w:rPr>
        <w:t xml:space="preserve">. </w:t>
      </w:r>
      <w:r>
        <w:rPr>
          <w:rtl w:val="true"/>
        </w:rPr>
        <w:t>כן צוין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 xml:space="preserve">הרושם שעלה מעדויות </w:t>
      </w:r>
      <w:r>
        <w:rPr>
          <w:rtl w:val="true"/>
        </w:rPr>
        <w:t>ההורים</w:t>
      </w:r>
      <w:r>
        <w:rPr>
          <w:rtl w:val="true"/>
        </w:rPr>
        <w:t xml:space="preserve"> בבית המשפט הוא </w:t>
      </w:r>
      <w:r>
        <w:rPr>
          <w:rtl w:val="true"/>
        </w:rPr>
        <w:t>שדבריהם</w:t>
      </w:r>
      <w:r>
        <w:rPr>
          <w:rtl w:val="true"/>
        </w:rPr>
        <w:t xml:space="preserve"> נאמרו מתוך כאב ורצון לגונן על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עוד הוצגה </w:t>
      </w:r>
      <w:r>
        <w:rPr>
          <w:rtl w:val="true"/>
        </w:rPr>
        <w:t xml:space="preserve">חוות הדעת הפתולוגית </w:t>
      </w:r>
      <w:r>
        <w:rPr>
          <w:rtl w:val="true"/>
        </w:rPr>
        <w:t>של</w:t>
      </w:r>
      <w:r>
        <w:rPr>
          <w:rtl w:val="true"/>
        </w:rPr>
        <w:t xml:space="preserve"> ד</w:t>
      </w:r>
      <w:r>
        <w:rPr>
          <w:rtl w:val="true"/>
        </w:rPr>
        <w:t>"</w:t>
      </w:r>
      <w:r>
        <w:rPr>
          <w:rtl w:val="true"/>
        </w:rPr>
        <w:t xml:space="preserve">ר קוגל </w:t>
      </w:r>
      <w:r>
        <w:rPr>
          <w:rtl w:val="true"/>
        </w:rPr>
        <w:t xml:space="preserve">אשר </w:t>
      </w:r>
      <w:r>
        <w:rPr>
          <w:rtl w:val="true"/>
        </w:rPr>
        <w:t xml:space="preserve">הוגשה בהסכמה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51</w:t>
      </w:r>
      <w:r>
        <w:rPr>
          <w:rtl w:val="true"/>
        </w:rPr>
        <w:t xml:space="preserve">). </w:t>
      </w:r>
      <w:r>
        <w:rPr>
          <w:rtl w:val="true"/>
        </w:rPr>
        <w:t>על פי</w:t>
      </w:r>
      <w:r>
        <w:rPr>
          <w:rtl w:val="true"/>
        </w:rPr>
        <w:t xml:space="preserve"> חוות הדעת</w:t>
      </w:r>
      <w:r>
        <w:rPr>
          <w:rtl w:val="true"/>
        </w:rPr>
        <w:t xml:space="preserve"> אותרו בגופ</w:t>
      </w:r>
      <w:r>
        <w:rPr>
          <w:rtl w:val="true"/>
        </w:rPr>
        <w:t>ת המנוחה</w:t>
      </w:r>
      <w:r>
        <w:rPr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פצעי דקירה</w:t>
      </w:r>
      <w:r>
        <w:rPr>
          <w:rtl w:val="true"/>
        </w:rPr>
        <w:t xml:space="preserve"> ו</w:t>
      </w:r>
      <w:r>
        <w:rPr>
          <w:rtl w:val="true"/>
        </w:rPr>
        <w:t>חתכים שטחיים בזרוע הימנית ובשורש כף היד השמאלית</w:t>
      </w:r>
      <w:r>
        <w:rPr>
          <w:rtl w:val="true"/>
        </w:rPr>
        <w:t xml:space="preserve">. </w:t>
      </w:r>
      <w:r>
        <w:rPr>
          <w:rtl w:val="true"/>
        </w:rPr>
        <w:t>לפי חוות הדעת</w:t>
      </w:r>
      <w:r>
        <w:rPr>
          <w:rtl w:val="true"/>
        </w:rPr>
        <w:t xml:space="preserve">, </w:t>
      </w:r>
      <w:r>
        <w:rPr>
          <w:rtl w:val="true"/>
        </w:rPr>
        <w:t>מות המנוחה נגרם כתוצאה מהלם תת</w:t>
      </w:r>
      <w:r>
        <w:rPr>
          <w:rtl w:val="true"/>
        </w:rPr>
        <w:t>-</w:t>
      </w:r>
      <w:r>
        <w:rPr>
          <w:rtl w:val="true"/>
        </w:rPr>
        <w:t>נפחי בשל איבוד דם מחתך באבי העורקים</w:t>
      </w:r>
      <w:r>
        <w:rPr>
          <w:rtl w:val="true"/>
        </w:rPr>
        <w:t xml:space="preserve">. </w:t>
      </w:r>
      <w:r>
        <w:rPr>
          <w:rtl w:val="true"/>
        </w:rPr>
        <w:t>בית המשפט המחוזי קבע כי</w:t>
      </w:r>
      <w:r>
        <w:rPr>
          <w:rtl w:val="true"/>
        </w:rPr>
        <w:t xml:space="preserve">‏ ממצאיו של המומחה הפתולוגי תומכים בגרסת </w:t>
      </w:r>
      <w:r>
        <w:rPr>
          <w:rtl w:val="true"/>
        </w:rPr>
        <w:t>ההורים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כעת לעיקרי גרסת המערער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המערער שמר על זכות השתיקה</w:t>
      </w:r>
      <w:r>
        <w:rPr>
          <w:rtl w:val="true"/>
        </w:rPr>
        <w:t xml:space="preserve">. </w:t>
      </w:r>
      <w:r>
        <w:rPr>
          <w:rtl w:val="true"/>
        </w:rPr>
        <w:t>לאחר מכן הכחיש כי הוא שהמית את המנוחה</w:t>
      </w:r>
      <w:r>
        <w:rPr>
          <w:rtl w:val="true"/>
        </w:rPr>
        <w:t xml:space="preserve">, </w:t>
      </w:r>
      <w:r>
        <w:rPr>
          <w:rtl w:val="true"/>
        </w:rPr>
        <w:t xml:space="preserve">וטען שבאותה העת התפלל במסגד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>בהמשך החקירה סטה במידה מסוימת מגרסה זו</w:t>
      </w:r>
      <w:r>
        <w:rPr>
          <w:rtl w:val="true"/>
        </w:rPr>
        <w:t xml:space="preserve">, </w:t>
      </w:r>
      <w:r>
        <w:rPr>
          <w:rtl w:val="true"/>
        </w:rPr>
        <w:t xml:space="preserve">כאשר טען כי עשה </w:t>
      </w:r>
      <w:r>
        <w:rPr>
          <w:rtl w:val="true"/>
        </w:rPr>
        <w:t>"</w:t>
      </w:r>
      <w:r>
        <w:rPr>
          <w:rtl w:val="true"/>
        </w:rPr>
        <w:t>כושר</w:t>
      </w:r>
      <w:r>
        <w:rPr>
          <w:rtl w:val="true"/>
        </w:rPr>
        <w:t xml:space="preserve">" </w:t>
      </w:r>
      <w:r>
        <w:rPr>
          <w:rtl w:val="true"/>
        </w:rPr>
        <w:t xml:space="preserve">במסגד וכי שהה גם בטיילת ליד המסגד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10</w:t>
      </w:r>
      <w:r>
        <w:rPr>
          <w:rtl w:val="true"/>
        </w:rPr>
        <w:t xml:space="preserve">).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במהלך העימות עם הוריו המערער שמר על זכות השתיקה</w:t>
      </w:r>
      <w:r>
        <w:rPr>
          <w:rtl w:val="true"/>
        </w:rPr>
        <w:t xml:space="preserve">. </w:t>
      </w:r>
      <w:r>
        <w:rPr>
          <w:rtl w:val="true"/>
        </w:rPr>
        <w:t>במהלך המשפט</w:t>
      </w:r>
      <w:r>
        <w:rPr>
          <w:rtl w:val="true"/>
        </w:rPr>
        <w:t xml:space="preserve">, </w:t>
      </w:r>
      <w:r>
        <w:rPr>
          <w:rtl w:val="true"/>
        </w:rPr>
        <w:t xml:space="preserve">המערער כפר בעובדות כתב האישום וטען כי במהלך האירוע כלל לא שהה בביתו ואף העלה טענת </w:t>
      </w:r>
      <w:r>
        <w:rPr>
          <w:rtl w:val="true"/>
        </w:rPr>
        <w:t>"</w:t>
      </w:r>
      <w:r>
        <w:rPr>
          <w:rtl w:val="true"/>
        </w:rPr>
        <w:t>אליבי</w:t>
      </w:r>
      <w:r>
        <w:rPr>
          <w:rtl w:val="true"/>
        </w:rPr>
        <w:t xml:space="preserve">" </w:t>
      </w:r>
      <w:r>
        <w:rPr>
          <w:rtl w:val="true"/>
        </w:rPr>
        <w:t>שלפיה שהה באותה העת באזור מסגד עג</w:t>
      </w:r>
      <w:r>
        <w:rPr>
          <w:rtl w:val="true"/>
        </w:rPr>
        <w:t>'</w:t>
      </w:r>
      <w:r>
        <w:rPr>
          <w:rtl w:val="true"/>
        </w:rPr>
        <w:t>מי</w:t>
      </w:r>
      <w:r>
        <w:rPr>
          <w:rtl w:val="true"/>
        </w:rPr>
        <w:t xml:space="preserve">. </w:t>
      </w:r>
      <w:r>
        <w:rPr>
          <w:rtl w:val="true"/>
        </w:rPr>
        <w:t>בעיצומה של פרשת התביעה המערער חזר בו מגרסה זו והודה כי ביום האירוע נכח בבית</w:t>
      </w:r>
      <w:r>
        <w:rPr>
          <w:rtl w:val="true"/>
        </w:rPr>
        <w:t xml:space="preserve">. </w:t>
      </w:r>
      <w:r>
        <w:rPr>
          <w:rtl w:val="true"/>
        </w:rPr>
        <w:t>עוד טען</w:t>
      </w:r>
      <w:r>
        <w:rPr>
          <w:rtl w:val="true"/>
        </w:rPr>
        <w:t xml:space="preserve">, </w:t>
      </w:r>
      <w:r>
        <w:rPr>
          <w:rtl w:val="true"/>
        </w:rPr>
        <w:t>כי המנוחה צעקה וקיללה אותו ואת אביהם באגרסיביות</w:t>
      </w:r>
      <w:r>
        <w:rPr>
          <w:rtl w:val="true"/>
        </w:rPr>
        <w:t xml:space="preserve">, </w:t>
      </w:r>
      <w:r>
        <w:rPr>
          <w:rtl w:val="true"/>
        </w:rPr>
        <w:t>עד אשר האב היכה אותה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דקר את המנוחה שתיים או שלוש דקירות</w:t>
      </w:r>
      <w:r>
        <w:rPr>
          <w:rtl w:val="true"/>
        </w:rPr>
        <w:t xml:space="preserve">, </w:t>
      </w:r>
      <w:r>
        <w:rPr>
          <w:rtl w:val="true"/>
        </w:rPr>
        <w:t>ולאחר מכן רץ לכיוון המסגד</w:t>
      </w:r>
      <w:r>
        <w:rPr>
          <w:rtl w:val="true"/>
        </w:rPr>
        <w:t xml:space="preserve">. </w:t>
      </w:r>
      <w:r>
        <w:rPr>
          <w:rtl w:val="true"/>
        </w:rPr>
        <w:t>בחקירתו הראשית מסר לראשונה את גרסתו המפורטת</w:t>
      </w:r>
      <w:r>
        <w:rPr>
          <w:rtl w:val="true"/>
        </w:rPr>
        <w:t xml:space="preserve">. </w:t>
      </w:r>
      <w:r>
        <w:rPr>
          <w:rtl w:val="true"/>
        </w:rPr>
        <w:t>כך העיד על יום האירוע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קמתי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, </w:t>
      </w:r>
      <w:r>
        <w:rPr>
          <w:rtl w:val="true"/>
        </w:rPr>
        <w:t>הלכתי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שליח</w:t>
      </w:r>
      <w:r>
        <w:rPr>
          <w:rtl w:val="true"/>
        </w:rPr>
        <w:t xml:space="preserve">.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וקרה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tl w:val="true"/>
        </w:rPr>
        <w:t xml:space="preserve">,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,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tl w:val="true"/>
        </w:rPr>
        <w:t xml:space="preserve">, </w:t>
      </w:r>
      <w:r>
        <w:rPr>
          <w:rtl w:val="true"/>
        </w:rPr>
        <w:t>והתחיל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אברבנאל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tl w:val="true"/>
        </w:rPr>
        <w:t xml:space="preserve">. </w:t>
      </w:r>
      <w:r>
        <w:rPr>
          <w:rtl w:val="true"/>
        </w:rPr>
        <w:t>עזבתי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חזרתי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, </w:t>
      </w:r>
      <w:r>
        <w:rPr>
          <w:rtl w:val="true"/>
        </w:rPr>
        <w:t>ישבתי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בחצר</w:t>
      </w:r>
      <w:r>
        <w:rPr>
          <w:rtl w:val="true"/>
        </w:rPr>
        <w:t xml:space="preserve">, </w:t>
      </w:r>
      <w:r>
        <w:rPr>
          <w:rtl w:val="true"/>
        </w:rPr>
        <w:t>עישנתי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באנגים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ושמעתי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 xml:space="preserve">, </w:t>
      </w:r>
      <w:r>
        <w:rPr>
          <w:rtl w:val="true"/>
        </w:rPr>
        <w:t>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סטירה</w:t>
      </w:r>
      <w:r>
        <w:rPr>
          <w:rtl w:val="true"/>
        </w:rPr>
        <w:t xml:space="preserve">, </w:t>
      </w:r>
      <w:r>
        <w:rPr>
          <w:rtl w:val="true"/>
        </w:rPr>
        <w:t>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 xml:space="preserve">[...]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סטירה</w:t>
      </w:r>
      <w:r>
        <w:rPr>
          <w:rtl w:val="true"/>
        </w:rPr>
        <w:t xml:space="preserve">, </w:t>
      </w:r>
      <w:r>
        <w:rPr>
          <w:rtl w:val="true"/>
        </w:rPr>
        <w:t>ונכנסתי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צעקות</w:t>
      </w:r>
      <w:r>
        <w:rPr>
          <w:rtl w:val="true"/>
        </w:rPr>
        <w:t xml:space="preserve">, </w:t>
      </w:r>
      <w:r>
        <w:rPr>
          <w:rtl w:val="true"/>
        </w:rPr>
        <w:t>צעקות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כאילו</w:t>
      </w:r>
      <w:r>
        <w:rPr>
          <w:rtl w:val="true"/>
        </w:rPr>
        <w:t xml:space="preserve">, </w:t>
      </w:r>
      <w:r>
        <w:rPr>
          <w:rtl w:val="true"/>
        </w:rPr>
        <w:t>התחילה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אברבנאל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tl w:val="true"/>
        </w:rPr>
        <w:t xml:space="preserve">, </w:t>
      </w:r>
      <w:r>
        <w:rPr>
          <w:rtl w:val="true"/>
        </w:rPr>
        <w:t>ודקרתי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/>
        <w:t>2-3</w:t>
      </w:r>
      <w:r>
        <w:rPr>
          <w:rtl w:val="true"/>
        </w:rPr>
        <w:t xml:space="preserve"> </w:t>
      </w:r>
      <w:r>
        <w:rPr>
          <w:rtl w:val="true"/>
        </w:rPr>
        <w:t>דקירות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22.10.2019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332-331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לאחר מכן הוסיף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הלכתי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למסגד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השופט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התכוונתי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פתאומי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332</w:t>
      </w:r>
      <w:r>
        <w:rPr>
          <w:rtl w:val="true"/>
        </w:rPr>
        <w:t xml:space="preserve">). </w:t>
      </w:r>
      <w:r>
        <w:rPr>
          <w:rtl w:val="true"/>
        </w:rPr>
        <w:t>כאשר נשאל מדוע לא אמר למשטרה על שארע כאשר נשאל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נכנסתי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ללחץ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תמות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בחקירתו הנגדית</w:t>
      </w:r>
      <w:r>
        <w:rPr>
          <w:rtl w:val="true"/>
        </w:rPr>
        <w:t xml:space="preserve">, </w:t>
      </w:r>
      <w:r>
        <w:rPr>
          <w:rtl w:val="true"/>
        </w:rPr>
        <w:t>נשאל המערער על הוויכוח בינו לבין המנוחה אשר קדם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לדקירות</w:t>
      </w:r>
      <w:r>
        <w:rPr>
          <w:rtl w:val="true"/>
        </w:rPr>
        <w:t xml:space="preserve">, </w:t>
      </w:r>
      <w:r>
        <w:rPr>
          <w:rtl w:val="true"/>
        </w:rPr>
        <w:t>שב והעיד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תחזרי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לילדים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הילדים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ויכוח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משוגע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לאברבנאל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וחזרתי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לעבודה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334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נוכח גרסתו זו של המערער שבה הודה בדקירת המנוחה</w:t>
      </w:r>
      <w:r>
        <w:rPr>
          <w:rtl w:val="true"/>
        </w:rPr>
        <w:t xml:space="preserve">, </w:t>
      </w:r>
      <w:r>
        <w:rPr>
          <w:rtl w:val="true"/>
        </w:rPr>
        <w:t>בשילוב עם עדויות ההורים וראיות נוספות</w:t>
      </w:r>
      <w:r>
        <w:rPr>
          <w:rtl w:val="true"/>
        </w:rPr>
        <w:t xml:space="preserve">, </w:t>
      </w:r>
      <w:r>
        <w:rPr>
          <w:rtl w:val="true"/>
        </w:rPr>
        <w:t>נקבע כי המערער היה הדוקר היחיד כמתואר בכתב האישום</w:t>
      </w:r>
      <w:r>
        <w:rPr>
          <w:rtl w:val="true"/>
        </w:rPr>
        <w:t xml:space="preserve">. </w:t>
      </w:r>
      <w:r>
        <w:rPr>
          <w:rtl w:val="true"/>
        </w:rPr>
        <w:t>בית המשפט המחוזי עמד על כך שגרסת המערער היא גרסה כבושה</w:t>
      </w:r>
      <w:r>
        <w:rPr>
          <w:rtl w:val="true"/>
        </w:rPr>
        <w:t xml:space="preserve">, </w:t>
      </w:r>
      <w:r>
        <w:rPr>
          <w:rtl w:val="true"/>
        </w:rPr>
        <w:t>שנשמעה רק לאחר עדויותיהם המפלילות של הוריו</w:t>
      </w:r>
      <w:r>
        <w:rPr>
          <w:rtl w:val="true"/>
        </w:rPr>
        <w:t xml:space="preserve">; </w:t>
      </w:r>
      <w:r>
        <w:rPr>
          <w:rtl w:val="true"/>
        </w:rPr>
        <w:t xml:space="preserve">וכי הסבריו לכבישת עדותו </w:t>
      </w:r>
      <w:r>
        <w:rPr>
          <w:rtl w:val="true"/>
        </w:rPr>
        <w:t>"</w:t>
      </w:r>
      <w:r>
        <w:rPr>
          <w:rtl w:val="true"/>
        </w:rPr>
        <w:t>תמוהים ובלתי עקביים</w:t>
      </w:r>
      <w:r>
        <w:rPr>
          <w:rtl w:val="true"/>
        </w:rPr>
        <w:t xml:space="preserve">". </w:t>
      </w:r>
      <w:r>
        <w:rPr>
          <w:rtl w:val="true"/>
        </w:rPr>
        <w:t>אשר לעדות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כי בבוקר האירוע התגלע ויכוח בינו לבין המנוחה שבמהלכו היא כינתה אותו </w:t>
      </w:r>
      <w:r>
        <w:rPr>
          <w:rtl w:val="true"/>
        </w:rPr>
        <w:t>"</w:t>
      </w:r>
      <w:r>
        <w:rPr>
          <w:rtl w:val="true"/>
        </w:rPr>
        <w:t>משוגע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חולה נפש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נקבע כי מדובר בגרסה מגמתית המנסה לשוות לאירוע הרצח מעשה התגרות קודם</w:t>
      </w:r>
      <w:r>
        <w:rPr>
          <w:rtl w:val="true"/>
        </w:rPr>
        <w:t xml:space="preserve">. </w:t>
      </w:r>
      <w:r>
        <w:rPr>
          <w:rtl w:val="true"/>
        </w:rPr>
        <w:t>מטעם זה</w:t>
      </w:r>
      <w:r>
        <w:rPr>
          <w:rtl w:val="true"/>
        </w:rPr>
        <w:t xml:space="preserve">, </w:t>
      </w:r>
      <w:r>
        <w:rPr>
          <w:rtl w:val="true"/>
        </w:rPr>
        <w:t>ונוכח תמיהות נוספות שעלו מגרסת המערער</w:t>
      </w:r>
      <w:r>
        <w:rPr>
          <w:rtl w:val="true"/>
        </w:rPr>
        <w:t xml:space="preserve">, </w:t>
      </w:r>
      <w:r>
        <w:rPr>
          <w:rtl w:val="true"/>
        </w:rPr>
        <w:t>נדחתה גרסתו על אודות האירועים שקדמו לרצח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לרקע למערכת היחסים העכורה שבין המערער למנוחה</w:t>
      </w:r>
      <w:r>
        <w:rPr>
          <w:rtl w:val="true"/>
        </w:rPr>
        <w:t xml:space="preserve">, </w:t>
      </w:r>
      <w:r>
        <w:rPr>
          <w:rtl w:val="true"/>
        </w:rPr>
        <w:t>נשמעה עדותה של אינס חסנין</w:t>
      </w:r>
      <w:r>
        <w:rPr>
          <w:rtl w:val="true"/>
        </w:rPr>
        <w:t xml:space="preserve">, </w:t>
      </w:r>
      <w:r>
        <w:rPr>
          <w:rtl w:val="true"/>
        </w:rPr>
        <w:t xml:space="preserve">אחותם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אינס</w:t>
      </w:r>
      <w:r>
        <w:rPr>
          <w:rtl w:val="true"/>
        </w:rPr>
        <w:t xml:space="preserve">). </w:t>
      </w:r>
      <w:r>
        <w:rPr>
          <w:rtl w:val="true"/>
        </w:rPr>
        <w:t>אינס העידה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הקשר בינה לבין המנוחה היה קרוב מאוד והשתיים נהגו לשוחח באופן קבוע</w:t>
      </w:r>
      <w:r>
        <w:rPr>
          <w:rtl w:val="true"/>
        </w:rPr>
        <w:t xml:space="preserve">. </w:t>
      </w:r>
      <w:r>
        <w:rPr>
          <w:rtl w:val="true"/>
        </w:rPr>
        <w:t xml:space="preserve">עוד תיארה כי המנוחה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רכב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שבועיים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שנפטרה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מתקדמת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לומדת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אוטו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מסתדרת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לשרוד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שאחותו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התגרשה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דיון מיום </w:t>
      </w:r>
      <w:r>
        <w:rPr/>
        <w:t>5.11.2017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120</w:t>
      </w:r>
      <w:r>
        <w:rPr>
          <w:rtl w:val="true"/>
        </w:rPr>
        <w:t xml:space="preserve">). </w:t>
      </w:r>
      <w:r>
        <w:rPr>
          <w:rtl w:val="true"/>
        </w:rPr>
        <w:t>לדבריה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איים על המנוחה מספר פעמים בעבר שירצח אותה </w:t>
      </w:r>
      <w:r>
        <w:rPr>
          <w:rtl w:val="true"/>
        </w:rPr>
        <w:t>ו</w:t>
      </w:r>
      <w:r>
        <w:rPr>
          <w:rtl w:val="true"/>
        </w:rPr>
        <w:t xml:space="preserve">איים </w:t>
      </w:r>
      <w:r>
        <w:rPr>
          <w:rtl w:val="true"/>
        </w:rPr>
        <w:t>גם</w:t>
      </w:r>
      <w:r>
        <w:rPr>
          <w:rtl w:val="true"/>
        </w:rPr>
        <w:t xml:space="preserve"> עליה באותו אופן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בעמודים </w:t>
      </w:r>
      <w:r>
        <w:rPr/>
        <w:t>122-121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בהתבסס על כלל חומר הראיות</w:t>
      </w:r>
      <w:r>
        <w:rPr>
          <w:rtl w:val="true"/>
        </w:rPr>
        <w:t xml:space="preserve">, </w:t>
      </w:r>
      <w:r>
        <w:rPr>
          <w:rtl w:val="true"/>
        </w:rPr>
        <w:t>אשר עיקריו פורטו לעיל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כי המערער הוא היחיד שדקר את המנוחה</w:t>
      </w:r>
      <w:r>
        <w:rPr>
          <w:rtl w:val="true"/>
        </w:rPr>
        <w:t xml:space="preserve">; </w:t>
      </w:r>
      <w:r>
        <w:rPr>
          <w:rtl w:val="true"/>
        </w:rPr>
        <w:t>כי מדקירות אלו נגרם מותה</w:t>
      </w:r>
      <w:r>
        <w:rPr>
          <w:rtl w:val="true"/>
        </w:rPr>
        <w:t xml:space="preserve">; </w:t>
      </w:r>
      <w:r>
        <w:rPr>
          <w:rtl w:val="true"/>
        </w:rPr>
        <w:t>וכי המערער עשה כן מפני שלא היה שבע רצון מסירובה לחזור לבעלה לאחר גירושיה ומאורחות חייה העצמאיים</w:t>
      </w:r>
      <w:r>
        <w:rPr>
          <w:rtl w:val="true"/>
        </w:rPr>
        <w:t xml:space="preserve">. </w:t>
      </w:r>
      <w:r>
        <w:rPr>
          <w:rtl w:val="true"/>
        </w:rPr>
        <w:t>על בסיס קביעות עובדתיות אלו</w:t>
      </w:r>
      <w:r>
        <w:rPr>
          <w:rtl w:val="true"/>
        </w:rPr>
        <w:t xml:space="preserve">, </w:t>
      </w:r>
      <w:r>
        <w:rPr>
          <w:rtl w:val="true"/>
        </w:rPr>
        <w:t>בחן האם התקיימו יסודות עבירת הרצח בכוונה תחילה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קבע כי מתקיימים היסוד העובדתי</w:t>
      </w:r>
      <w:r>
        <w:rPr>
          <w:rtl w:val="true"/>
        </w:rPr>
        <w:t xml:space="preserve">, </w:t>
      </w:r>
      <w:r>
        <w:rPr>
          <w:rtl w:val="true"/>
        </w:rPr>
        <w:t>כמו גם היסוד הנפשי המגבשים את יסודות עבירת הרצח בכוונה תחילה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נטילת הסכין על ידי המערער ממלאת את יסוד ה</w:t>
      </w:r>
      <w:r>
        <w:rPr>
          <w:rtl w:val="true"/>
        </w:rPr>
        <w:t>"</w:t>
      </w:r>
      <w:r>
        <w:rPr>
          <w:rtl w:val="true"/>
        </w:rPr>
        <w:t>הכנה</w:t>
      </w:r>
      <w:r>
        <w:rPr>
          <w:rtl w:val="true"/>
        </w:rPr>
        <w:t xml:space="preserve">", </w:t>
      </w:r>
      <w:r>
        <w:rPr>
          <w:rtl w:val="true"/>
        </w:rPr>
        <w:t>תוך שצוין כי האב והאם מסרו כי המערער הוא שהביא את הסכין</w:t>
      </w:r>
      <w:r>
        <w:rPr>
          <w:rtl w:val="true"/>
        </w:rPr>
        <w:t xml:space="preserve">, </w:t>
      </w:r>
      <w:r>
        <w:rPr>
          <w:rtl w:val="true"/>
        </w:rPr>
        <w:t>בעוד שהוא טען בעדותו כי אינו זוכר מניין נטל את הסכין</w:t>
      </w:r>
      <w:r>
        <w:rPr>
          <w:rtl w:val="true"/>
        </w:rPr>
        <w:t xml:space="preserve">; </w:t>
      </w:r>
      <w:r>
        <w:rPr>
          <w:rtl w:val="true"/>
        </w:rPr>
        <w:t>וכי גם יסוד ההחלטה להמית מתקיים</w:t>
      </w:r>
      <w:r>
        <w:rPr>
          <w:rtl w:val="true"/>
        </w:rPr>
        <w:t xml:space="preserve">, </w:t>
      </w:r>
      <w:r>
        <w:rPr>
          <w:rtl w:val="true"/>
        </w:rPr>
        <w:t>וכך גם רכיב העדר הקנטור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בחן </w:t>
      </w:r>
      <w:r>
        <w:rPr>
          <w:rtl w:val="true"/>
        </w:rPr>
        <w:t xml:space="preserve">את </w:t>
      </w:r>
      <w:r>
        <w:rPr>
          <w:rtl w:val="true"/>
        </w:rPr>
        <w:t xml:space="preserve">השפעת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230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לעיל ולהלן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137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 xml:space="preserve">כי עובדות כתב האישום מבססות מעשה רצח בנסיבות מחמירות בהתאם </w:t>
      </w:r>
      <w:hyperlink r:id="rId39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לפיו 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מעשה נעשה לאחר תכנון או לאחר הליך ממשי של שקילה וגיבוש החלטה להמית</w:t>
      </w:r>
      <w:r>
        <w:rPr>
          <w:rtl w:val="true"/>
        </w:rPr>
        <w:t xml:space="preserve">"; </w:t>
      </w:r>
      <w:r>
        <w:rPr>
          <w:rtl w:val="true"/>
        </w:rPr>
        <w:t xml:space="preserve">כי מתקיימת גם הנסיבה המחמירה הקבועה </w:t>
      </w:r>
      <w:hyperlink r:id="rId4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המעשה נעשה כפעולה עונשית במטרה להטיל מרות או מורא ולכפות אורחות התנהגות על ציבור</w:t>
      </w:r>
      <w:r>
        <w:rPr>
          <w:rtl w:val="true"/>
        </w:rPr>
        <w:t xml:space="preserve">"; </w:t>
      </w:r>
      <w:r>
        <w:rPr>
          <w:rtl w:val="true"/>
        </w:rPr>
        <w:t>וכי מתקיימת גם נסיבה מחמירה נוספת</w:t>
      </w:r>
      <w:r>
        <w:rPr>
          <w:rtl w:val="true"/>
        </w:rPr>
        <w:t xml:space="preserve">, </w:t>
      </w:r>
      <w:r>
        <w:rPr>
          <w:rtl w:val="true"/>
        </w:rPr>
        <w:t xml:space="preserve">שלפיה מעשה ההמתה נעשה </w:t>
      </w:r>
      <w:r>
        <w:rPr>
          <w:rtl w:val="true"/>
        </w:rPr>
        <w:t>"</w:t>
      </w:r>
      <w:r>
        <w:rPr>
          <w:rtl w:val="true"/>
        </w:rPr>
        <w:t>באכזריות מיוחדת</w:t>
      </w:r>
      <w:r>
        <w:rPr>
          <w:rtl w:val="true"/>
        </w:rPr>
        <w:t xml:space="preserve">, </w:t>
      </w:r>
      <w:r>
        <w:rPr>
          <w:rtl w:val="true"/>
        </w:rPr>
        <w:t>או תוך התעללות גופנית או נפשית בקורבן</w:t>
      </w:r>
      <w:r>
        <w:rPr>
          <w:rtl w:val="true"/>
        </w:rPr>
        <w:t xml:space="preserve">", </w:t>
      </w:r>
      <w:r>
        <w:rPr>
          <w:rtl w:val="true"/>
        </w:rPr>
        <w:t xml:space="preserve">בהתאם </w:t>
      </w:r>
      <w:hyperlink r:id="rId41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הוסיף וקבע כי לא מתקיימים התנאים הקבועים בעבירת ההמתה בנסיבות של אחריות מופחתת </w:t>
      </w:r>
      <w:r>
        <w:rPr>
          <w:rtl w:val="true"/>
        </w:rPr>
        <w:t>(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).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התמקד הדיון בסוגיית מצבו הנפשי של המערער</w:t>
      </w:r>
      <w:r>
        <w:rPr>
          <w:rtl w:val="true"/>
        </w:rPr>
        <w:t xml:space="preserve">. </w:t>
      </w:r>
      <w:r>
        <w:rPr>
          <w:rtl w:val="true"/>
        </w:rPr>
        <w:t>במסגרת ההליך הוגשו חוות דעת פסיכיאטרית מטעם המשיבה שנערכה על ידי ד</w:t>
      </w:r>
      <w:r>
        <w:rPr>
          <w:rtl w:val="true"/>
        </w:rPr>
        <w:t>"</w:t>
      </w:r>
      <w:r>
        <w:rPr>
          <w:rtl w:val="true"/>
        </w:rPr>
        <w:t>ר קלרה שילד וד</w:t>
      </w:r>
      <w:r>
        <w:rPr>
          <w:rtl w:val="true"/>
        </w:rPr>
        <w:t>"</w:t>
      </w:r>
      <w:r>
        <w:rPr>
          <w:rtl w:val="true"/>
        </w:rPr>
        <w:t xml:space="preserve">ר מורן שגיב אליוף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57</w:t>
      </w:r>
      <w:r>
        <w:rPr>
          <w:rtl w:val="true"/>
        </w:rPr>
        <w:t xml:space="preserve">), </w:t>
      </w:r>
      <w:r>
        <w:rPr>
          <w:rtl w:val="true"/>
        </w:rPr>
        <w:t>ומנגד חוות דעת מטעם ההגנה שנערכה על ידי ד</w:t>
      </w:r>
      <w:r>
        <w:rPr>
          <w:rtl w:val="true"/>
        </w:rPr>
        <w:t>"</w:t>
      </w:r>
      <w:r>
        <w:rPr>
          <w:rtl w:val="true"/>
        </w:rPr>
        <w:t xml:space="preserve">ר ראסם כנאענה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בתמצית יתואר</w:t>
      </w:r>
      <w:r>
        <w:rPr>
          <w:rtl w:val="true"/>
        </w:rPr>
        <w:t xml:space="preserve">, </w:t>
      </w:r>
      <w:r>
        <w:rPr>
          <w:rtl w:val="true"/>
        </w:rPr>
        <w:t xml:space="preserve">כי בסיכום חוות הדעת מטעם המשיבה נכתב כי המערער אושפז בעבר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פעמים בכפייה בבית חולים אברבנאל</w:t>
      </w:r>
      <w:r>
        <w:rPr>
          <w:rtl w:val="true"/>
        </w:rPr>
        <w:t xml:space="preserve">, </w:t>
      </w:r>
      <w:r>
        <w:rPr>
          <w:rtl w:val="true"/>
        </w:rPr>
        <w:t xml:space="preserve">בין השנים </w:t>
      </w:r>
      <w:r>
        <w:rPr/>
        <w:t>2011-2005</w:t>
      </w:r>
      <w:r>
        <w:rPr>
          <w:rtl w:val="true"/>
        </w:rPr>
        <w:t xml:space="preserve">, </w:t>
      </w:r>
      <w:r>
        <w:rPr>
          <w:rtl w:val="true"/>
        </w:rPr>
        <w:t>וכי באשפוזו הראשון</w:t>
      </w:r>
      <w:r>
        <w:rPr>
          <w:rtl w:val="true"/>
        </w:rPr>
        <w:t xml:space="preserve">, </w:t>
      </w:r>
      <w:r>
        <w:rPr>
          <w:rtl w:val="true"/>
        </w:rPr>
        <w:t xml:space="preserve">בהיותו בן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אובחן כלוקה בהפרעה פסיכוטית חריפה דמוית סכיזופרניה</w:t>
      </w:r>
      <w:r>
        <w:rPr>
          <w:rtl w:val="true"/>
        </w:rPr>
        <w:t xml:space="preserve">, </w:t>
      </w:r>
      <w:r>
        <w:rPr>
          <w:rtl w:val="true"/>
        </w:rPr>
        <w:t>הפרעות נפשיות והתנהגותיות כתוצאה משימוש בסמים ובחומרים פסיכואקטיביים והפרעת אישיות דיסוציאלית</w:t>
      </w:r>
      <w:r>
        <w:rPr>
          <w:rtl w:val="true"/>
        </w:rPr>
        <w:t xml:space="preserve">. </w:t>
      </w:r>
      <w:r>
        <w:rPr>
          <w:rtl w:val="true"/>
        </w:rPr>
        <w:t>באשפוזים מאוחרים יותר אובחן כלוקה בסכיזופרניה פרנואידית ובהפרעות נפשיות והתנהגותיות וטופל בתרופות אנטי</w:t>
      </w:r>
      <w:r>
        <w:rPr>
          <w:rtl w:val="true"/>
        </w:rPr>
        <w:t>-</w:t>
      </w:r>
      <w:r>
        <w:rPr>
          <w:rtl w:val="true"/>
        </w:rPr>
        <w:t>פסיכוטיות</w:t>
      </w:r>
      <w:r>
        <w:rPr>
          <w:rtl w:val="true"/>
        </w:rPr>
        <w:t xml:space="preserve">. </w:t>
      </w:r>
      <w:r>
        <w:rPr>
          <w:rtl w:val="true"/>
        </w:rPr>
        <w:t>אשר למצבו של המערער בעת האירוע</w:t>
      </w:r>
      <w:r>
        <w:rPr>
          <w:rtl w:val="true"/>
        </w:rPr>
        <w:t xml:space="preserve">, </w:t>
      </w:r>
      <w:r>
        <w:rPr>
          <w:rtl w:val="true"/>
        </w:rPr>
        <w:t>נכתב כי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eastAsia="Arial TUR;Arial" w:cs="Arial TUR;Arial"/>
          <w:rtl w:val="true"/>
        </w:rPr>
        <w:t xml:space="preserve"> </w:t>
      </w:r>
      <w:r>
        <w:rPr/>
        <w:t>26.10.16</w:t>
      </w:r>
      <w:r>
        <w:rPr>
          <w:rtl w:val="true"/>
        </w:rPr>
        <w:t xml:space="preserve"> </w:t>
      </w:r>
      <w:r>
        <w:rPr>
          <w:rtl w:val="true"/>
        </w:rPr>
        <w:t>ובבדיקותיו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בתאריכים</w:t>
      </w:r>
      <w:r>
        <w:rPr>
          <w:rFonts w:eastAsia="Arial TUR;Arial" w:cs="Arial TUR;Arial"/>
          <w:rtl w:val="true"/>
        </w:rPr>
        <w:t xml:space="preserve"> </w:t>
      </w:r>
      <w:r>
        <w:rPr/>
        <w:t>1.11.16</w:t>
      </w:r>
      <w:r>
        <w:rPr>
          <w:rtl w:val="true"/>
        </w:rPr>
        <w:t xml:space="preserve">, </w:t>
      </w:r>
      <w:r>
        <w:rPr/>
        <w:t>23.11.16</w:t>
      </w:r>
      <w:r>
        <w:rPr>
          <w:rtl w:val="true"/>
        </w:rPr>
        <w:t xml:space="preserve">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בבדיקותיו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אימפרטיביות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להערכתנו</w:t>
      </w:r>
      <w:r>
        <w:rPr>
          <w:rtl w:val="true"/>
        </w:rPr>
        <w:t xml:space="preserve">,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לאסור</w:t>
      </w:r>
      <w:r>
        <w:rPr>
          <w:rtl w:val="true"/>
        </w:rPr>
        <w:t xml:space="preserve">".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בחקירתה הנגדית</w:t>
      </w:r>
      <w:r>
        <w:rPr>
          <w:rtl w:val="true"/>
        </w:rPr>
        <w:t xml:space="preserve">, </w:t>
      </w:r>
      <w:r>
        <w:rPr>
          <w:rtl w:val="true"/>
        </w:rPr>
        <w:t>הסבירה ד</w:t>
      </w:r>
      <w:r>
        <w:rPr>
          <w:rtl w:val="true"/>
        </w:rPr>
        <w:t>"</w:t>
      </w:r>
      <w:r>
        <w:rPr>
          <w:rtl w:val="true"/>
        </w:rPr>
        <w:t>ר שילד כי האבחנות המייחסות למערער סכיזופרניה</w:t>
      </w:r>
      <w:r>
        <w:rPr>
          <w:rtl w:val="true"/>
        </w:rPr>
        <w:t xml:space="preserve">, </w:t>
      </w:r>
      <w:r>
        <w:rPr>
          <w:rtl w:val="true"/>
        </w:rPr>
        <w:t>החל מאשפוזו השני</w:t>
      </w:r>
      <w:r>
        <w:rPr>
          <w:rtl w:val="true"/>
        </w:rPr>
        <w:t xml:space="preserve">, </w:t>
      </w:r>
      <w:r>
        <w:rPr>
          <w:rtl w:val="true"/>
        </w:rPr>
        <w:t xml:space="preserve">הן שגויות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דיון מיום </w:t>
      </w:r>
      <w:r>
        <w:rPr/>
        <w:t>2.6.2019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276</w:t>
      </w:r>
      <w:r>
        <w:rPr>
          <w:rtl w:val="true"/>
        </w:rPr>
        <w:t xml:space="preserve">).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האבחנה היחידה הנכונה היא זו המייחסת לו הפרעות נפשיות והתנהגותיות כתוצאה משימוש בסמים וחומרים פסיכואקטיביים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כנאענה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הממושכים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מסכיזופרניה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מעשור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תחלואה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כפולה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כנאענה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הזיות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עמד על כך שהמומחים משני הצדדים תמימי דעים כי קיימת למערער הפרעה נפשית</w:t>
      </w:r>
      <w:r>
        <w:rPr>
          <w:rtl w:val="true"/>
        </w:rPr>
        <w:t xml:space="preserve">, </w:t>
      </w:r>
      <w:r>
        <w:rPr>
          <w:rtl w:val="true"/>
        </w:rPr>
        <w:t>גם אם הם חלוקים על הגורם לה</w:t>
      </w:r>
      <w:r>
        <w:rPr>
          <w:rtl w:val="true"/>
        </w:rPr>
        <w:t xml:space="preserve">. </w:t>
      </w:r>
      <w:r>
        <w:rPr>
          <w:rtl w:val="true"/>
        </w:rPr>
        <w:t>המחלוקת המשמעותית עניינה מצבו הנפשי של המערער בעת ביצוע העבירות</w:t>
      </w:r>
      <w:r>
        <w:rPr>
          <w:rtl w:val="true"/>
        </w:rPr>
        <w:t xml:space="preserve">. </w:t>
      </w:r>
      <w:r>
        <w:rPr>
          <w:rtl w:val="true"/>
        </w:rPr>
        <w:t>בית המשפט המחוזי דחה את עמדת המומחה מטעם המערער בסוגיה זו</w:t>
      </w:r>
      <w:r>
        <w:rPr>
          <w:rtl w:val="true"/>
        </w:rPr>
        <w:t xml:space="preserve">, </w:t>
      </w:r>
      <w:r>
        <w:rPr>
          <w:rtl w:val="true"/>
        </w:rPr>
        <w:t xml:space="preserve">תוך שהדגיש כי המערער נעצר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שעות לאחר הרצח</w:t>
      </w:r>
      <w:r>
        <w:rPr>
          <w:rtl w:val="true"/>
        </w:rPr>
        <w:t xml:space="preserve">, </w:t>
      </w:r>
      <w:r>
        <w:rPr>
          <w:rtl w:val="true"/>
        </w:rPr>
        <w:t>וכאשר לאחר הרצח נמלט מהזירה</w:t>
      </w:r>
      <w:r>
        <w:rPr>
          <w:rtl w:val="true"/>
        </w:rPr>
        <w:t xml:space="preserve">, </w:t>
      </w:r>
      <w:r>
        <w:rPr>
          <w:rtl w:val="true"/>
        </w:rPr>
        <w:t>החליף את בגדיו ודאג להסוות את כלי הרצח</w:t>
      </w:r>
      <w:r>
        <w:rPr>
          <w:rtl w:val="true"/>
        </w:rPr>
        <w:t xml:space="preserve">. </w:t>
      </w:r>
      <w:r>
        <w:rPr>
          <w:rtl w:val="true"/>
        </w:rPr>
        <w:t>עוד הודגש</w:t>
      </w:r>
      <w:r>
        <w:rPr>
          <w:rtl w:val="true"/>
        </w:rPr>
        <w:t xml:space="preserve">, </w:t>
      </w:r>
      <w:r>
        <w:rPr>
          <w:rtl w:val="true"/>
        </w:rPr>
        <w:t>כי גם במהלך החקירה התנהל המערער באופן מחושב ובקור רוח</w:t>
      </w:r>
      <w:r>
        <w:rPr>
          <w:rtl w:val="true"/>
        </w:rPr>
        <w:t xml:space="preserve">. </w:t>
      </w:r>
      <w:r>
        <w:rPr>
          <w:rtl w:val="true"/>
        </w:rPr>
        <w:t>אף מבדיקת פסיכיאטר למחרת האירוע עלה כי לא היה נתון במצב הזייתי</w:t>
      </w:r>
      <w:r>
        <w:rPr>
          <w:rtl w:val="true"/>
        </w:rPr>
        <w:t xml:space="preserve">, </w:t>
      </w:r>
      <w:r>
        <w:rPr>
          <w:rtl w:val="true"/>
        </w:rPr>
        <w:t>וכן לא נמצאו סימנים פסיכוטיים פעילים</w:t>
      </w:r>
      <w:r>
        <w:rPr>
          <w:rtl w:val="true"/>
        </w:rPr>
        <w:t xml:space="preserve">. </w:t>
      </w:r>
      <w:r>
        <w:rPr>
          <w:rtl w:val="true"/>
        </w:rPr>
        <w:t>בית המשפט המחוזי הוסיף כי מסקנה זו מתחייבת גם מעדות האב לאירועים ממנה לא עלו אינדיקציות כי המערער היה במצב פסיכוטי</w:t>
      </w:r>
      <w:r>
        <w:rPr>
          <w:rtl w:val="true"/>
        </w:rPr>
        <w:t xml:space="preserve">; </w:t>
      </w:r>
      <w:r>
        <w:rPr>
          <w:rtl w:val="true"/>
        </w:rPr>
        <w:t>וגם מכך שהמערער מסר בחקירתו במשטרה גרסה שקרית המכחישה את אחריותו לרצח וכוללת טענת אליבי</w:t>
      </w:r>
      <w:r>
        <w:rPr>
          <w:rtl w:val="true"/>
        </w:rPr>
        <w:t xml:space="preserve">, </w:t>
      </w:r>
      <w:r>
        <w:rPr>
          <w:rtl w:val="true"/>
        </w:rPr>
        <w:t>כאשר גם לשיטת המומחה מטעמו בניית גרסה שקרית אינה מאפיינת אדם המצוי במצב פסיכוטי חריף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נקבע כי אין מדובר בנסיבות המתאימות לעבירת ההמתה בנסיבות של אחריות מופחתת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נקבע כי הרפורמה אינה מהווה דין מקל עם המערער</w:t>
      </w:r>
      <w:r>
        <w:rPr>
          <w:rtl w:val="true"/>
        </w:rPr>
        <w:t xml:space="preserve">, </w:t>
      </w:r>
      <w:r>
        <w:rPr>
          <w:rtl w:val="true"/>
        </w:rPr>
        <w:t>הוא הורשע באשר יוחס לו בכתב האישום ונגזר עליו עונש של מאסר עולם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בנימוקי הערעור ועיקרי הטיעון מטעמו</w:t>
      </w:r>
      <w:r>
        <w:rPr>
          <w:rtl w:val="true"/>
        </w:rPr>
        <w:t xml:space="preserve">, </w:t>
      </w:r>
      <w:r>
        <w:rPr>
          <w:rtl w:val="true"/>
        </w:rPr>
        <w:t>המערער השיג על שורה ארוכה של קביעות בהכרעת הדין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טען כי בית המשפט המחוזי שגה בקביעתו כי המערער הוא היחיד שדקר את המנוחה</w:t>
      </w:r>
      <w:r>
        <w:rPr>
          <w:rtl w:val="true"/>
        </w:rPr>
        <w:t xml:space="preserve">; </w:t>
      </w:r>
      <w:r>
        <w:rPr>
          <w:rtl w:val="true"/>
        </w:rPr>
        <w:t>כי לא הוא שביצע את הדקירה הקטלנית שהובילה למות המנוחה</w:t>
      </w:r>
      <w:r>
        <w:rPr>
          <w:rtl w:val="true"/>
        </w:rPr>
        <w:t xml:space="preserve">; </w:t>
      </w:r>
      <w:r>
        <w:rPr>
          <w:rtl w:val="true"/>
        </w:rPr>
        <w:t>כי חקירתה המגמתית והרשלנית של המשטרה הובילה לכך שלא נמצא הדוקר הנוסף</w:t>
      </w:r>
      <w:r>
        <w:rPr>
          <w:rtl w:val="true"/>
        </w:rPr>
        <w:t xml:space="preserve">; </w:t>
      </w:r>
      <w:r>
        <w:rPr>
          <w:rtl w:val="true"/>
        </w:rPr>
        <w:t>וכי לא הוכחו רכיב ההכנה או העדר הקנטור ולכן היה להרשיע את המערער בעבירת הריגה בלבד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 הדיון בערעור צמצם הסנגור את יריעת המחלוקת והבהיר כי הוא ממקד את טענותיו בהיבטים הקשורים לרפורמה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ובפרט בטענתו כי בנסיבות העניין נדרש היה להרשיע את המערער בעבירת הרצח הבסיסית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המחלוקת שבה עלינו להכריע היא האם ביישום הרפורמה בעבירות ההמתה על עניינו של המערער</w:t>
      </w:r>
      <w:r>
        <w:rPr>
          <w:rtl w:val="true"/>
        </w:rPr>
        <w:t xml:space="preserve">, </w:t>
      </w:r>
      <w:r>
        <w:rPr>
          <w:rtl w:val="true"/>
        </w:rPr>
        <w:t>הוא היה מורשע בעבירת הרצח הבסיסית</w:t>
      </w:r>
      <w:r>
        <w:rPr>
          <w:rtl w:val="true"/>
        </w:rPr>
        <w:t xml:space="preserve">, </w:t>
      </w:r>
      <w:r>
        <w:rPr>
          <w:rtl w:val="true"/>
        </w:rPr>
        <w:t xml:space="preserve">בגינה היה נגזר עליו 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</w:t>
      </w:r>
      <w:r>
        <w:rPr>
          <w:rtl w:val="true"/>
        </w:rPr>
        <w:t xml:space="preserve"> של מאסר עולם</w:t>
      </w:r>
      <w:r>
        <w:rPr>
          <w:rtl w:val="true"/>
        </w:rPr>
        <w:t xml:space="preserve">; </w:t>
      </w:r>
      <w:r>
        <w:rPr>
          <w:rtl w:val="true"/>
        </w:rPr>
        <w:t xml:space="preserve">או בעבירת הרצח בנסיבות מחמירות </w:t>
      </w:r>
      <w:r>
        <w:rPr>
          <w:rtl w:val="true"/>
        </w:rPr>
        <w:t>–</w:t>
      </w:r>
      <w:r>
        <w:rPr>
          <w:rtl w:val="true"/>
        </w:rPr>
        <w:t xml:space="preserve"> אשר בצדה עונש מאסר עולם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נפל פגם בכך שהמשיבה טענה במסגרת סיכומיה בלבד כי מתקיימות נסיבות מחמירות המנויות </w:t>
      </w:r>
      <w:hyperlink r:id="rId4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tl w:val="true"/>
        </w:rPr>
        <w:t>"</w:t>
      </w:r>
      <w:r>
        <w:rPr>
          <w:rtl w:val="true"/>
        </w:rPr>
        <w:t>לא קם זכרן בכתב האישום</w:t>
      </w:r>
      <w:r>
        <w:rPr>
          <w:rtl w:val="true"/>
        </w:rPr>
        <w:t xml:space="preserve">". </w:t>
      </w:r>
      <w:r>
        <w:rPr>
          <w:rtl w:val="true"/>
        </w:rPr>
        <w:t>את טענות המערער במישור זה ניתן לחלק לשתי קבוצות</w:t>
      </w:r>
      <w:r>
        <w:rPr>
          <w:rtl w:val="true"/>
        </w:rPr>
        <w:t xml:space="preserve">: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שעיקרה במישור הדיוני</w:t>
      </w:r>
      <w:r>
        <w:rPr>
          <w:rtl w:val="true"/>
        </w:rPr>
        <w:t xml:space="preserve">, </w:t>
      </w:r>
      <w:r>
        <w:rPr>
          <w:rtl w:val="true"/>
        </w:rPr>
        <w:t>היא שעל המשיבה הייתה חובה לציין את כל הנסיבות המחמירות בכתב האישום</w:t>
      </w:r>
      <w:r>
        <w:rPr>
          <w:rtl w:val="true"/>
        </w:rPr>
        <w:t xml:space="preserve">, </w:t>
      </w:r>
      <w:r>
        <w:rPr>
          <w:rtl w:val="true"/>
        </w:rPr>
        <w:t>וכי אי הכללת הנסיבות המחמירות בכתב האישום פגעה ביכולת ההגנה להתגונן מפניהן</w:t>
      </w:r>
      <w:r>
        <w:rPr>
          <w:rtl w:val="true"/>
        </w:rPr>
        <w:t xml:space="preserve">. </w:t>
      </w:r>
      <w:r>
        <w:rPr>
          <w:rtl w:val="true"/>
        </w:rPr>
        <w:t>המערער אף עמד על כך שהמשיבה לא ביקשה לתקן את כתב האישום</w:t>
      </w:r>
      <w:r>
        <w:rPr>
          <w:rtl w:val="true"/>
        </w:rPr>
        <w:t xml:space="preserve">, </w:t>
      </w:r>
      <w:r>
        <w:rPr>
          <w:rtl w:val="true"/>
        </w:rPr>
        <w:t>וטען כי גם בכך נפל פגם</w:t>
      </w:r>
      <w:r>
        <w:rPr>
          <w:rtl w:val="true"/>
        </w:rPr>
        <w:t xml:space="preserve">.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במישור המהותי</w:t>
      </w:r>
      <w:r>
        <w:rPr>
          <w:rtl w:val="true"/>
        </w:rPr>
        <w:t xml:space="preserve">, </w:t>
      </w:r>
      <w:r>
        <w:rPr>
          <w:rtl w:val="true"/>
        </w:rPr>
        <w:t>היא כי טענות המשיבה להתקיימות הנסיבות המחמירות למעשה סותרות את עובדות כתב האישום</w:t>
      </w:r>
      <w:r>
        <w:rPr>
          <w:rtl w:val="true"/>
        </w:rPr>
        <w:t xml:space="preserve">. </w:t>
      </w:r>
      <w:r>
        <w:rPr>
          <w:rtl w:val="true"/>
        </w:rPr>
        <w:t>מטעמים אלו</w:t>
      </w:r>
      <w:r>
        <w:rPr>
          <w:rtl w:val="true"/>
        </w:rPr>
        <w:t xml:space="preserve">, </w:t>
      </w:r>
      <w:r>
        <w:rPr>
          <w:rtl w:val="true"/>
        </w:rPr>
        <w:t>לדבריו כלל לא היה מקום לדון בתחולת הנסיבות המחמירות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כטענה חלופית</w:t>
      </w:r>
      <w:r>
        <w:rPr>
          <w:rtl w:val="true"/>
        </w:rPr>
        <w:t xml:space="preserve">, </w:t>
      </w:r>
      <w:r>
        <w:rPr>
          <w:rtl w:val="true"/>
        </w:rPr>
        <w:t xml:space="preserve">טען המערער כי הנסיבה המחמירה הקבועה </w:t>
      </w:r>
      <w:hyperlink r:id="rId4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המעשה נעשה לאחר תכנון או לאחר הליך ממשי של שקילה וגיבוש החלטה להמית</w:t>
      </w:r>
      <w:r>
        <w:rPr>
          <w:rtl w:val="true"/>
        </w:rPr>
        <w:t xml:space="preserve">, </w:t>
      </w:r>
      <w:r>
        <w:rPr>
          <w:rtl w:val="true"/>
        </w:rPr>
        <w:t>אינה מתקיימת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גם אם הייתה מתגבשת כוונה להמית</w:t>
      </w:r>
      <w:r>
        <w:rPr>
          <w:rtl w:val="true"/>
        </w:rPr>
        <w:t xml:space="preserve">, </w:t>
      </w:r>
      <w:r>
        <w:rPr>
          <w:rtl w:val="true"/>
        </w:rPr>
        <w:t>הרי שמדובר ברצון ספונטני בלבד שאותו ביקש המחוקק להחריג מגדרי סעיף זה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הפגיעה במנוחה הייתה תוצאה של התפרצות זעם רגעית</w:t>
      </w:r>
      <w:r>
        <w:rPr>
          <w:rtl w:val="true"/>
        </w:rPr>
        <w:t xml:space="preserve">, </w:t>
      </w:r>
      <w:r>
        <w:rPr>
          <w:rtl w:val="true"/>
        </w:rPr>
        <w:t>וללא תכנון ושקילה</w:t>
      </w:r>
      <w:r>
        <w:rPr>
          <w:rtl w:val="true"/>
        </w:rPr>
        <w:t xml:space="preserve">. </w:t>
      </w:r>
      <w:r>
        <w:rPr>
          <w:rtl w:val="true"/>
        </w:rPr>
        <w:t>בדיון שלפנינו חידד הסנגור את טענתו זו</w:t>
      </w:r>
      <w:r>
        <w:rPr>
          <w:rtl w:val="true"/>
        </w:rPr>
        <w:t xml:space="preserve">, </w:t>
      </w:r>
      <w:r>
        <w:rPr>
          <w:rtl w:val="true"/>
        </w:rPr>
        <w:t>כאשר טען כי מצבו הנפשי המורכב של המערער</w:t>
      </w:r>
      <w:r>
        <w:rPr>
          <w:rtl w:val="true"/>
        </w:rPr>
        <w:t xml:space="preserve">, </w:t>
      </w:r>
      <w:r>
        <w:rPr>
          <w:rtl w:val="true"/>
        </w:rPr>
        <w:t>אשר בא לידי ביטוי בריבוי אשפוזים ממושכים בעבר וגם בתרופות שאותן הוא נוטל היום</w:t>
      </w:r>
      <w:r>
        <w:rPr>
          <w:rtl w:val="true"/>
        </w:rPr>
        <w:t xml:space="preserve">, </w:t>
      </w:r>
      <w:r>
        <w:rPr>
          <w:rtl w:val="true"/>
        </w:rPr>
        <w:t>תומך אף הוא במסקנה כי מעשה ההמתה לא נעשה לאחר תכנון או הליך ממשי של שקילה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אשר לנסיבה המחמירה הקבועה </w:t>
      </w:r>
      <w:hyperlink r:id="rId4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המעשה נעשה כפעולה עונשית במטרה להטיל מרות או מורא ולכפות אורחות התנהגות על ציבור</w:t>
      </w:r>
      <w:r>
        <w:rPr>
          <w:rtl w:val="true"/>
        </w:rPr>
        <w:t>,</w:t>
      </w:r>
      <w:r>
        <w:rPr>
          <w:rFonts w:cs="FrankRuehl" w:ascii="FrankRuehl" w:hAnsi="FrankRuehl"/>
          <w:color w:val="000000"/>
          <w:sz w:val="26"/>
          <w:szCs w:val="26"/>
          <w:rtl w:val="true"/>
        </w:rPr>
        <w:t xml:space="preserve"> </w:t>
      </w:r>
      <w:r>
        <w:rPr>
          <w:rtl w:val="true"/>
        </w:rPr>
        <w:t>נטען כי לטענת המשיבה כוונת המערער להמית את המנוחה התגבשה בעקבות הוויכוח בינה לבין אביה</w:t>
      </w:r>
      <w:r>
        <w:rPr>
          <w:rtl w:val="true"/>
        </w:rPr>
        <w:t xml:space="preserve">.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שלא כחלק ממשנה סדורה או מטרה להעניש</w:t>
      </w:r>
      <w:r>
        <w:rPr>
          <w:rtl w:val="true"/>
        </w:rPr>
        <w:t xml:space="preserve">. </w:t>
      </w:r>
      <w:r>
        <w:rPr>
          <w:rtl w:val="true"/>
        </w:rPr>
        <w:t>נטען כי איומים ישנים של המערער כלפי אינס</w:t>
      </w:r>
      <w:r>
        <w:rPr>
          <w:rtl w:val="true"/>
        </w:rPr>
        <w:t xml:space="preserve">, </w:t>
      </w:r>
      <w:r>
        <w:rPr>
          <w:rtl w:val="true"/>
        </w:rPr>
        <w:t>שכלל לא הוכחו כנדרש</w:t>
      </w:r>
      <w:r>
        <w:rPr>
          <w:rtl w:val="true"/>
        </w:rPr>
        <w:t xml:space="preserve">, </w:t>
      </w:r>
      <w:r>
        <w:rPr>
          <w:rtl w:val="true"/>
        </w:rPr>
        <w:t>אף הם אינם מבססים חלופה זו</w:t>
      </w:r>
      <w:r>
        <w:rPr>
          <w:rtl w:val="true"/>
        </w:rPr>
        <w:t xml:space="preserve">; </w:t>
      </w:r>
      <w:r>
        <w:rPr>
          <w:rtl w:val="true"/>
        </w:rPr>
        <w:t>וכי גם אם היו חילוקי דעות במשפחה לגבי אורחות החיים בבית</w:t>
      </w:r>
      <w:r>
        <w:rPr>
          <w:rtl w:val="true"/>
        </w:rPr>
        <w:t xml:space="preserve">, </w:t>
      </w:r>
      <w:r>
        <w:rPr>
          <w:rtl w:val="true"/>
        </w:rPr>
        <w:t>הרי שלא הוכח כי אלו חרגו מ</w:t>
      </w:r>
      <w:r>
        <w:rPr>
          <w:rtl w:val="true"/>
        </w:rPr>
        <w:t>"</w:t>
      </w:r>
      <w:r>
        <w:rPr>
          <w:rtl w:val="true"/>
        </w:rPr>
        <w:t>וויכוחים תקופתיים שאינם בעלי משמעות מיוחדת לאירוע</w:t>
      </w:r>
      <w:r>
        <w:rPr>
          <w:rtl w:val="true"/>
        </w:rPr>
        <w:t xml:space="preserve">".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חילוקי דעות שכאלו או סכסוכים משפחתיים מסוג זה אינם מלמדים על החלטה להמית על רקע מה שמכונה </w:t>
      </w:r>
      <w:r>
        <w:rPr>
          <w:rtl w:val="true"/>
        </w:rPr>
        <w:t>"</w:t>
      </w:r>
      <w:r>
        <w:rPr>
          <w:rtl w:val="true"/>
        </w:rPr>
        <w:t>כבוד המשפחה</w:t>
      </w:r>
      <w:r>
        <w:rPr>
          <w:rtl w:val="true"/>
        </w:rPr>
        <w:t xml:space="preserve">". </w:t>
      </w:r>
      <w:r>
        <w:rPr>
          <w:rtl w:val="true"/>
        </w:rPr>
        <w:t>במסגרת זו הפנה המערער גם לדבריו של ד</w:t>
      </w:r>
      <w:r>
        <w:rPr>
          <w:rtl w:val="true"/>
        </w:rPr>
        <w:t>"</w:t>
      </w:r>
      <w:r>
        <w:rPr>
          <w:rtl w:val="true"/>
        </w:rPr>
        <w:t>ר כנאענה</w:t>
      </w:r>
      <w:r>
        <w:rPr>
          <w:rtl w:val="true"/>
        </w:rPr>
        <w:t xml:space="preserve">, </w:t>
      </w:r>
      <w:r>
        <w:rPr>
          <w:rtl w:val="true"/>
        </w:rPr>
        <w:t xml:space="preserve">שלפיהם רצח על רקע </w:t>
      </w:r>
      <w:r>
        <w:rPr>
          <w:rtl w:val="true"/>
        </w:rPr>
        <w:t>"</w:t>
      </w:r>
      <w:r>
        <w:rPr>
          <w:rtl w:val="true"/>
        </w:rPr>
        <w:t>כבוד המשפחה</w:t>
      </w:r>
      <w:r>
        <w:rPr>
          <w:rtl w:val="true"/>
        </w:rPr>
        <w:t xml:space="preserve">" </w:t>
      </w:r>
      <w:r>
        <w:rPr>
          <w:rtl w:val="true"/>
        </w:rPr>
        <w:t>הוא אקט מתוכנן</w:t>
      </w:r>
      <w:r>
        <w:rPr>
          <w:rtl w:val="true"/>
        </w:rPr>
        <w:t xml:space="preserve">, </w:t>
      </w:r>
      <w:r>
        <w:rPr>
          <w:rtl w:val="true"/>
        </w:rPr>
        <w:t>ואילו במקרה זה מדובר היה באקט אימפולסיבי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ביחס לקביעת בית המשפט המחוזי שמתקיימת בנסיבות העניין גם הנסיבה המחמירה הקבועה </w:t>
      </w:r>
      <w:hyperlink r:id="rId4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שלפיה </w:t>
      </w:r>
      <w:r>
        <w:rPr>
          <w:rtl w:val="true"/>
        </w:rPr>
        <w:t>המעשה נעשה באכזריות מיוחדת</w:t>
      </w:r>
      <w:r>
        <w:rPr>
          <w:rtl w:val="true"/>
        </w:rPr>
        <w:t xml:space="preserve">, </w:t>
      </w:r>
      <w:r>
        <w:rPr>
          <w:rtl w:val="true"/>
        </w:rPr>
        <w:t>או תוך התעללות גופנית או נפשית בקורבן</w:t>
      </w:r>
      <w:r>
        <w:rPr>
          <w:rtl w:val="true"/>
        </w:rPr>
        <w:t xml:space="preserve">, </w:t>
      </w:r>
      <w:r>
        <w:rPr>
          <w:rtl w:val="true"/>
        </w:rPr>
        <w:t>נטען כי המשיבה כלל לא טענה כי להתקיימותה בנסיבות תיק זה</w:t>
      </w:r>
      <w:r>
        <w:rPr>
          <w:rtl w:val="true"/>
        </w:rPr>
        <w:t xml:space="preserve">, </w:t>
      </w:r>
      <w:r>
        <w:rPr>
          <w:rtl w:val="true"/>
        </w:rPr>
        <w:t>וכי קביעה זו שגויה גם לגופה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גם אם מתקיימת נסיבה מחמירה כלשהי</w:t>
      </w:r>
      <w:r>
        <w:rPr>
          <w:rtl w:val="true"/>
        </w:rPr>
        <w:t xml:space="preserve">, </w:t>
      </w:r>
      <w:r>
        <w:rPr>
          <w:rtl w:val="true"/>
        </w:rPr>
        <w:t xml:space="preserve">יש לעשות שימוש </w:t>
      </w:r>
      <w:hyperlink r:id="rId4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כך שהמערער יורשע בעבירת הרצח הבסיסית בלבד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מצדה</w:t>
      </w:r>
      <w:r>
        <w:rPr>
          <w:rtl w:val="true"/>
        </w:rPr>
        <w:t xml:space="preserve">, </w:t>
      </w:r>
      <w:r>
        <w:rPr>
          <w:rtl w:val="true"/>
        </w:rPr>
        <w:t>עמדה על הוראות המעבר שנקבעו לרפורמה בעבירות ההמתה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לא נפל פגם באופן בו בית המשפט המחוזי יישם הוראות אלו</w:t>
      </w:r>
      <w:r>
        <w:rPr>
          <w:rtl w:val="true"/>
        </w:rPr>
        <w:t xml:space="preserve">, </w:t>
      </w:r>
      <w:r>
        <w:rPr>
          <w:rtl w:val="true"/>
        </w:rPr>
        <w:t>כאשר נדרש לבחון האם הרפורמה היא בגדר דין מקל עם המערער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בחינה זו נעשית בהכרח בדיעבד</w:t>
      </w:r>
      <w:r>
        <w:rPr>
          <w:rtl w:val="true"/>
        </w:rPr>
        <w:t xml:space="preserve">, </w:t>
      </w:r>
      <w:r>
        <w:rPr>
          <w:rtl w:val="true"/>
        </w:rPr>
        <w:t>ובתיקים מסוימים רק בשלב שלאחר הכרעת הדין ואף בשלב הערעור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שאין כל חובה לבקש לתקן את 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עוד ציינה כי הגישה ביום </w:t>
      </w:r>
      <w:r>
        <w:rPr/>
        <w:t>28.5.2019</w:t>
      </w:r>
      <w:r>
        <w:rPr>
          <w:rtl w:val="true"/>
        </w:rPr>
        <w:t xml:space="preserve"> </w:t>
      </w:r>
      <w:r>
        <w:rPr>
          <w:rtl w:val="true"/>
        </w:rPr>
        <w:t>הודעה לבית המשפט המחוזי על כך שלגישתה הרפורמה אינה מהווה דין מקל</w:t>
      </w:r>
      <w:r>
        <w:rPr>
          <w:rtl w:val="true"/>
        </w:rPr>
        <w:t xml:space="preserve">, </w:t>
      </w:r>
      <w:r>
        <w:rPr>
          <w:rtl w:val="true"/>
        </w:rPr>
        <w:t xml:space="preserve">מאחר שמתקיימות הנסיבות המחמירות הקבועות </w:t>
      </w:r>
      <w:hyperlink r:id="rId48">
        <w:r>
          <w:rPr>
            <w:rStyle w:val="Hyperlink"/>
            <w:rtl w:val="true"/>
          </w:rPr>
          <w:t>בסעיפים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9"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כן נטען כי האפשרות כי רצח המנוחה נעשה על רקע מה שמכונה </w:t>
      </w:r>
      <w:r>
        <w:rPr>
          <w:rtl w:val="true"/>
        </w:rPr>
        <w:t>"</w:t>
      </w:r>
      <w:r>
        <w:rPr>
          <w:rtl w:val="true"/>
        </w:rPr>
        <w:t>כבוד המשפחה</w:t>
      </w:r>
      <w:r>
        <w:rPr>
          <w:rtl w:val="true"/>
        </w:rPr>
        <w:t xml:space="preserve">", </w:t>
      </w:r>
      <w:r>
        <w:rPr>
          <w:rtl w:val="true"/>
        </w:rPr>
        <w:t>עלתה ממילא במהלך עדותה של אינס ולצורך ביסוס המניע לרצח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לגופם של דברים</w:t>
      </w:r>
      <w:r>
        <w:rPr>
          <w:rtl w:val="true"/>
        </w:rPr>
        <w:t xml:space="preserve">, </w:t>
      </w:r>
      <w:r>
        <w:rPr>
          <w:rtl w:val="true"/>
        </w:rPr>
        <w:t>המשיבה טענה כי המתת המנוחה בוצעה לאחר הליך ממשי של שקילה כך שגם לאחר שהרפורמה הצרה את גדרי מושג ה</w:t>
      </w:r>
      <w:r>
        <w:rPr>
          <w:rtl w:val="true"/>
        </w:rPr>
        <w:t>"</w:t>
      </w:r>
      <w:r>
        <w:rPr>
          <w:rtl w:val="true"/>
        </w:rPr>
        <w:t>כוונה תחילה</w:t>
      </w:r>
      <w:r>
        <w:rPr>
          <w:rtl w:val="true"/>
        </w:rPr>
        <w:t xml:space="preserve">" </w:t>
      </w:r>
      <w:r>
        <w:rPr>
          <w:rtl w:val="true"/>
        </w:rPr>
        <w:t>שהיה קיים בדין הקודם</w:t>
      </w:r>
      <w:r>
        <w:rPr>
          <w:rtl w:val="true"/>
        </w:rPr>
        <w:t xml:space="preserve">, </w:t>
      </w:r>
      <w:r>
        <w:rPr>
          <w:rtl w:val="true"/>
        </w:rPr>
        <w:t>היא אינה דין מקל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ניתן ללמוד על התקיימות הנסיבה המחמירה מאיומיו הקודמים של המערער כלפי המנוחה</w:t>
      </w:r>
      <w:r>
        <w:rPr>
          <w:rtl w:val="true"/>
        </w:rPr>
        <w:t xml:space="preserve">, </w:t>
      </w:r>
      <w:r>
        <w:rPr>
          <w:rtl w:val="true"/>
        </w:rPr>
        <w:t>ההצטיידות בסכין ונחישות המערער להשלים את מעשה ההמתה וקור רוחו</w:t>
      </w:r>
      <w:r>
        <w:rPr>
          <w:rtl w:val="true"/>
        </w:rPr>
        <w:t xml:space="preserve">. </w:t>
      </w:r>
      <w:r>
        <w:rPr>
          <w:rtl w:val="true"/>
        </w:rPr>
        <w:t>לשיטת המשיבה</w:t>
      </w:r>
      <w:r>
        <w:rPr>
          <w:rtl w:val="true"/>
        </w:rPr>
        <w:t xml:space="preserve">, </w:t>
      </w:r>
      <w:r>
        <w:rPr>
          <w:rtl w:val="true"/>
        </w:rPr>
        <w:t>הגם שאין אינדיקציה מובהקת מתי בדיוק גמלה בליבו של המערער ההחלטה להמית את המנוחה</w:t>
      </w:r>
      <w:r>
        <w:rPr>
          <w:rtl w:val="true"/>
        </w:rPr>
        <w:t xml:space="preserve">, </w:t>
      </w:r>
      <w:r>
        <w:rPr>
          <w:rtl w:val="true"/>
        </w:rPr>
        <w:t>מצבור נתונים אלו מגבש מסקנה כי קדם לה הליך ממשי של שקילה</w:t>
      </w:r>
      <w:r>
        <w:rPr>
          <w:rtl w:val="true"/>
        </w:rPr>
        <w:t xml:space="preserve">. </w:t>
      </w:r>
      <w:r>
        <w:rPr>
          <w:rtl w:val="true"/>
        </w:rPr>
        <w:t>בדיון לפנינו</w:t>
      </w:r>
      <w:r>
        <w:rPr>
          <w:rtl w:val="true"/>
        </w:rPr>
        <w:t xml:space="preserve">, </w:t>
      </w:r>
      <w:r>
        <w:rPr>
          <w:rtl w:val="true"/>
        </w:rPr>
        <w:t xml:space="preserve">טענה המשיבה כי התקיים אצל המערער למעשה </w:t>
      </w:r>
      <w:r>
        <w:rPr>
          <w:rtl w:val="true"/>
        </w:rPr>
        <w:t>"</w:t>
      </w:r>
      <w:r>
        <w:rPr>
          <w:rtl w:val="true"/>
        </w:rPr>
        <w:t>הליך שקילה על תנאי</w:t>
      </w:r>
      <w:r>
        <w:rPr>
          <w:rtl w:val="true"/>
        </w:rPr>
        <w:t xml:space="preserve">". </w:t>
      </w:r>
      <w:r>
        <w:rPr>
          <w:rtl w:val="true"/>
        </w:rPr>
        <w:t>כאשר הוויכוח בין המנוחה לאב היה ה</w:t>
      </w:r>
      <w:r>
        <w:rPr>
          <w:rtl w:val="true"/>
        </w:rPr>
        <w:t>"</w:t>
      </w:r>
      <w:r>
        <w:rPr>
          <w:rtl w:val="true"/>
        </w:rPr>
        <w:t>טריגר</w:t>
      </w:r>
      <w:r>
        <w:rPr>
          <w:rtl w:val="true"/>
        </w:rPr>
        <w:t xml:space="preserve">" </w:t>
      </w:r>
      <w:r>
        <w:rPr>
          <w:rtl w:val="true"/>
        </w:rPr>
        <w:t>שהוביל למימוש הליך השקילה המוקדם אשר התקיים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 המשיבה</w:t>
      </w:r>
      <w:r>
        <w:rPr>
          <w:rtl w:val="true"/>
        </w:rPr>
        <w:t xml:space="preserve">, </w:t>
      </w:r>
      <w:r>
        <w:rPr>
          <w:rtl w:val="true"/>
        </w:rPr>
        <w:t xml:space="preserve">אף אין להתערב בקביעת בית המשפט המחוזי כי גם הנסיבה הקבועה </w:t>
      </w:r>
      <w:hyperlink r:id="rId5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מתקיימת</w:t>
      </w:r>
      <w:r>
        <w:rPr>
          <w:rtl w:val="true"/>
        </w:rPr>
        <w:t xml:space="preserve">. </w:t>
      </w:r>
      <w:r>
        <w:rPr>
          <w:rtl w:val="true"/>
        </w:rPr>
        <w:t xml:space="preserve">המשיבה עמדה על כך שנסיבה מחמירה זו נועדה להעביר מסר נורמטיבי על שליליות התופעה המכונה רצח על </w:t>
      </w:r>
      <w:r>
        <w:rPr>
          <w:rtl w:val="true"/>
        </w:rPr>
        <w:t>"</w:t>
      </w:r>
      <w:r>
        <w:rPr>
          <w:rtl w:val="true"/>
        </w:rPr>
        <w:t>כבוד המשפחה</w:t>
      </w:r>
      <w:r>
        <w:rPr>
          <w:rtl w:val="true"/>
        </w:rPr>
        <w:t xml:space="preserve">". </w:t>
      </w:r>
      <w:r>
        <w:rPr>
          <w:rtl w:val="true"/>
        </w:rPr>
        <w:t>כן טענה כי נסיבה זו מתקיימת בעניינו של המערער לנוכח קביעת בית המשפט המחוזי כי המניע לרצח היה אורחות חייה של המנוחה ובשים לב לאינדיקציות ראייתיות נוספות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אשר לנסיבה המחמירה הקבועה </w:t>
      </w:r>
      <w:hyperlink r:id="rId5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המשיבה הסבירה כי מלכתחילה לא טענה להתקיימותה מאחר ש</w:t>
      </w:r>
      <w:r>
        <w:rPr>
          <w:rtl w:val="true"/>
        </w:rPr>
        <w:t>"</w:t>
      </w:r>
      <w:r>
        <w:rPr>
          <w:rtl w:val="true"/>
        </w:rPr>
        <w:t>יש קושי</w:t>
      </w:r>
      <w:r>
        <w:rPr>
          <w:rtl w:val="true"/>
        </w:rPr>
        <w:t xml:space="preserve">" </w:t>
      </w:r>
      <w:r>
        <w:rPr>
          <w:rtl w:val="true"/>
        </w:rPr>
        <w:t>בקביעה כי היא חלה בנסיבות העניין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יתר הנסיבות המחמירות מתקיימות באופן ברור ומובהק</w:t>
      </w:r>
      <w:r>
        <w:rPr>
          <w:rtl w:val="true"/>
        </w:rPr>
        <w:t xml:space="preserve">, </w:t>
      </w:r>
      <w:r>
        <w:rPr>
          <w:rtl w:val="true"/>
        </w:rPr>
        <w:t>כך שממילא יש לדחות את 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תחילה אדרש לטענותיו המקדמיות של המערער ביחס לאופן ניסוח כתב האישום</w:t>
      </w:r>
      <w:r>
        <w:rPr>
          <w:rtl w:val="true"/>
        </w:rPr>
        <w:t xml:space="preserve">, </w:t>
      </w:r>
      <w:r>
        <w:rPr>
          <w:rtl w:val="true"/>
        </w:rPr>
        <w:t>העובדה שלא התבקש לתקנו</w:t>
      </w:r>
      <w:r>
        <w:rPr>
          <w:rtl w:val="true"/>
        </w:rPr>
        <w:t xml:space="preserve">, </w:t>
      </w:r>
      <w:r>
        <w:rPr>
          <w:rtl w:val="true"/>
        </w:rPr>
        <w:t>ובדבר סתירה הקיימת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בין עובדות כתב האישום לטענות המדינה כי מתקיימות נסיבות המחמירות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לצורך הכרעה בטענה זו יש לעמוד בקצרה על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והוראות המעבר שנכללו בו</w:t>
      </w:r>
      <w:r>
        <w:rPr>
          <w:rtl w:val="true"/>
        </w:rPr>
        <w:t xml:space="preserve">. </w:t>
      </w:r>
      <w:r>
        <w:rPr>
          <w:rtl w:val="true"/>
        </w:rPr>
        <w:t xml:space="preserve">סעיף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 xml:space="preserve">לתיקון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מכיל הוראות בדבר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תחילה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מעבר</w:t>
      </w:r>
      <w:r>
        <w:rPr>
          <w:rtl w:val="true"/>
        </w:rPr>
        <w:t xml:space="preserve">". </w:t>
      </w:r>
      <w:r>
        <w:rPr>
          <w:rtl w:val="true"/>
        </w:rPr>
        <w:t>הוא מתייחס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לשלושה מצבים שונים</w:t>
      </w:r>
      <w:r>
        <w:rPr>
          <w:rtl w:val="true"/>
        </w:rPr>
        <w:t xml:space="preserve">, </w:t>
      </w:r>
      <w:r>
        <w:rPr>
          <w:rtl w:val="true"/>
        </w:rPr>
        <w:t xml:space="preserve">הנסובים על יום התחילה </w:t>
      </w:r>
      <w:r>
        <w:rPr>
          <w:rtl w:val="true"/>
        </w:rPr>
        <w:t>–</w:t>
      </w:r>
      <w:r>
        <w:rPr>
          <w:rtl w:val="true"/>
        </w:rPr>
        <w:t xml:space="preserve"> ה</w:t>
      </w:r>
      <w:r>
        <w:rPr>
          <w:rtl w:val="true"/>
        </w:rPr>
        <w:t>-</w:t>
      </w:r>
      <w:r>
        <w:rPr/>
        <w:t>10.7.2019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התחילה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המצב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הוא כאשר מדובר בעבירה שבוצעה מיום התחילה ואילך</w:t>
      </w:r>
      <w:r>
        <w:rPr>
          <w:rtl w:val="true"/>
        </w:rPr>
        <w:t xml:space="preserve">. </w:t>
      </w:r>
      <w:r>
        <w:rPr>
          <w:rtl w:val="true"/>
        </w:rPr>
        <w:t xml:space="preserve">במצב כזה הוראות הרפורמה חלות על נסיבות המקרה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hyperlink r:id="rId5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)).</w:t>
        </w:r>
      </w:hyperlink>
      <w:r>
        <w:rPr>
          <w:rtl w:val="true"/>
        </w:rPr>
        <w:t xml:space="preserve"> </w:t>
      </w:r>
      <w:r>
        <w:rPr>
          <w:rtl w:val="true"/>
        </w:rPr>
        <w:t>מצב דברים זה הוא הפשוט מבין השלושה</w:t>
      </w:r>
      <w:r>
        <w:rPr>
          <w:rtl w:val="true"/>
        </w:rPr>
        <w:t xml:space="preserve">. </w:t>
      </w:r>
      <w:r>
        <w:rPr>
          <w:rtl w:val="true"/>
        </w:rPr>
        <w:t xml:space="preserve">המצב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 xml:space="preserve">הוא כאשר העבירה בוצעה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וטרם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". </w:t>
      </w:r>
      <w:r>
        <w:rPr>
          <w:rtl w:val="true"/>
        </w:rPr>
        <w:t>במקרה כזה</w:t>
      </w:r>
      <w:r>
        <w:rPr>
          <w:rtl w:val="true"/>
        </w:rPr>
        <w:t xml:space="preserve">, </w:t>
      </w:r>
      <w:r>
        <w:rPr>
          <w:rtl w:val="true"/>
        </w:rPr>
        <w:t xml:space="preserve">נקבע כי יחולו הוראות </w:t>
      </w:r>
      <w:hyperlink r:id="rId5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שלפיהם </w:t>
      </w:r>
      <w:r>
        <w:rPr>
          <w:rtl w:val="true"/>
        </w:rPr>
        <w:t>"</w:t>
      </w:r>
      <w:r>
        <w:rPr>
          <w:rtl w:val="true"/>
        </w:rPr>
        <w:t>נעברה עבירה ובטרם ניתן פסק</w:t>
      </w:r>
      <w:r>
        <w:rPr>
          <w:rtl w:val="true"/>
        </w:rPr>
        <w:t>-</w:t>
      </w:r>
      <w:r>
        <w:rPr>
          <w:rtl w:val="true"/>
        </w:rPr>
        <w:t>דין חלוט לגביה</w:t>
      </w:r>
      <w:r>
        <w:rPr>
          <w:rtl w:val="true"/>
        </w:rPr>
        <w:t xml:space="preserve">, </w:t>
      </w:r>
      <w:r>
        <w:rPr>
          <w:rtl w:val="true"/>
        </w:rPr>
        <w:t>חל שינוי בנוגע להגדרתה או לאחריות לה</w:t>
      </w:r>
      <w:r>
        <w:rPr>
          <w:rtl w:val="true"/>
        </w:rPr>
        <w:t xml:space="preserve">, </w:t>
      </w:r>
      <w:r>
        <w:rPr>
          <w:rtl w:val="true"/>
        </w:rPr>
        <w:t>או בנוגע לעונש שנקבע לה</w:t>
      </w:r>
      <w:r>
        <w:rPr>
          <w:rtl w:val="true"/>
        </w:rPr>
        <w:t xml:space="preserve">, </w:t>
      </w:r>
      <w:r>
        <w:rPr>
          <w:rtl w:val="true"/>
        </w:rPr>
        <w:t>יחול על הענין החיקוק המקל עם העושה</w:t>
      </w:r>
      <w:r>
        <w:rPr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בבוא בית המשפט לקבוע מהו הדין המקל עם העושה</w:t>
      </w:r>
      <w:r>
        <w:rPr>
          <w:rtl w:val="true"/>
        </w:rPr>
        <w:t xml:space="preserve">, </w:t>
      </w:r>
      <w:r>
        <w:rPr>
          <w:rtl w:val="true"/>
        </w:rPr>
        <w:t xml:space="preserve">יבחן את מלוא ההסדר הקבוע בחוק לעומת ההסדר שהיה קבוע בחוק לעניין גרימת מוות ערב יום התחילה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לתיקון</w:t>
      </w:r>
      <w:r>
        <w:rPr>
          <w:rtl w:val="true"/>
        </w:rPr>
        <w:t xml:space="preserve">).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אם בנסיבות העניין יישום הוראות הרפורמה יהיה בגדר דין המקל עם אותו מבצע</w:t>
      </w:r>
      <w:r>
        <w:rPr>
          <w:rtl w:val="true"/>
        </w:rPr>
        <w:t xml:space="preserve">, </w:t>
      </w:r>
      <w:r>
        <w:rPr>
          <w:rtl w:val="true"/>
        </w:rPr>
        <w:t>יש להחילה</w:t>
      </w:r>
      <w:r>
        <w:rPr>
          <w:rtl w:val="true"/>
        </w:rPr>
        <w:t xml:space="preserve">. </w:t>
      </w:r>
      <w:r>
        <w:rPr>
          <w:rtl w:val="true"/>
        </w:rPr>
        <w:t xml:space="preserve">במצב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מדובר בעבירה שבוצעה לפני יום התחילה</w:t>
      </w:r>
      <w:r>
        <w:rPr>
          <w:rtl w:val="true"/>
        </w:rPr>
        <w:t xml:space="preserve">, </w:t>
      </w:r>
      <w:r>
        <w:rPr>
          <w:rtl w:val="true"/>
        </w:rPr>
        <w:t>ואשר ניתן לפני יום התחילה פסק דין חלוט בעניינה</w:t>
      </w:r>
      <w:r>
        <w:rPr>
          <w:rtl w:val="true"/>
        </w:rPr>
        <w:t xml:space="preserve">. </w:t>
      </w:r>
      <w:r>
        <w:rPr>
          <w:rtl w:val="true"/>
        </w:rPr>
        <w:t>במצב כזה</w:t>
      </w:r>
      <w:r>
        <w:rPr>
          <w:rtl w:val="true"/>
        </w:rPr>
        <w:t xml:space="preserve">, </w:t>
      </w:r>
      <w:r>
        <w:rPr>
          <w:rtl w:val="true"/>
        </w:rPr>
        <w:t xml:space="preserve">נקבע כי יחול </w:t>
      </w:r>
      <w:r>
        <w:rPr>
          <w:rtl w:val="true"/>
        </w:rPr>
        <w:t>"</w:t>
      </w:r>
      <w:r>
        <w:rPr>
          <w:rtl w:val="true"/>
        </w:rPr>
        <w:t>הדין הישן</w:t>
      </w:r>
      <w:r>
        <w:rPr>
          <w:rtl w:val="true"/>
        </w:rPr>
        <w:t xml:space="preserve">", </w:t>
      </w:r>
      <w:r>
        <w:rPr>
          <w:rtl w:val="true"/>
        </w:rPr>
        <w:t xml:space="preserve">ואולם </w:t>
      </w:r>
      <w:r>
        <w:rPr>
          <w:rtl w:val="true"/>
        </w:rPr>
        <w:t>"</w:t>
      </w:r>
      <w:r>
        <w:rPr>
          <w:rtl w:val="true"/>
        </w:rPr>
        <w:t xml:space="preserve">לעניין מי שהורשע בעבירה לפי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 העיקרי כנוסחו ערב יום התחילה</w:t>
      </w:r>
      <w:r>
        <w:rPr>
          <w:rtl w:val="true"/>
        </w:rPr>
        <w:t xml:space="preserve">, </w:t>
      </w:r>
      <w:r>
        <w:rPr>
          <w:rtl w:val="true"/>
        </w:rPr>
        <w:t xml:space="preserve">יראו אותו כמי שהורשע בעבירה לפי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או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או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העיקרי כנוסחו בחוק זה</w:t>
      </w:r>
      <w:r>
        <w:rPr>
          <w:rtl w:val="true"/>
        </w:rPr>
        <w:t xml:space="preserve">, </w:t>
      </w:r>
      <w:r>
        <w:rPr>
          <w:rtl w:val="true"/>
        </w:rPr>
        <w:t>ועונשו המרבי יהיה עונש שנקבע באותו סעיף</w:t>
      </w:r>
      <w:r>
        <w:rPr>
          <w:rtl w:val="true"/>
        </w:rPr>
        <w:t xml:space="preserve">, </w:t>
      </w:r>
      <w:r>
        <w:rPr>
          <w:rtl w:val="true"/>
        </w:rPr>
        <w:t>לפי העניין</w:t>
      </w:r>
      <w:r>
        <w:rPr>
          <w:rtl w:val="true"/>
        </w:rPr>
        <w:t xml:space="preserve">, </w:t>
      </w:r>
      <w:r>
        <w:rPr>
          <w:rtl w:val="true"/>
        </w:rPr>
        <w:t xml:space="preserve">כאמור </w:t>
      </w:r>
      <w:hyperlink r:id="rId5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העיקרי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hyperlink r:id="rId5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)).</w:t>
        </w:r>
      </w:hyperlink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הרצח מושא הערעור התבצע קודם למועד התחולה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25.10.2016</w:t>
      </w:r>
      <w:r>
        <w:rPr>
          <w:rtl w:val="true"/>
        </w:rPr>
        <w:t xml:space="preserve">, </w:t>
      </w:r>
      <w:r>
        <w:rPr>
          <w:rtl w:val="true"/>
        </w:rPr>
        <w:t>כאשר ביום תחילת הרפורמה טרם ניתן פסק דין חלוט בעניין העבירה</w:t>
      </w:r>
      <w:r>
        <w:rPr>
          <w:rtl w:val="true"/>
        </w:rPr>
        <w:t xml:space="preserve">. </w:t>
      </w: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>מדובר במצב הדברים השני שתואר לעיל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מן הנסקר ניתן להסיק מספר מסקנות ביחס לטענות המערער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כי הוראות המעבר הסדורות לתחילת ותחולת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אינן מקימות במפורש כל חובה מצד המשיבה לבקש לתקן את כתב האישום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כי מבחינת יישום הוראת המעבר במצב זה</w:t>
      </w:r>
      <w:r>
        <w:rPr>
          <w:rtl w:val="true"/>
        </w:rPr>
        <w:t xml:space="preserve">, </w:t>
      </w:r>
      <w:r>
        <w:rPr>
          <w:rtl w:val="true"/>
        </w:rPr>
        <w:t>אין הבדל אם ההליך מצוי בבירור אצל הערכאה הדיונית או במסגרת ערכאת הערעור</w:t>
      </w:r>
      <w:r>
        <w:rPr>
          <w:rtl w:val="true"/>
        </w:rPr>
        <w:t xml:space="preserve">. </w:t>
      </w:r>
      <w:r>
        <w:rPr>
          <w:rtl w:val="true"/>
        </w:rPr>
        <w:t>סיטואציה דומה</w:t>
      </w:r>
      <w:r>
        <w:rPr>
          <w:rtl w:val="true"/>
        </w:rPr>
        <w:t xml:space="preserve">, </w:t>
      </w:r>
      <w:r>
        <w:rPr>
          <w:rtl w:val="true"/>
        </w:rPr>
        <w:t>שבה בית המשפט נדרש לבחון האם הוראות הרפורמה הן בבחינת דין מקל</w:t>
      </w:r>
      <w:r>
        <w:rPr>
          <w:rtl w:val="true"/>
        </w:rPr>
        <w:t xml:space="preserve">, </w:t>
      </w:r>
      <w:r>
        <w:rPr>
          <w:rtl w:val="true"/>
        </w:rPr>
        <w:t>יכולה להתעורר גם כאשר ההליך נדון על ידי ערכאת הערעור ובשלב שבו תיקון כתב האישום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אינו רלוונטי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שאף לא ניתן ללמוד מהוראות המעבר על כוונה משתמעת לחייב את המשיבה לבקש את תיקון כתב האישום לאור הרפורמה בעבירות ההמתה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ועל אותה הדרך</w:t>
      </w:r>
      <w:r>
        <w:rPr>
          <w:rtl w:val="true"/>
        </w:rPr>
        <w:t xml:space="preserve">, </w:t>
      </w:r>
      <w:r>
        <w:rPr>
          <w:rtl w:val="true"/>
        </w:rPr>
        <w:t>ודאי שאין לקבל טענה שלפיה נפל פגם כלשהו בכך שהמשיבה לא כללה בכתב האישום</w:t>
      </w:r>
      <w:r>
        <w:rPr>
          <w:rtl w:val="true"/>
        </w:rPr>
        <w:t xml:space="preserve">, </w:t>
      </w:r>
      <w:r>
        <w:rPr>
          <w:rtl w:val="true"/>
        </w:rPr>
        <w:t>שהוגש זמן רב לפני חקיקתה</w:t>
      </w:r>
      <w:r>
        <w:rPr>
          <w:rtl w:val="true"/>
        </w:rPr>
        <w:t xml:space="preserve">, </w:t>
      </w:r>
      <w:r>
        <w:rPr>
          <w:rtl w:val="true"/>
        </w:rPr>
        <w:t>את סעיפי האישום המיוחסים למערער בהתאם לנוסח החוק העתידי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אף איני מוצא ממש בטענה כי נפגעה יכולת המערער להתגונן</w:t>
      </w:r>
      <w:r>
        <w:rPr>
          <w:rtl w:val="true"/>
        </w:rPr>
        <w:t xml:space="preserve">. </w:t>
      </w:r>
      <w:r>
        <w:rPr>
          <w:rtl w:val="true"/>
        </w:rPr>
        <w:t xml:space="preserve">דומה כי טרמינולוגיה זו שבפי הסנגור לקוחה </w:t>
      </w:r>
      <w:hyperlink r:id="rId58">
        <w:r>
          <w:rPr>
            <w:rStyle w:val="Hyperlink"/>
            <w:rtl w:val="true"/>
          </w:rPr>
          <w:t>מסעיף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>חוק סדר הדין הפלילי</w:t>
        </w:r>
      </w:hyperlink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cs="Arial TUR;Arial" w:ascii="Arial TUR;Arial" w:hAnsi="Arial TUR;Arial"/>
          <w:sz w:val="22"/>
          <w:rtl w:val="true"/>
        </w:rPr>
        <w:t>[</w:t>
      </w:r>
      <w:r>
        <w:rPr>
          <w:rFonts w:ascii="Arial TUR;Arial" w:hAnsi="Arial TUR;Arial" w:cs="Arial TUR;Arial"/>
          <w:sz w:val="22"/>
          <w:sz w:val="22"/>
          <w:rtl w:val="true"/>
        </w:rPr>
        <w:t>נוסח משולב</w:t>
      </w:r>
      <w:r>
        <w:rPr>
          <w:rFonts w:cs="Arial TUR;Arial" w:ascii="Arial TUR;Arial" w:hAnsi="Arial TUR;Arial"/>
          <w:sz w:val="22"/>
          <w:rtl w:val="true"/>
        </w:rPr>
        <w:t xml:space="preserve">], </w:t>
      </w:r>
      <w:r>
        <w:rPr>
          <w:rtl w:val="true"/>
        </w:rPr>
        <w:t>ה</w:t>
      </w:r>
      <w:r>
        <w:rPr>
          <w:rFonts w:ascii="Arial TUR;Arial" w:hAnsi="Arial TUR;Arial" w:cs="Arial TUR;Arial"/>
          <w:sz w:val="22"/>
          <w:sz w:val="22"/>
          <w:rtl w:val="true"/>
        </w:rPr>
        <w:t>תשמ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>ב</w:t>
      </w:r>
      <w:r>
        <w:rPr>
          <w:rFonts w:cs="Arial TUR;Arial" w:ascii="Arial TUR;Arial" w:hAnsi="Arial TUR;Arial"/>
          <w:sz w:val="22"/>
          <w:rtl w:val="true"/>
        </w:rPr>
        <w:t>-</w:t>
      </w:r>
      <w:r>
        <w:rPr>
          <w:rFonts w:cs="Arial TUR;Arial" w:ascii="Arial TUR;Arial" w:hAnsi="Arial TUR;Arial"/>
          <w:sz w:val="22"/>
        </w:rPr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6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</w:hyperlink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בין </w:t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 לבין ענייננו שלנו יש הבדל מהותי</w:t>
      </w:r>
      <w:r>
        <w:rPr>
          <w:rtl w:val="true"/>
        </w:rPr>
        <w:t xml:space="preserve">. 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כמו גם </w:t>
      </w:r>
      <w:hyperlink r:id="rId6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216</w:t>
        </w:r>
      </w:hyperlink>
      <w:r>
        <w:rPr>
          <w:rtl w:val="true"/>
        </w:rPr>
        <w:t xml:space="preserve"> </w:t>
      </w:r>
      <w:r>
        <w:rPr>
          <w:rtl w:val="true"/>
        </w:rPr>
        <w:t>לחסד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 xml:space="preserve">מהווה </w:t>
      </w:r>
      <w:r>
        <w:rPr>
          <w:rtl w:val="true"/>
        </w:rPr>
        <w:t xml:space="preserve">חריג לכלל </w:t>
      </w:r>
      <w:r>
        <w:rPr>
          <w:rtl w:val="true"/>
        </w:rPr>
        <w:t>ש</w:t>
      </w:r>
      <w:r>
        <w:rPr>
          <w:rtl w:val="true"/>
        </w:rPr>
        <w:t>לפיו הרשעת נאשם מוגבלת לאישומים הכלולים בכתב האישום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5268/17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16.2.2022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‏‏</w:t>
      </w:r>
      <w:r>
        <w:rPr>
          <w:rtl w:val="true"/>
        </w:rPr>
        <w:t xml:space="preserve">. </w:t>
      </w:r>
      <w:r>
        <w:rPr>
          <w:rtl w:val="true"/>
        </w:rPr>
        <w:t>השימוש בו מגלם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החמרה</w:t>
      </w:r>
      <w:r>
        <w:rPr>
          <w:rtl w:val="true"/>
        </w:rPr>
        <w:t xml:space="preserve"> מבחינת הנאשם</w:t>
      </w:r>
      <w:r>
        <w:rPr>
          <w:rtl w:val="true"/>
        </w:rPr>
        <w:t xml:space="preserve">. </w:t>
      </w:r>
      <w:r>
        <w:rPr>
          <w:rtl w:val="true"/>
        </w:rPr>
        <w:t xml:space="preserve">מטעם זה נקבע בפסיקה כי יש להשתמש בו בצמצום </w:t>
      </w:r>
      <w:r>
        <w:rPr>
          <w:rtl w:val="true"/>
        </w:rPr>
        <w:t>(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9288/20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26.5.2022</w:t>
      </w:r>
      <w:r>
        <w:rPr>
          <w:rtl w:val="true"/>
        </w:rPr>
        <w:t>)</w:t>
      </w:r>
      <w:r>
        <w:rPr>
          <w:rtl w:val="true"/>
        </w:rPr>
        <w:t xml:space="preserve">) </w:t>
      </w:r>
      <w:r>
        <w:rPr>
          <w:rtl w:val="true"/>
        </w:rPr>
        <w:t>ונקבע ב</w:t>
      </w:r>
      <w:hyperlink r:id="rId68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 כי השימוש בו מותנה בכך 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הזדמנות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להתגונן</w:t>
      </w:r>
      <w:r>
        <w:rPr>
          <w:rtl w:val="true"/>
        </w:rPr>
        <w:t xml:space="preserve">" </w:t>
      </w:r>
      <w:r>
        <w:rPr>
          <w:rtl w:val="true"/>
        </w:rPr>
        <w:t>כלשון הסעיף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בשונה</w:t>
      </w:r>
      <w:r>
        <w:rPr>
          <w:rtl w:val="true"/>
        </w:rPr>
        <w:t xml:space="preserve">, </w:t>
      </w:r>
      <w:r>
        <w:rPr>
          <w:rtl w:val="true"/>
        </w:rPr>
        <w:t xml:space="preserve">את הרפורמה ניתן ליישם בעניינו של המערער רק אם היא בגדר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בעניינו הקונקרטי שלו</w:t>
      </w:r>
      <w:r>
        <w:rPr>
          <w:rtl w:val="true"/>
        </w:rPr>
        <w:t xml:space="preserve">. </w:t>
      </w:r>
      <w:r>
        <w:rPr>
          <w:rtl w:val="true"/>
        </w:rPr>
        <w:t>אין למבצע העבירה כל ציפייה לגיטימית כי לאחר מעשה יתוקן החוק באופן אשר יקל עמו</w:t>
      </w:r>
      <w:r>
        <w:rPr>
          <w:rtl w:val="true"/>
        </w:rPr>
        <w:t xml:space="preserve">;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 xml:space="preserve">בשונה מציפייתו של נאשם כי לא יורשע בעבירות הכתובות עלי ספר אשר לא יוחסו לו בכתב האישום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2149/20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מרזן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22.7.2021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משילוב האמור נובע כי אין ולא הייתה כוונה להשיב לנקודת ההתחלה</w:t>
      </w:r>
      <w:r>
        <w:rPr>
          <w:rtl w:val="true"/>
        </w:rPr>
        <w:t xml:space="preserve">, </w:t>
      </w:r>
      <w:r>
        <w:rPr>
          <w:rtl w:val="true"/>
        </w:rPr>
        <w:t>או סמוך לה</w:t>
      </w:r>
      <w:r>
        <w:rPr>
          <w:rtl w:val="true"/>
        </w:rPr>
        <w:t xml:space="preserve">, </w:t>
      </w:r>
      <w:r>
        <w:rPr>
          <w:rtl w:val="true"/>
        </w:rPr>
        <w:t>כל הליך שעניינו עבירת המתה אשר בוצעה טרם הרפורמה ובמועד תחולת הרפורמה לא ניתן בו פסק דין חלוט</w:t>
      </w:r>
      <w:r>
        <w:rPr>
          <w:rtl w:val="true"/>
        </w:rPr>
        <w:t xml:space="preserve">. </w:t>
      </w:r>
      <w:r>
        <w:rPr>
          <w:rtl w:val="true"/>
        </w:rPr>
        <w:t>הוראות המעבר שנקבעו משקפות את איזון המחוקק בין שיקולי צדק</w:t>
      </w:r>
      <w:r>
        <w:rPr>
          <w:rtl w:val="true"/>
        </w:rPr>
        <w:t xml:space="preserve">, </w:t>
      </w:r>
      <w:r>
        <w:rPr>
          <w:rtl w:val="true"/>
        </w:rPr>
        <w:t>סופיות הדיון ויעילות דיונית</w:t>
      </w:r>
      <w:r>
        <w:rPr>
          <w:rtl w:val="true"/>
        </w:rPr>
        <w:t xml:space="preserve">, </w:t>
      </w:r>
      <w:r>
        <w:rPr>
          <w:rtl w:val="true"/>
        </w:rPr>
        <w:t>ויש ליישמן כלשונן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בהיבט זה</w:t>
      </w:r>
      <w:r>
        <w:rPr>
          <w:rtl w:val="true"/>
        </w:rPr>
        <w:t xml:space="preserve">, </w:t>
      </w:r>
      <w:r>
        <w:rPr>
          <w:rtl w:val="true"/>
        </w:rPr>
        <w:t xml:space="preserve">אף איני מוצא ממש בטענות הסנגור ביחס להודעת המשיבה מיום </w:t>
      </w:r>
      <w:r>
        <w:rPr/>
        <w:t>28.5.2019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ההודעה</w:t>
      </w:r>
      <w:r>
        <w:rPr>
          <w:rtl w:val="true"/>
        </w:rPr>
        <w:t xml:space="preserve">). </w:t>
      </w:r>
      <w:r>
        <w:rPr>
          <w:rtl w:val="true"/>
        </w:rPr>
        <w:t xml:space="preserve">בהודעה הובהר כי לגישת המשיבה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אינו בגדר דין מקל בעניינו של המערער</w:t>
      </w:r>
      <w:r>
        <w:rPr>
          <w:rtl w:val="true"/>
        </w:rPr>
        <w:t xml:space="preserve">, </w:t>
      </w:r>
      <w:r>
        <w:rPr>
          <w:rtl w:val="true"/>
        </w:rPr>
        <w:t>מאחר שלו התיק היה נידון בהתאם לרפורמה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היו מתקיימות הנסיבות המחמירות הקבועות </w:t>
      </w:r>
      <w:hyperlink r:id="rId70">
        <w:r>
          <w:rPr>
            <w:rStyle w:val="Hyperlink"/>
            <w:rtl w:val="true"/>
          </w:rPr>
          <w:t>בסעיפים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71"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לא הוצגה חובה בדין להגיש הודעה זו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ההודעה יכולה רק לסייע למערער לכלכל את הגנתו</w:t>
      </w:r>
      <w:r>
        <w:rPr>
          <w:rtl w:val="true"/>
        </w:rPr>
        <w:t xml:space="preserve">, </w:t>
      </w:r>
      <w:r>
        <w:rPr>
          <w:rtl w:val="true"/>
        </w:rPr>
        <w:t>וממילא אין היא גורעת ממנו דבר</w:t>
      </w:r>
      <w:r>
        <w:rPr>
          <w:rtl w:val="true"/>
        </w:rPr>
        <w:t xml:space="preserve">. </w:t>
      </w:r>
      <w:r>
        <w:rPr>
          <w:rtl w:val="true"/>
        </w:rPr>
        <w:t>ההודעה אינה מהווה תחליף לתיקון כתב האישום</w:t>
      </w:r>
      <w:r>
        <w:rPr>
          <w:rtl w:val="true"/>
        </w:rPr>
        <w:t xml:space="preserve">, </w:t>
      </w:r>
      <w:r>
        <w:rPr>
          <w:rtl w:val="true"/>
        </w:rPr>
        <w:t>אולם כאמור</w:t>
      </w:r>
      <w:r>
        <w:rPr>
          <w:rtl w:val="true"/>
        </w:rPr>
        <w:t xml:space="preserve">, </w:t>
      </w:r>
      <w:r>
        <w:rPr>
          <w:rtl w:val="true"/>
        </w:rPr>
        <w:t>ממילא לא הייתה כל חובה לבקש את תיקונו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מובן</w:t>
      </w:r>
      <w:r>
        <w:rPr>
          <w:rtl w:val="true"/>
        </w:rPr>
        <w:t xml:space="preserve">, </w:t>
      </w:r>
      <w:r>
        <w:rPr>
          <w:rtl w:val="true"/>
        </w:rPr>
        <w:t>כי אין באמור כדי לשלול אפשרות כי במקרים המתאימים</w:t>
      </w:r>
      <w:r>
        <w:rPr>
          <w:rtl w:val="true"/>
        </w:rPr>
        <w:t xml:space="preserve">, </w:t>
      </w:r>
      <w:r>
        <w:rPr>
          <w:rtl w:val="true"/>
        </w:rPr>
        <w:t>לאור הוראות הרפורמה</w:t>
      </w:r>
      <w:r>
        <w:rPr>
          <w:rtl w:val="true"/>
        </w:rPr>
        <w:t xml:space="preserve">, </w:t>
      </w:r>
      <w:r>
        <w:rPr>
          <w:rtl w:val="true"/>
        </w:rPr>
        <w:t>תבחר הערכאה הדיונית ביוזמתה או לבקשת אחד מהצדדים לערוך בירור עובדתי משלים הנסוב על מחלוקות עובדתיות המשליכות על התקיימות רכיב כזה או אחר שנכלל ברפורמה</w:t>
      </w:r>
      <w:r>
        <w:rPr>
          <w:rtl w:val="true"/>
        </w:rPr>
        <w:t xml:space="preserve">.    </w:t>
      </w:r>
    </w:p>
    <w:p>
      <w:pPr>
        <w:pStyle w:val="Ruller41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כעת לטענתו הנוספת של המערער</w:t>
      </w:r>
      <w:r>
        <w:rPr>
          <w:rtl w:val="true"/>
        </w:rPr>
        <w:t xml:space="preserve">, </w:t>
      </w:r>
      <w:r>
        <w:rPr>
          <w:rtl w:val="true"/>
        </w:rPr>
        <w:t>במישור המהותי</w:t>
      </w:r>
      <w:r>
        <w:rPr>
          <w:rtl w:val="true"/>
        </w:rPr>
        <w:t xml:space="preserve">, </w:t>
      </w:r>
      <w:r>
        <w:rPr>
          <w:rtl w:val="true"/>
        </w:rPr>
        <w:t>כי לא ניתן לקבל מצב דברים שבו ישנה סתירה של ממש בין עובדות כתב האישום לעובדות להן טוענת המשיבה לצורך הוכחת התקיימות נסיבה מחמירה כזו או אחרת</w:t>
      </w:r>
      <w:r>
        <w:rPr>
          <w:rtl w:val="true"/>
        </w:rPr>
        <w:t xml:space="preserve">. </w:t>
      </w:r>
      <w:r>
        <w:rPr>
          <w:rtl w:val="true"/>
        </w:rPr>
        <w:t xml:space="preserve">טענה זו אינה מציבה קושי עקרוני </w:t>
      </w:r>
      <w:r>
        <w:rPr>
          <w:rtl w:val="true"/>
        </w:rPr>
        <w:t>–</w:t>
      </w:r>
      <w:r>
        <w:rPr>
          <w:rtl w:val="true"/>
        </w:rPr>
        <w:t xml:space="preserve"> מטבע הדברים</w:t>
      </w:r>
      <w:r>
        <w:rPr>
          <w:rtl w:val="true"/>
        </w:rPr>
        <w:t xml:space="preserve">, </w:t>
      </w:r>
      <w:r>
        <w:rPr>
          <w:rtl w:val="true"/>
        </w:rPr>
        <w:t>המסד הראייתי אשר נקבע הוא זה שלאורו יש לבחון את תחולת הדין הקודם ואת תחולת הדין לאחר הרפורמה</w:t>
      </w:r>
      <w:r>
        <w:rPr>
          <w:rtl w:val="true"/>
        </w:rPr>
        <w:t xml:space="preserve">. </w:t>
      </w:r>
      <w:r>
        <w:rPr>
          <w:rtl w:val="true"/>
        </w:rPr>
        <w:t>אשר לקושי הקונקרטי שאותו מעלה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שלפיו כתב האישום מתאר מעשה המתה ספונטני ולא מעשה המתה שנעשה לאחר תכנון או </w:t>
      </w:r>
      <w:r>
        <w:rPr>
          <w:rtl w:val="true"/>
        </w:rPr>
        <w:t>הליך ממשי של שקילה וגיבוש החלטה להמית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טענה זו קשורה בקשר הדוק לניתוח הרחב יותר של התקיימות נסיבה מחמירה זו</w:t>
      </w:r>
      <w:r>
        <w:rPr>
          <w:rtl w:val="true"/>
        </w:rPr>
        <w:t xml:space="preserve">, </w:t>
      </w:r>
      <w:r>
        <w:rPr>
          <w:rtl w:val="true"/>
        </w:rPr>
        <w:t>ולכך אתייחס בהרחבה בהמשך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יישם כראוי את הוראות המעבר שנקבעו בתיקון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 xml:space="preserve">וודאי שלא נפל פגם בעובדה שנדרש לבחינת התקיימות נסיבה מחמירה כזו או אחרת </w:t>
      </w:r>
      <w:hyperlink r:id="rId7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עלינו להכריע אפוא האם הרפורמה</w:t>
      </w:r>
      <w:r>
        <w:rPr>
          <w:rtl w:val="true"/>
        </w:rPr>
        <w:t xml:space="preserve">, </w:t>
      </w:r>
      <w:r>
        <w:rPr>
          <w:rtl w:val="true"/>
        </w:rPr>
        <w:t>כקביעת בית המשפט המחוזי</w:t>
      </w:r>
      <w:r>
        <w:rPr>
          <w:rtl w:val="true"/>
        </w:rPr>
        <w:t xml:space="preserve">, </w:t>
      </w:r>
      <w:r>
        <w:rPr>
          <w:rtl w:val="true"/>
        </w:rPr>
        <w:t>אינה בגדר דין מקל עם המערער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במסגרת הדיון שהתקיים לפנינו המחלוקת בענייננו צומצמה</w:t>
      </w:r>
      <w:r>
        <w:rPr>
          <w:rtl w:val="true"/>
        </w:rPr>
        <w:t xml:space="preserve">, </w:t>
      </w:r>
      <w:r>
        <w:rPr>
          <w:rtl w:val="true"/>
        </w:rPr>
        <w:t>וכעת היא ממוקדת רק בשאלה האם בדין נקבע כי מעשהו של המערער נכנס לגדרי עבירת הרצח בנסיבות מחמירות</w:t>
      </w:r>
      <w:r>
        <w:rPr>
          <w:rtl w:val="true"/>
        </w:rPr>
        <w:t xml:space="preserve">. </w:t>
      </w:r>
      <w:r>
        <w:rPr>
          <w:rtl w:val="true"/>
        </w:rPr>
        <w:t>לצורך ההכרעה</w:t>
      </w:r>
      <w:r>
        <w:rPr>
          <w:rtl w:val="true"/>
        </w:rPr>
        <w:t xml:space="preserve">, </w:t>
      </w:r>
      <w:r>
        <w:rPr>
          <w:rtl w:val="true"/>
        </w:rPr>
        <w:t>אציג תחילה את המסגרת הנורמטיבית הדרושה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התפר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הבסיסית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הרפורמה בעבירות ההמתה </w:t>
      </w:r>
      <w:r>
        <w:rPr>
          <w:rtl w:val="true"/>
        </w:rPr>
        <w:t xml:space="preserve">נכנסה לתוקף בשנת 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עוצבה על בסיס דו</w:t>
      </w:r>
      <w:r>
        <w:rPr>
          <w:rtl w:val="true"/>
        </w:rPr>
        <w:t>"</w:t>
      </w:r>
      <w:r>
        <w:rPr>
          <w:rtl w:val="true"/>
        </w:rPr>
        <w:t xml:space="preserve">ח הצוות לבחינת יסודות עבירות ההמתה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וחשבון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2011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tl w:val="true"/>
        </w:rPr>
        <w:t xml:space="preserve">). </w:t>
      </w:r>
      <w:r>
        <w:rPr>
          <w:rtl w:val="true"/>
        </w:rPr>
        <w:t xml:space="preserve">ההנחה בבסיס הרפורמה הייתה כי המדרג הקבוע בחוק בין עבירות ההמתה השונות אינו המיטבי והראוי </w:t>
      </w:r>
      <w:r>
        <w:rPr>
          <w:rtl w:val="true"/>
        </w:rPr>
        <w:t>(</w:t>
      </w:r>
      <w:r>
        <w:rPr>
          <w:rtl w:val="true"/>
        </w:rPr>
        <w:t xml:space="preserve">דברי ההסבר להצעת </w:t>
      </w:r>
      <w:hyperlink r:id="rId7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 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166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tl w:val="true"/>
        </w:rPr>
        <w:t xml:space="preserve">)). </w:t>
      </w:r>
      <w:r>
        <w:rPr>
          <w:rtl w:val="true"/>
        </w:rPr>
        <w:t>עובר לרפורמה</w:t>
      </w:r>
      <w:r>
        <w:rPr>
          <w:rtl w:val="true"/>
        </w:rPr>
        <w:t xml:space="preserve">, </w:t>
      </w:r>
      <w:r>
        <w:rPr>
          <w:rtl w:val="true"/>
        </w:rPr>
        <w:t>למעט מקרים מצומצמים</w:t>
      </w:r>
      <w:r>
        <w:rPr>
          <w:rtl w:val="true"/>
        </w:rPr>
        <w:t xml:space="preserve">, </w:t>
      </w:r>
      <w:r>
        <w:rPr>
          <w:rtl w:val="true"/>
        </w:rPr>
        <w:t>החוק קבע דין אחד לכל מעשי הרצח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עונש של מאסר עולם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 xml:space="preserve">מדרג </w:t>
      </w:r>
      <w:r>
        <w:rPr>
          <w:rtl w:val="true"/>
        </w:rPr>
        <w:t>ה</w:t>
      </w:r>
      <w:r>
        <w:rPr>
          <w:rtl w:val="true"/>
        </w:rPr>
        <w:t xml:space="preserve">ענישה </w:t>
      </w:r>
      <w:r>
        <w:rPr>
          <w:rtl w:val="true"/>
        </w:rPr>
        <w:t>שנקבע ברפורמה בגין</w:t>
      </w:r>
      <w:r>
        <w:rPr>
          <w:rtl w:val="true"/>
        </w:rPr>
        <w:t xml:space="preserve"> עבירת הרצח</w:t>
      </w:r>
      <w:r>
        <w:rPr>
          <w:rtl w:val="true"/>
        </w:rPr>
        <w:t xml:space="preserve"> נועד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להגמיש את נוקשות הדין הקודם </w:t>
      </w:r>
      <w:r>
        <w:rPr>
          <w:rtl w:val="true"/>
        </w:rPr>
        <w:t>(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6338/20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7.7.2022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tl w:val="true"/>
        </w:rPr>
        <w:t xml:space="preserve">); 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9-8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1.6.2022</w:t>
      </w:r>
      <w:r>
        <w:rPr>
          <w:rtl w:val="true"/>
        </w:rPr>
        <w:t>)‏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במסגרת הרפורמה נקבעו בחוק שתי עבירות רצח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עבירת הרצח הבסיסית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7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לעיל ולהלן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הבסיסית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בגי</w:t>
      </w:r>
      <w:r>
        <w:rPr>
          <w:rtl w:val="true"/>
        </w:rPr>
        <w:t>ן עבירה זו</w:t>
      </w:r>
      <w:r>
        <w:rPr>
          <w:rtl w:val="true"/>
        </w:rPr>
        <w:t xml:space="preserve"> יושת עונש מאסר עולם כעונש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</w:t>
      </w:r>
      <w:r>
        <w:rPr>
          <w:rtl w:val="true"/>
        </w:rPr>
        <w:t xml:space="preserve">, </w:t>
      </w:r>
      <w:r>
        <w:rPr>
          <w:rtl w:val="true"/>
        </w:rPr>
        <w:t xml:space="preserve">והיא </w:t>
      </w:r>
      <w:r>
        <w:rPr>
          <w:rtl w:val="true"/>
        </w:rPr>
        <w:t>"</w:t>
      </w:r>
      <w:r>
        <w:rPr>
          <w:rtl w:val="true"/>
        </w:rPr>
        <w:t>שבמרכזן של עבירות ההמתה</w:t>
      </w:r>
      <w:r>
        <w:rPr>
          <w:rtl w:val="true"/>
        </w:rPr>
        <w:t>" (</w:t>
      </w:r>
      <w:r>
        <w:rPr>
          <w:rtl w:val="true"/>
        </w:rPr>
        <w:t>דברי ההסבר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167</w:t>
      </w:r>
      <w:r>
        <w:rPr>
          <w:rtl w:val="true"/>
        </w:rPr>
        <w:t xml:space="preserve">). </w:t>
      </w:r>
      <w:r>
        <w:rPr>
          <w:rtl w:val="true"/>
        </w:rPr>
        <w:t xml:space="preserve">קביעה זו </w:t>
      </w:r>
      <w:r>
        <w:rPr>
          <w:rtl w:val="true"/>
        </w:rPr>
        <w:t>מאפשרת</w:t>
      </w:r>
      <w:r>
        <w:rPr>
          <w:rtl w:val="true"/>
        </w:rPr>
        <w:t xml:space="preserve">, </w:t>
      </w:r>
      <w:r>
        <w:rPr>
          <w:rtl w:val="true"/>
        </w:rPr>
        <w:t>במישור העונשי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גמישות והתאמה פרטנית של </w:t>
      </w:r>
      <w:r>
        <w:rPr>
          <w:rtl w:val="true"/>
        </w:rPr>
        <w:t>העונש המוטל על מבצע העבירה ב</w:t>
      </w:r>
      <w:r>
        <w:rPr>
          <w:rtl w:val="true"/>
        </w:rPr>
        <w:t>כל מקרה רצח לנסיבותיו</w:t>
      </w:r>
      <w:r>
        <w:rPr>
          <w:rtl w:val="true"/>
        </w:rPr>
        <w:t xml:space="preserve">. </w:t>
      </w:r>
      <w:r>
        <w:rPr>
          <w:rtl w:val="true"/>
        </w:rPr>
        <w:t xml:space="preserve">משמעותה כי במסגרת גזירת עונשו של מי שהורשע בה יש </w:t>
      </w:r>
      <w:r>
        <w:rPr>
          <w:rtl w:val="true"/>
        </w:rPr>
        <w:t>להעניק משקל לשיקולים כגון נסיבותיו האישיות ו</w:t>
      </w:r>
      <w:r>
        <w:rPr>
          <w:rtl w:val="true"/>
        </w:rPr>
        <w:t>ל</w:t>
      </w:r>
      <w:r>
        <w:rPr>
          <w:rtl w:val="true"/>
        </w:rPr>
        <w:t xml:space="preserve">נסיבות </w:t>
      </w:r>
      <w:r>
        <w:rPr>
          <w:rtl w:val="true"/>
        </w:rPr>
        <w:t xml:space="preserve">נוספות </w:t>
      </w:r>
      <w:r>
        <w:rPr>
          <w:rtl w:val="true"/>
        </w:rPr>
        <w:t xml:space="preserve">שאינן קשורות </w:t>
      </w:r>
      <w:r>
        <w:rPr>
          <w:rtl w:val="true"/>
        </w:rPr>
        <w:t>בביצוע ה</w:t>
      </w:r>
      <w:r>
        <w:rPr>
          <w:rtl w:val="true"/>
        </w:rPr>
        <w:t xml:space="preserve">עבירה </w:t>
      </w:r>
      <w:r>
        <w:rPr>
          <w:rtl w:val="true"/>
        </w:rPr>
        <w:t>(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2.3.2022</w:t>
      </w:r>
      <w:r>
        <w:rPr>
          <w:rtl w:val="true"/>
        </w:rPr>
        <w:t>)</w:t>
      </w:r>
      <w:r>
        <w:rPr>
          <w:rtl w:val="true"/>
        </w:rPr>
        <w:t xml:space="preserve">).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 xml:space="preserve">עבירת רצח בנסיבות מחמירות </w:t>
      </w:r>
      <w:r>
        <w:rPr>
          <w:rtl w:val="true"/>
        </w:rPr>
        <w:t>(</w:t>
      </w:r>
      <w:hyperlink r:id="rId7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>) –</w:t>
      </w:r>
      <w:r>
        <w:rPr>
          <w:rtl w:val="true"/>
        </w:rPr>
        <w:t xml:space="preserve"> </w:t>
      </w:r>
      <w:r>
        <w:rPr>
          <w:rtl w:val="true"/>
        </w:rPr>
        <w:t xml:space="preserve">בצדה קבוע עונש מאסר עולם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 xml:space="preserve">בעבירה זו מנויות נסיבות הכוללות את מקרי הרצח החמורים ביותר המבטאים חומרה מוסרית מיוחדת </w:t>
      </w:r>
      <w:r>
        <w:rPr>
          <w:rtl w:val="true"/>
        </w:rPr>
        <w:t>(</w:t>
      </w:r>
      <w:r>
        <w:rPr>
          <w:rtl w:val="true"/>
        </w:rPr>
        <w:t>דברי ההסבר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170</w:t>
      </w:r>
      <w:r>
        <w:rPr>
          <w:rtl w:val="true"/>
        </w:rPr>
        <w:t xml:space="preserve">; </w:t>
      </w:r>
      <w:r>
        <w:rPr>
          <w:rtl w:val="true"/>
        </w:rPr>
        <w:t>מרים גור</w:t>
      </w:r>
      <w:r>
        <w:rPr>
          <w:rtl w:val="true"/>
        </w:rPr>
        <w:t>-</w:t>
      </w:r>
      <w:hyperlink r:id="rId79">
        <w:r>
          <w:rPr>
            <w:rStyle w:val="Hyperlink"/>
            <w:color w:val="0000FF"/>
            <w:u w:val="single"/>
            <w:rtl w:val="true"/>
          </w:rPr>
          <w:t>אריה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הרפורמה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המוצעת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לעבירות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ההמתה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במשפט הישראלי לאור עקרון האשמה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אתר</w:t>
      </w:r>
      <w:r>
        <w:rPr>
          <w:rtl w:val="true"/>
        </w:rPr>
        <w:t xml:space="preserve"> ה </w:t>
      </w:r>
      <w:r>
        <w:rPr/>
        <w:t>1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(</w:t>
      </w:r>
      <w:r>
        <w:rPr/>
        <w:t>2013</w:t>
      </w:r>
      <w:r>
        <w:rPr>
          <w:rtl w:val="true"/>
        </w:rPr>
        <w:t xml:space="preserve">)). </w:t>
      </w:r>
      <w:r>
        <w:rPr>
          <w:rtl w:val="true"/>
        </w:rPr>
        <w:t>חומרת העונש</w:t>
      </w:r>
      <w:r>
        <w:rPr>
          <w:rtl w:val="true"/>
        </w:rPr>
        <w:t xml:space="preserve">, </w:t>
      </w:r>
      <w:r>
        <w:rPr>
          <w:rtl w:val="true"/>
        </w:rPr>
        <w:t>והיותו בגדר עונש חובה</w:t>
      </w:r>
      <w:r>
        <w:rPr>
          <w:rtl w:val="true"/>
        </w:rPr>
        <w:t xml:space="preserve">, </w:t>
      </w:r>
      <w:r>
        <w:rPr>
          <w:rtl w:val="true"/>
        </w:rPr>
        <w:t xml:space="preserve">משקפים את </w:t>
      </w:r>
      <w:r>
        <w:rPr>
          <w:rtl w:val="true"/>
        </w:rPr>
        <w:t>חומרת העבירה</w:t>
      </w:r>
      <w:r>
        <w:rPr>
          <w:rtl w:val="true"/>
        </w:rPr>
        <w:t xml:space="preserve">, </w:t>
      </w:r>
      <w:r>
        <w:rPr>
          <w:rtl w:val="true"/>
        </w:rPr>
        <w:t>שיקולי אשם ומעמדו הרם של עקרון קדושת החיים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21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 xml:space="preserve">המבנה שעוצב בחוק הוא של צורה </w:t>
      </w:r>
      <w:r>
        <w:rPr>
          <w:rtl w:val="true"/>
        </w:rPr>
        <w:t>"</w:t>
      </w:r>
      <w:r>
        <w:rPr>
          <w:rtl w:val="true"/>
        </w:rPr>
        <w:t>בסיסית</w:t>
      </w:r>
      <w:r>
        <w:rPr>
          <w:rtl w:val="true"/>
        </w:rPr>
        <w:t xml:space="preserve">" </w:t>
      </w:r>
      <w:r>
        <w:rPr>
          <w:rtl w:val="true"/>
        </w:rPr>
        <w:t>של עבירת הרצח</w:t>
      </w:r>
      <w:r>
        <w:rPr>
          <w:rtl w:val="true"/>
        </w:rPr>
        <w:t xml:space="preserve">, </w:t>
      </w:r>
      <w:r>
        <w:rPr>
          <w:rtl w:val="true"/>
        </w:rPr>
        <w:t xml:space="preserve">וצורה </w:t>
      </w:r>
      <w:r>
        <w:rPr>
          <w:rtl w:val="true"/>
        </w:rPr>
        <w:t>"</w:t>
      </w:r>
      <w:r>
        <w:rPr>
          <w:rtl w:val="true"/>
        </w:rPr>
        <w:t>מוחמרת</w:t>
      </w:r>
      <w:r>
        <w:rPr>
          <w:rtl w:val="true"/>
        </w:rPr>
        <w:t xml:space="preserve">".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ההבחנה בין שתי העבירות אינה כה חדה</w:t>
      </w:r>
      <w:r>
        <w:rPr>
          <w:rtl w:val="true"/>
        </w:rPr>
        <w:t xml:space="preserve">. </w:t>
      </w:r>
      <w:r>
        <w:rPr>
          <w:rtl w:val="true"/>
        </w:rPr>
        <w:t>המחוקק ראה לנגד עיניו מקרים שבהם מעשה המתה ייכנס לגדרי נסיבה מחמירה אחת או יותר</w:t>
      </w:r>
      <w:r>
        <w:rPr>
          <w:rtl w:val="true"/>
        </w:rPr>
        <w:t xml:space="preserve">, </w:t>
      </w:r>
      <w:r>
        <w:rPr>
          <w:rtl w:val="true"/>
        </w:rPr>
        <w:t>אולם מידת האשם שבו אינה תואמת לעבירת הרצח בנסיבות מחמירות</w:t>
      </w:r>
      <w:r>
        <w:rPr>
          <w:rtl w:val="true"/>
        </w:rPr>
        <w:t xml:space="preserve">. </w:t>
      </w:r>
      <w:r>
        <w:rPr>
          <w:rtl w:val="true"/>
        </w:rPr>
        <w:t>במקרים חריגים שכאלו</w:t>
      </w:r>
      <w:r>
        <w:rPr>
          <w:rtl w:val="true"/>
        </w:rPr>
        <w:t xml:space="preserve">, </w:t>
      </w:r>
      <w:r>
        <w:rPr>
          <w:rtl w:val="true"/>
        </w:rPr>
        <w:t xml:space="preserve">שבהם </w:t>
      </w:r>
      <w:r>
        <w:rPr>
          <w:rtl w:val="true"/>
        </w:rPr>
        <w:t>מתקיימות נסיבות מיוחדות שבשלהן המעשה אינו מבטא דרגת אשמה חמורה במיוחד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8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– </w:t>
      </w:r>
      <w:r>
        <w:rPr>
          <w:rtl w:val="true"/>
        </w:rPr>
        <w:t xml:space="preserve">יורשע הנאשם בעבירת הרצח הבסיסית </w:t>
      </w:r>
      <w:r>
        <w:rPr>
          <w:rtl w:val="true"/>
        </w:rPr>
        <w:t>(</w:t>
      </w:r>
      <w:r>
        <w:rPr>
          <w:rtl w:val="true"/>
        </w:rPr>
        <w:t>להרחבה בדבר פרשנות סעיף זה</w:t>
      </w:r>
      <w:r>
        <w:rPr>
          <w:rtl w:val="true"/>
        </w:rPr>
        <w:t xml:space="preserve">, </w:t>
      </w:r>
      <w:r>
        <w:rPr>
          <w:rtl w:val="true"/>
        </w:rPr>
        <w:t xml:space="preserve">המכונה 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 xml:space="preserve">", </w:t>
      </w:r>
      <w:r>
        <w:rPr>
          <w:rtl w:val="true"/>
        </w:rPr>
        <w:t xml:space="preserve">ראו פסק דיני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tl w:val="true"/>
        </w:rPr>
        <w:t xml:space="preserve">). </w:t>
      </w:r>
      <w:r>
        <w:rPr>
          <w:rtl w:val="true"/>
        </w:rPr>
        <w:t>כן קיימת נקודת השקה בין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אשר באה לידי ביטוי בכך שניתן להשית גם בגין עבירת הרצח הבסיסית עונש של מאסר עולם </w:t>
      </w:r>
      <w:r>
        <w:rPr>
          <w:rtl w:val="true"/>
        </w:rPr>
        <w:t>(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11.8.2022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וואסה</w:t>
      </w:r>
      <w:r>
        <w:rPr>
          <w:rtl w:val="true"/>
        </w:rPr>
        <w:t xml:space="preserve">)). </w:t>
      </w:r>
      <w:r>
        <w:rPr>
          <w:rtl w:val="true"/>
        </w:rPr>
        <w:t xml:space="preserve">יוצא כי </w:t>
      </w:r>
      <w:r>
        <w:rPr>
          <w:rtl w:val="true"/>
        </w:rPr>
        <w:t>לצד הכרעתו הנורמטיבית של המחוקק כי ישנם מקרי רצח חמורים</w:t>
      </w:r>
      <w:r>
        <w:rPr>
          <w:rtl w:val="true"/>
        </w:rPr>
        <w:t xml:space="preserve">, </w:t>
      </w:r>
      <w:r>
        <w:rPr>
          <w:rtl w:val="true"/>
        </w:rPr>
        <w:t>ויש המגלמים נסיבות חמורות עוד יותר</w:t>
      </w:r>
      <w:r>
        <w:rPr>
          <w:rtl w:val="true"/>
        </w:rPr>
        <w:t xml:space="preserve">, </w:t>
      </w:r>
      <w:r>
        <w:rPr>
          <w:rtl w:val="true"/>
        </w:rPr>
        <w:t>ניצבת הכרעתו כי לעיתים העונש המתאים לרוצח – זהה</w:t>
      </w:r>
      <w:r>
        <w:rPr>
          <w:color w:val="000000"/>
          <w:sz w:val="27"/>
          <w:sz w:val="27"/>
          <w:szCs w:val="27"/>
          <w:rtl w:val="true"/>
        </w:rPr>
        <w:t xml:space="preserve"> </w:t>
      </w:r>
      <w:r>
        <w:rPr>
          <w:color w:val="000000"/>
          <w:sz w:val="27"/>
          <w:szCs w:val="27"/>
          <w:rtl w:val="true"/>
        </w:rPr>
        <w:t>(</w:t>
      </w:r>
      <w:hyperlink r:id="rId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15.1.2023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עודה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רקע הנסקר לעיל</w:t>
      </w:r>
      <w:r>
        <w:rPr>
          <w:rtl w:val="true"/>
        </w:rPr>
        <w:t xml:space="preserve">, </w:t>
      </w:r>
      <w:r>
        <w:rPr>
          <w:rtl w:val="true"/>
        </w:rPr>
        <w:t xml:space="preserve">ניכר כי ישנה חשיבות רבה לכך שלא תינתן פרשנות רחבה מן הראוי לנסיבות המחמירות הקבועות </w:t>
      </w:r>
      <w:hyperlink r:id="rId8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זה מקרוב ציינתי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"[...] </w:t>
      </w:r>
      <w:r>
        <w:rPr>
          <w:rtl w:val="true"/>
        </w:rPr>
        <w:t>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מיטבית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להיזהר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תתפשט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המחמירות</w:t>
      </w:r>
      <w:r>
        <w:rPr>
          <w:rtl w:val="true"/>
        </w:rPr>
        <w:t xml:space="preserve">, </w:t>
      </w:r>
      <w:r>
        <w:rPr>
          <w:rtl w:val="true"/>
        </w:rPr>
        <w:t>ניסוג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לרפורמה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והמחוקק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עודה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נסיבה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להמית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hyperlink r:id="rId8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נועד להחליף</w:t>
      </w:r>
      <w:r>
        <w:rPr>
          <w:rtl w:val="true"/>
        </w:rPr>
        <w:t xml:space="preserve">, </w:t>
      </w:r>
      <w:r>
        <w:rPr>
          <w:rtl w:val="true"/>
        </w:rPr>
        <w:t>באופן רעיוני</w:t>
      </w:r>
      <w:r>
        <w:rPr>
          <w:rtl w:val="true"/>
        </w:rPr>
        <w:t xml:space="preserve">, </w:t>
      </w:r>
      <w:r>
        <w:rPr>
          <w:rtl w:val="true"/>
        </w:rPr>
        <w:t xml:space="preserve">את </w:t>
      </w:r>
      <w:r>
        <w:rPr>
          <w:rtl w:val="true"/>
        </w:rPr>
        <w:t>רכיב ה</w:t>
      </w:r>
      <w:r>
        <w:rPr>
          <w:rtl w:val="true"/>
        </w:rPr>
        <w:t>"</w:t>
      </w:r>
      <w:r>
        <w:rPr>
          <w:rtl w:val="true"/>
        </w:rPr>
        <w:t>כוונה תחילה</w:t>
      </w:r>
      <w:r>
        <w:rPr>
          <w:rtl w:val="true"/>
        </w:rPr>
        <w:t xml:space="preserve">" </w:t>
      </w:r>
      <w:r>
        <w:rPr>
          <w:rtl w:val="true"/>
        </w:rPr>
        <w:t>שקדם</w:t>
      </w:r>
      <w:r>
        <w:rPr>
          <w:rtl w:val="true"/>
        </w:rPr>
        <w:t xml:space="preserve"> לתיקון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170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החומרה שבמעשה המתה שנעשה בנסיבות אלו</w:t>
      </w:r>
      <w:r>
        <w:rPr>
          <w:rtl w:val="true"/>
        </w:rPr>
        <w:t xml:space="preserve">, </w:t>
      </w:r>
      <w:r>
        <w:rPr>
          <w:rtl w:val="true"/>
        </w:rPr>
        <w:t>בהשוואה לעבירת הרצח הבסיסית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היא בנחישותו של העושה</w:t>
      </w:r>
      <w:r>
        <w:rPr>
          <w:rtl w:val="true"/>
        </w:rPr>
        <w:t xml:space="preserve">, </w:t>
      </w:r>
      <w:r>
        <w:rPr>
          <w:rtl w:val="true"/>
        </w:rPr>
        <w:t>אשר גמר אומר להמית את קורבנו לאחר שרקם תוכנית להוצאת זממו אל הפועל</w:t>
      </w:r>
      <w:r>
        <w:rPr>
          <w:rtl w:val="true"/>
        </w:rPr>
        <w:t xml:space="preserve">; </w:t>
      </w:r>
      <w:r>
        <w:rPr>
          <w:rtl w:val="true"/>
        </w:rPr>
        <w:t>או לאחר שכלכל היטב את מעשיו</w:t>
      </w:r>
      <w:r>
        <w:rPr>
          <w:rtl w:val="true"/>
        </w:rPr>
        <w:t xml:space="preserve">, </w:t>
      </w:r>
      <w:r>
        <w:rPr>
          <w:rtl w:val="true"/>
        </w:rPr>
        <w:t>שקל את תוצאותיהם והתגבר על מעצורים מוסריים ואחרים בדרכו לממש את תוכניתו</w:t>
      </w:r>
      <w:r>
        <w:rPr>
          <w:rtl w:val="true"/>
        </w:rPr>
        <w:t xml:space="preserve">. </w:t>
      </w:r>
      <w:r>
        <w:rPr>
          <w:rtl w:val="true"/>
        </w:rPr>
        <w:t>כל אלו</w:t>
      </w:r>
      <w:r>
        <w:rPr>
          <w:rtl w:val="true"/>
        </w:rPr>
        <w:t xml:space="preserve">, </w:t>
      </w:r>
      <w:r>
        <w:rPr>
          <w:rtl w:val="true"/>
        </w:rPr>
        <w:t xml:space="preserve">מלמדים לרוב על מידת אשמה גבוהה במיוחד </w:t>
      </w:r>
      <w:r>
        <w:rPr>
          <w:rtl w:val="true"/>
        </w:rPr>
        <w:t>(</w:t>
      </w:r>
      <w:r>
        <w:rPr>
          <w:rtl w:val="true"/>
        </w:rPr>
        <w:t xml:space="preserve">מרדכי קרמניצר וחאלד </w:t>
      </w:r>
      <w:hyperlink r:id="rId85">
        <w:r>
          <w:rPr>
            <w:rStyle w:val="Hyperlink"/>
            <w:color w:val="0000FF"/>
            <w:u w:val="single"/>
            <w:rtl w:val="true"/>
          </w:rPr>
          <w:t>גנאים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הרפורמה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בעבירות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ההמתה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2019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עקרונות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ומחקר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היסטורי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והשוואתי</w:t>
      </w:r>
      <w:r>
        <w:rPr>
          <w:rtl w:val="true"/>
        </w:rPr>
        <w:t xml:space="preserve"> </w:t>
      </w:r>
      <w:r>
        <w:rPr/>
        <w:t>444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קרמניצר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וגנאים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עובר לרפורמה</w:t>
      </w:r>
      <w:r>
        <w:rPr>
          <w:rtl w:val="true"/>
        </w:rPr>
        <w:t xml:space="preserve">, </w:t>
      </w:r>
      <w:r>
        <w:rPr>
          <w:rtl w:val="true"/>
        </w:rPr>
        <w:t>הפסיקה הקנתה ליסוד ה</w:t>
      </w:r>
      <w:r>
        <w:rPr>
          <w:rtl w:val="true"/>
        </w:rPr>
        <w:t>"</w:t>
      </w:r>
      <w:r>
        <w:rPr>
          <w:rtl w:val="true"/>
        </w:rPr>
        <w:t>תחילה</w:t>
      </w:r>
      <w:r>
        <w:rPr>
          <w:rtl w:val="true"/>
        </w:rPr>
        <w:t xml:space="preserve">"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כוונה תחילה</w:t>
      </w:r>
      <w:r>
        <w:rPr>
          <w:rtl w:val="true"/>
        </w:rPr>
        <w:t xml:space="preserve">" </w:t>
      </w:r>
      <w:r>
        <w:rPr>
          <w:rtl w:val="true"/>
        </w:rPr>
        <w:t>פרשנות רחבה</w:t>
      </w:r>
      <w:r>
        <w:rPr>
          <w:rtl w:val="true"/>
        </w:rPr>
        <w:t xml:space="preserve">, </w:t>
      </w:r>
      <w:r>
        <w:rPr>
          <w:rtl w:val="true"/>
        </w:rPr>
        <w:t xml:space="preserve">אשר דיללה אותו והרחיבה את היקף עבירת הרצח על חשבון עבירת ההריגה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קרמניצר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וגנאים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295</w:t>
      </w:r>
      <w:r>
        <w:rPr>
          <w:rtl w:val="true"/>
        </w:rPr>
        <w:t xml:space="preserve">; </w:t>
      </w:r>
      <w:hyperlink r:id="rId86">
        <w:r>
          <w:rPr>
            <w:rStyle w:val="Hyperlink"/>
            <w:rtl w:val="true"/>
          </w:rPr>
          <w:t>מרים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גור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אריה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הרפורמה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בעבירות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ההמתה</w:t>
        </w:r>
        <w:r>
          <w:rPr>
            <w:rStyle w:val="Hyperlink"/>
            <w:rtl w:val="true"/>
          </w:rPr>
          <w:t xml:space="preserve">: </w:t>
        </w:r>
        <w:r>
          <w:rPr>
            <w:rStyle w:val="Hyperlink"/>
            <w:rtl w:val="true"/>
          </w:rPr>
          <w:t>על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מדרג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עבירות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ההמתה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ועל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רצח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מתוך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אדישות</w:t>
        </w:r>
      </w:hyperlink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יעקב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וינרוט</w:t>
      </w:r>
      <w:r>
        <w:rPr>
          <w:rtl w:val="true"/>
        </w:rPr>
        <w:t xml:space="preserve"> </w:t>
      </w:r>
      <w:r>
        <w:rPr/>
        <w:t>441</w:t>
      </w:r>
      <w:r>
        <w:rPr>
          <w:rtl w:val="true"/>
        </w:rPr>
        <w:t xml:space="preserve">, </w:t>
      </w:r>
      <w:r>
        <w:rPr/>
        <w:t>446</w:t>
      </w:r>
      <w:r>
        <w:rPr>
          <w:rtl w:val="true"/>
        </w:rPr>
        <w:t xml:space="preserve"> (</w:t>
      </w:r>
      <w:r>
        <w:rPr>
          <w:rtl w:val="true"/>
        </w:rPr>
        <w:t>גרשון גונטובניק</w:t>
      </w:r>
      <w:r>
        <w:rPr>
          <w:rtl w:val="true"/>
        </w:rPr>
        <w:t xml:space="preserve">, </w:t>
      </w:r>
      <w:r>
        <w:rPr>
          <w:rtl w:val="true"/>
        </w:rPr>
        <w:t xml:space="preserve">אבי וינרוט </w:t>
      </w:r>
      <w:r>
        <w:rPr>
          <w:rtl w:val="true"/>
        </w:rPr>
        <w:t>ו</w:t>
      </w:r>
      <w:r>
        <w:rPr>
          <w:rtl w:val="true"/>
        </w:rPr>
        <w:t xml:space="preserve">חיים זיכרמן עורכים </w:t>
      </w:r>
      <w:r>
        <w:rPr/>
        <w:t>2021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הסעיף מכיל כעת </w:t>
      </w:r>
      <w:r>
        <w:rPr>
          <w:rtl w:val="true"/>
        </w:rPr>
        <w:t>שתי נסיבות חלופיות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די בהתקיימות אחת מהן כדי להרשיע נאשם בעבירה של רצח בנסיבות מחמירות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8030/21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זיינב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25.12.2022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זיינב</w:t>
      </w:r>
      <w:r>
        <w:rPr>
          <w:rtl w:val="true"/>
        </w:rPr>
        <w:t>‏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ניסוח הנסיבה המחמירה נועד להבהיר את כוונת המחוקק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לשנות</w:t>
      </w:r>
      <w:r>
        <w:rPr>
          <w:rtl w:val="true"/>
        </w:rPr>
        <w:t xml:space="preserve"> מהמצב שחל עובר לרפורמה ולקבוע שמקרים של המתה בכוונה שנוצרה באופן ספונטני לא ייכנסו בגדרי נסיבה מחמירה זו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170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>
          <w:rtl w:val="true"/>
        </w:rPr>
        <w:t>יצירת הבחנה בין מקרים שבהם מעשה הרצח בוצע לאחר שהעושה שקל והחליט להמית את הקרבן – אשר ייכנסו לגדרי הסעיף</w:t>
      </w:r>
      <w:r>
        <w:rPr>
          <w:rtl w:val="true"/>
        </w:rPr>
        <w:t xml:space="preserve">; </w:t>
      </w:r>
      <w:r>
        <w:rPr>
          <w:rtl w:val="true"/>
        </w:rPr>
        <w:t>לבין מקרים שבהם ההחלטה להמית התגבשה באופן ספונטני</w:t>
      </w:r>
      <w:r>
        <w:rPr>
          <w:rtl w:val="true"/>
        </w:rPr>
        <w:t xml:space="preserve">, </w:t>
      </w:r>
      <w:r>
        <w:rPr>
          <w:rtl w:val="true"/>
        </w:rPr>
        <w:t>ללא הפעלת שיקול דעת של ממש</w:t>
      </w:r>
      <w:r>
        <w:rPr>
          <w:rtl w:val="true"/>
        </w:rPr>
        <w:t xml:space="preserve">, </w:t>
      </w:r>
      <w:r>
        <w:rPr>
          <w:rtl w:val="true"/>
        </w:rPr>
        <w:t>וללא הכנה הכוללת פעולות מקדימות שביצע העושה קודם לביצוע הרצח – אשר יוותרו מחוצה לו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זרסנאי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19.4.2021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זרסנאי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כוונת המחוקק לשנות מן המצב שקדם לרפורמה באה לידי ביטוי בדו</w:t>
      </w:r>
      <w:r>
        <w:rPr>
          <w:rtl w:val="true"/>
        </w:rPr>
        <w:t>"</w:t>
      </w:r>
      <w:r>
        <w:rPr>
          <w:rtl w:val="true"/>
        </w:rPr>
        <w:t>ח הצוות שעיצב את הוראותיה</w:t>
      </w:r>
      <w:r>
        <w:rPr>
          <w:rtl w:val="true"/>
        </w:rPr>
        <w:t xml:space="preserve">, </w:t>
      </w:r>
      <w:r>
        <w:rPr>
          <w:rtl w:val="true"/>
        </w:rPr>
        <w:t>בדברי ההסבר ובלשון החוק</w:t>
      </w:r>
      <w:r>
        <w:rPr>
          <w:rtl w:val="true"/>
        </w:rPr>
        <w:t xml:space="preserve">. </w:t>
      </w:r>
      <w:r>
        <w:rPr>
          <w:rtl w:val="true"/>
        </w:rPr>
        <w:t>לאורה עלינו ליצוק תוכן פרשני לנסיבה מחמירה זו</w:t>
      </w:r>
      <w:r>
        <w:rPr>
          <w:rtl w:val="true"/>
        </w:rPr>
        <w:t xml:space="preserve">. </w:t>
      </w: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>יש להקנות לסעיף וחלופותיו פרשנות רחבה דיה על מנת שיחול על אותם מקרים המגלמים את מידת האשם וטיב ההתנהגות המצדיקים זאת</w:t>
      </w:r>
      <w:r>
        <w:rPr>
          <w:rtl w:val="true"/>
        </w:rPr>
        <w:t xml:space="preserve">; </w:t>
      </w:r>
      <w:r>
        <w:rPr>
          <w:rtl w:val="true"/>
        </w:rPr>
        <w:t>מאידך גיסא</w:t>
      </w:r>
      <w:r>
        <w:rPr>
          <w:rtl w:val="true"/>
        </w:rPr>
        <w:t xml:space="preserve">, </w:t>
      </w:r>
      <w:r>
        <w:rPr>
          <w:rtl w:val="true"/>
        </w:rPr>
        <w:t>אם נפרשו בהרחבה יתרה</w:t>
      </w:r>
      <w:r>
        <w:rPr>
          <w:rtl w:val="true"/>
        </w:rPr>
        <w:t xml:space="preserve">, </w:t>
      </w:r>
      <w:r>
        <w:rPr>
          <w:rtl w:val="true"/>
        </w:rPr>
        <w:t>נמצא עצמנו קרובים ל</w:t>
      </w:r>
      <w:r>
        <w:rPr>
          <w:rtl w:val="true"/>
        </w:rPr>
        <w:t>"</w:t>
      </w:r>
      <w:r>
        <w:rPr>
          <w:rtl w:val="true"/>
        </w:rPr>
        <w:t>נקודת ההתחלה</w:t>
      </w:r>
      <w:r>
        <w:rPr>
          <w:rtl w:val="true"/>
        </w:rPr>
        <w:t xml:space="preserve">" </w:t>
      </w:r>
      <w:r>
        <w:rPr>
          <w:rtl w:val="true"/>
        </w:rPr>
        <w:t>שקדמה לרפורמה</w:t>
      </w:r>
      <w:r>
        <w:rPr>
          <w:rtl w:val="true"/>
        </w:rPr>
        <w:t xml:space="preserve">. </w:t>
      </w:r>
      <w:r>
        <w:rPr>
          <w:rtl w:val="true"/>
        </w:rPr>
        <w:t>מלאכת איזון עדינה זו מחייבת אותנו לפסוע בזהירות עת שאנחנו בוחנים כל מקרה ונסיבותיו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נובע הקושי</w:t>
      </w:r>
      <w:r>
        <w:rPr>
          <w:rtl w:val="true"/>
        </w:rPr>
        <w:t xml:space="preserve">, </w:t>
      </w:r>
      <w:r>
        <w:rPr>
          <w:rtl w:val="true"/>
        </w:rPr>
        <w:t>גם בעיתוי זה</w:t>
      </w:r>
      <w:r>
        <w:rPr>
          <w:rtl w:val="true"/>
        </w:rPr>
        <w:t xml:space="preserve">, </w:t>
      </w:r>
      <w:r>
        <w:rPr>
          <w:rtl w:val="true"/>
        </w:rPr>
        <w:t xml:space="preserve">לקבוע כללים גורפים לתיחום </w:t>
      </w:r>
      <w:hyperlink r:id="rId8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ראוי לעמוד על כך שעד כה נקבע בפסיקת בית משפט זה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כאשר הרוצח</w:t>
      </w:r>
      <w:r>
        <w:rPr>
          <w:rtl w:val="true"/>
        </w:rPr>
        <w:t xml:space="preserve"> </w:t>
      </w:r>
      <w:r>
        <w:rPr>
          <w:rtl w:val="true"/>
        </w:rPr>
        <w:t>מבצע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שרשרת פעולות הדורשות זמן ומאמץ</w:t>
      </w:r>
      <w:r>
        <w:rPr>
          <w:rtl w:val="true"/>
        </w:rPr>
        <w:t xml:space="preserve">", </w:t>
      </w:r>
      <w:r>
        <w:rPr>
          <w:rtl w:val="true"/>
        </w:rPr>
        <w:t xml:space="preserve">ניתן ללמוד ממנה כי הרצח נעשה </w:t>
      </w:r>
      <w:r>
        <w:rPr>
          <w:rtl w:val="true"/>
        </w:rPr>
        <w:t>"</w:t>
      </w:r>
      <w:r>
        <w:rPr>
          <w:rtl w:val="true"/>
        </w:rPr>
        <w:t>לאחר תכנון</w:t>
      </w:r>
      <w:r>
        <w:rPr>
          <w:rtl w:val="true"/>
        </w:rPr>
        <w:t>"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זרסנאי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; </w:t>
      </w:r>
      <w:hyperlink r:id="rId9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5995/21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אלחסנה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16.6.2022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אלחסנה</w:t>
      </w:r>
      <w:r>
        <w:rPr>
          <w:rtl w:val="true"/>
        </w:rPr>
        <w:t>))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במקרים מסוימים יש חשיבות לממד הזמן</w:t>
      </w:r>
      <w:r>
        <w:rPr>
          <w:rtl w:val="true"/>
        </w:rPr>
        <w:t xml:space="preserve">, </w:t>
      </w:r>
      <w:r>
        <w:rPr>
          <w:rtl w:val="true"/>
        </w:rPr>
        <w:t xml:space="preserve">שכן כאשר תכנית ההמתה </w:t>
      </w:r>
      <w:r>
        <w:rPr>
          <w:rtl w:val="true"/>
        </w:rPr>
        <w:t>נפרש</w:t>
      </w:r>
      <w:r>
        <w:rPr>
          <w:rtl w:val="true"/>
        </w:rPr>
        <w:t>ת על פני זמן ממושך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נוטה הכף לטובת קביעה כי הרוצח</w:t>
      </w:r>
      <w:r>
        <w:rPr>
          <w:rtl w:val="true"/>
        </w:rPr>
        <w:t xml:space="preserve"> פעל לאחר הליך ממשי של שקילה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אלחסנה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31</w:t>
      </w:r>
      <w:r>
        <w:rPr>
          <w:rtl w:val="true"/>
        </w:rPr>
        <w:t xml:space="preserve">; </w:t>
      </w:r>
      <w:hyperlink r:id="rId9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7985/20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גואטה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29.1.2023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אף הצטיידות הרוצח מראש בכלי ההמתה </w:t>
      </w:r>
      <w:r>
        <w:rPr>
          <w:rtl w:val="true"/>
        </w:rPr>
        <w:t>(</w:t>
      </w:r>
      <w:hyperlink r:id="rId9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5066/18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רוזקוב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4.9.2022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9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לחוות דעתו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15.1.2020</w:t>
      </w:r>
      <w:r>
        <w:rPr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 xml:space="preserve">או באמצעי לצורך הסתרת הגופה </w:t>
      </w:r>
      <w:r>
        <w:rPr>
          <w:rtl w:val="true"/>
        </w:rPr>
        <w:t>–</w:t>
      </w:r>
      <w:r>
        <w:rPr>
          <w:rtl w:val="true"/>
        </w:rPr>
        <w:t xml:space="preserve"> כמעדר</w:t>
      </w:r>
      <w:r>
        <w:rPr>
          <w:rtl w:val="true"/>
        </w:rPr>
        <w:t xml:space="preserve">, </w:t>
      </w:r>
      <w:r>
        <w:rPr>
          <w:rtl w:val="true"/>
        </w:rPr>
        <w:t xml:space="preserve">עשויים ללמד כי נסיבה מחמירה זו מתקיימת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אלחסנה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31</w:t>
      </w:r>
      <w:r>
        <w:rPr>
          <w:rtl w:val="true"/>
        </w:rPr>
        <w:t xml:space="preserve">); </w:t>
      </w:r>
      <w:r>
        <w:rPr>
          <w:rtl w:val="true"/>
        </w:rPr>
        <w:t xml:space="preserve">כך גם נקיטת פעולות להבאת הקורבן לזירת הרצח בעיתוי המתאים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זיינב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50</w:t>
      </w:r>
      <w:r>
        <w:rPr>
          <w:rtl w:val="true"/>
        </w:rPr>
        <w:t xml:space="preserve">); </w:t>
      </w:r>
      <w:r>
        <w:rPr>
          <w:rtl w:val="true"/>
        </w:rPr>
        <w:t>או פעולות להכנת זירת הרצח</w:t>
      </w:r>
      <w:r>
        <w:rPr>
          <w:rtl w:val="true"/>
        </w:rPr>
        <w:t xml:space="preserve">, </w:t>
      </w:r>
      <w:r>
        <w:rPr>
          <w:rtl w:val="true"/>
        </w:rPr>
        <w:t xml:space="preserve">כניתוק מצלמות האבטחה </w:t>
      </w:r>
      <w:r>
        <w:rPr>
          <w:rtl w:val="true"/>
        </w:rPr>
        <w:t>(</w:t>
      </w:r>
      <w:hyperlink r:id="rId9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8956/20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28.6.2022</w:t>
      </w:r>
      <w:r>
        <w:rPr>
          <w:rtl w:val="true"/>
        </w:rPr>
        <w:t xml:space="preserve">)). </w:t>
      </w:r>
      <w:r>
        <w:rPr>
          <w:rtl w:val="true"/>
        </w:rPr>
        <w:t>כן מובן</w:t>
      </w:r>
      <w:r>
        <w:rPr>
          <w:rtl w:val="true"/>
        </w:rPr>
        <w:t xml:space="preserve">, </w:t>
      </w:r>
      <w:r>
        <w:rPr>
          <w:rtl w:val="true"/>
        </w:rPr>
        <w:t>שכאשר לרכיבים מסוג זה מצטרפת העובדה כי המבצע פגע פעמים רבות בקורבן</w:t>
      </w:r>
      <w:r>
        <w:rPr>
          <w:rtl w:val="true"/>
        </w:rPr>
        <w:t xml:space="preserve">, </w:t>
      </w:r>
      <w:r>
        <w:rPr>
          <w:rtl w:val="true"/>
        </w:rPr>
        <w:t>בנשק קר או חם</w:t>
      </w:r>
      <w:r>
        <w:rPr>
          <w:rtl w:val="true"/>
        </w:rPr>
        <w:t xml:space="preserve">, </w:t>
      </w:r>
      <w:r>
        <w:rPr>
          <w:rtl w:val="true"/>
        </w:rPr>
        <w:t xml:space="preserve">המסקנה המתבקשת היא כי מדובר ברצח שנעשה לאחר תכנון או </w:t>
      </w:r>
      <w:r>
        <w:rPr>
          <w:rtl w:val="true"/>
        </w:rPr>
        <w:t>הליך ממשי של שקילה וגיבוש החלטה להמית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אלחסנה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31</w:t>
      </w:r>
      <w:r>
        <w:rPr>
          <w:rtl w:val="true"/>
        </w:rPr>
        <w:t xml:space="preserve">).  </w:t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רקע סקירה זו והפסיקה שהתגבשה עד כה</w:t>
      </w:r>
      <w:r>
        <w:rPr>
          <w:rtl w:val="true"/>
        </w:rPr>
        <w:t xml:space="preserve">, </w:t>
      </w:r>
      <w:r>
        <w:rPr>
          <w:rtl w:val="true"/>
        </w:rPr>
        <w:t>אפנה ליישום הדברים בענייננו</w:t>
      </w:r>
      <w:r>
        <w:rPr>
          <w:rtl w:val="true"/>
        </w:rPr>
        <w:t xml:space="preserve">. </w:t>
      </w:r>
      <w:r>
        <w:rPr>
          <w:rtl w:val="true"/>
        </w:rPr>
        <w:t>בהכרעת הדין קמא נומק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 xml:space="preserve">מעשה הרצח שביצע </w:t>
      </w:r>
      <w:r>
        <w:rPr>
          <w:rtl w:val="true"/>
        </w:rPr>
        <w:t>המערער</w:t>
      </w:r>
      <w:r>
        <w:rPr>
          <w:rtl w:val="true"/>
        </w:rPr>
        <w:t xml:space="preserve"> היה מעשה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מתוכנן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גם אם התכנון לא נעשה זמן מה רב לפני מעשה הרצח אלא בסמוך מאוד לפניו</w:t>
      </w:r>
      <w:r>
        <w:rPr>
          <w:rtl w:val="true"/>
        </w:rPr>
        <w:t>.</w:t>
      </w:r>
      <w:r>
        <w:rPr>
          <w:rtl w:val="true"/>
        </w:rPr>
        <w:t xml:space="preserve">" </w:t>
      </w:r>
      <w:r>
        <w:rPr>
          <w:rtl w:val="true"/>
        </w:rPr>
        <w:t>עוד נומק כי אופן ביצוע הרצח והתנהגות המערער אחריו</w:t>
      </w:r>
      <w:r>
        <w:rPr>
          <w:rtl w:val="true"/>
        </w:rPr>
        <w:t xml:space="preserve">, </w:t>
      </w:r>
      <w:r>
        <w:rPr>
          <w:rtl w:val="true"/>
        </w:rPr>
        <w:t>מלמדים על יסוד התכנון וההחלטה להמית</w:t>
      </w:r>
      <w:r>
        <w:rPr>
          <w:rtl w:val="true"/>
        </w:rPr>
        <w:t xml:space="preserve">; </w:t>
      </w:r>
      <w:r>
        <w:rPr>
          <w:rtl w:val="true"/>
        </w:rPr>
        <w:t>וכך גם העובדה שהמערער</w:t>
      </w:r>
      <w:r>
        <w:rPr>
          <w:rtl w:val="true"/>
        </w:rPr>
        <w:t xml:space="preserve"> נטל סכין בעלת כוח קטילה</w:t>
      </w:r>
      <w:r>
        <w:rPr>
          <w:rtl w:val="true"/>
        </w:rPr>
        <w:t xml:space="preserve">, </w:t>
      </w:r>
      <w:r>
        <w:rPr>
          <w:rtl w:val="true"/>
        </w:rPr>
        <w:t xml:space="preserve">ודקר </w:t>
      </w:r>
      <w:r>
        <w:rPr>
          <w:rtl w:val="true"/>
        </w:rPr>
        <w:t>את המנוחה</w:t>
      </w:r>
      <w:r>
        <w:rPr>
          <w:rtl w:val="true"/>
        </w:rPr>
        <w:t xml:space="preserve"> דקירות רבות</w:t>
      </w:r>
      <w:r>
        <w:rPr>
          <w:rtl w:val="true"/>
        </w:rPr>
        <w:t xml:space="preserve"> ו</w:t>
      </w:r>
      <w:r>
        <w:rPr>
          <w:rtl w:val="true"/>
        </w:rPr>
        <w:t>עמוקות שדרשו הפעלת כוח רב</w:t>
      </w:r>
      <w:r>
        <w:rPr>
          <w:rtl w:val="true"/>
        </w:rPr>
        <w:t xml:space="preserve">, </w:t>
      </w:r>
      <w:r>
        <w:rPr>
          <w:rtl w:val="true"/>
        </w:rPr>
        <w:t>גם לאחר שנפלה לרצפה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מתוך כוונה לגרום למותה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בית המשפט המחוזי הוסיף כי </w:t>
      </w:r>
      <w:r>
        <w:rPr>
          <w:rtl w:val="true"/>
        </w:rPr>
        <w:t>"</w:t>
      </w:r>
      <w:r>
        <w:rPr>
          <w:rtl w:val="true"/>
        </w:rPr>
        <w:t xml:space="preserve">העובדה שהוויכוח בין המנוחה לבין אביה התפתח בלהט הרגע ובאופן ספונטני אינה הופכת את מעשה הרצח של המנוחה שביצע הנאשם </w:t>
      </w:r>
      <w:r>
        <w:rPr>
          <w:rtl w:val="true"/>
        </w:rPr>
        <w:t>[</w:t>
      </w:r>
      <w:r>
        <w:rPr>
          <w:rtl w:val="true"/>
        </w:rPr>
        <w:t xml:space="preserve">המערער 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במהלך אותו וויכוח למעשה רצח ספונטני</w:t>
      </w:r>
      <w:r>
        <w:rPr>
          <w:rtl w:val="true"/>
        </w:rPr>
        <w:t xml:space="preserve">, </w:t>
      </w:r>
      <w:r>
        <w:rPr>
          <w:rtl w:val="true"/>
        </w:rPr>
        <w:t>אימפולסיבי שנעשה בלהט הרגע ואינה שוללת את התכנון שקדם לו</w:t>
      </w:r>
      <w:r>
        <w:rPr>
          <w:rtl w:val="true"/>
        </w:rPr>
        <w:t xml:space="preserve">. </w:t>
      </w:r>
      <w:r>
        <w:rPr>
          <w:rtl w:val="true"/>
        </w:rPr>
        <w:t>גם העובדה שהוויכוח הוא שהביא להחלטת הנאשם להמית את המנוחה אינה שוללת את שקילתה של ההחלטה להמית ואת גיבושה עובר למעשה הרצח</w:t>
      </w:r>
      <w:r>
        <w:rPr>
          <w:rtl w:val="true"/>
        </w:rPr>
        <w:t xml:space="preserve">, </w:t>
      </w:r>
      <w:r>
        <w:rPr>
          <w:rtl w:val="true"/>
        </w:rPr>
        <w:t>ובתכוף לפני</w:t>
      </w:r>
      <w:r>
        <w:rPr>
          <w:rtl w:val="true"/>
        </w:rPr>
        <w:t>ו</w:t>
      </w:r>
      <w:r>
        <w:rPr>
          <w:rtl w:val="true"/>
        </w:rPr>
        <w:t xml:space="preserve">."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בהמשך לקביעות אלו</w:t>
      </w:r>
      <w:r>
        <w:rPr>
          <w:rtl w:val="true"/>
        </w:rPr>
        <w:t xml:space="preserve">, </w:t>
      </w:r>
      <w:r>
        <w:rPr>
          <w:rtl w:val="true"/>
        </w:rPr>
        <w:t xml:space="preserve">המשיבה ביקשה להסתמך בערעור על שלושה נתונים המבססים לשיטתה את התקיימות הנסיבה המחמירה </w:t>
      </w:r>
      <w:r>
        <w:rPr>
          <w:rtl w:val="true"/>
        </w:rPr>
        <w:t>–</w:t>
      </w:r>
      <w:r>
        <w:rPr>
          <w:rtl w:val="true"/>
        </w:rPr>
        <w:t xml:space="preserve"> איומיו הקודמים של המערער כלפי המנוחה</w:t>
      </w:r>
      <w:r>
        <w:rPr>
          <w:rtl w:val="true"/>
        </w:rPr>
        <w:t xml:space="preserve">, </w:t>
      </w:r>
      <w:r>
        <w:rPr>
          <w:rtl w:val="true"/>
        </w:rPr>
        <w:t>המלמדים כי הרעיון להמית את המנוחה קינן במוחו תקופה ממושכת</w:t>
      </w:r>
      <w:r>
        <w:rPr>
          <w:rtl w:val="true"/>
        </w:rPr>
        <w:t xml:space="preserve">; </w:t>
      </w:r>
      <w:r>
        <w:rPr>
          <w:rtl w:val="true"/>
        </w:rPr>
        <w:t>הצטיידות המערער בסכין</w:t>
      </w:r>
      <w:r>
        <w:rPr>
          <w:rtl w:val="true"/>
        </w:rPr>
        <w:t xml:space="preserve">; </w:t>
      </w:r>
      <w:r>
        <w:rPr>
          <w:rtl w:val="true"/>
        </w:rPr>
        <w:t>נחישות המערער להשלים את מעשה ההמתה וקור רוחו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קיים אפוא פער בין טענות המשיבה בהליך זה לחלק מקביעות בית המשפט המחוזי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כי מעשה הרצח היה </w:t>
      </w:r>
      <w:r>
        <w:rPr>
          <w:rtl w:val="true"/>
        </w:rPr>
        <w:t>"</w:t>
      </w:r>
      <w:r>
        <w:rPr>
          <w:rtl w:val="true"/>
        </w:rPr>
        <w:t>מתוכנן</w:t>
      </w:r>
      <w:r>
        <w:rPr>
          <w:rtl w:val="true"/>
        </w:rPr>
        <w:t xml:space="preserve">". </w:t>
      </w:r>
      <w:r>
        <w:rPr>
          <w:rtl w:val="true"/>
        </w:rPr>
        <w:t>אולם קביעה זו אינה נתמכת בחומר הראיות</w:t>
      </w:r>
      <w:r>
        <w:rPr>
          <w:rtl w:val="true"/>
        </w:rPr>
        <w:t xml:space="preserve">. </w:t>
      </w:r>
      <w:r>
        <w:rPr>
          <w:rtl w:val="true"/>
        </w:rPr>
        <w:t>לא בכדי המשיבה ממקדת את טענותיה בחלופה המופיעה בסיפה הסעיף</w:t>
      </w:r>
      <w:r>
        <w:rPr>
          <w:rtl w:val="true"/>
        </w:rPr>
        <w:t xml:space="preserve">, </w:t>
      </w:r>
      <w:r>
        <w:rPr>
          <w:rtl w:val="true"/>
        </w:rPr>
        <w:t xml:space="preserve">וטוענת כי מעשה ההמתה בוצע </w:t>
      </w:r>
      <w:r>
        <w:rPr>
          <w:rtl w:val="true"/>
        </w:rPr>
        <w:t>לאחר הליך ממשי של שקילה וגיבוש החלטה להמית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כפי שארחיב</w:t>
      </w:r>
      <w:r>
        <w:rPr>
          <w:rtl w:val="true"/>
        </w:rPr>
        <w:t xml:space="preserve">, </w:t>
      </w:r>
      <w:r>
        <w:rPr>
          <w:rtl w:val="true"/>
        </w:rPr>
        <w:t>גם זאת איני סבור כי עלה בידה להוכיח ברף ההוכחה הדרוש במשפט הפלילי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דומני כי חלק ניכר מהטענות שבפי המשיבה ביחס לנסיבה מחמירה זו הן שריד לדין הקודם</w:t>
      </w:r>
      <w:r>
        <w:rPr>
          <w:rtl w:val="true"/>
        </w:rPr>
        <w:t xml:space="preserve">, </w:t>
      </w:r>
      <w:r>
        <w:rPr>
          <w:rtl w:val="true"/>
        </w:rPr>
        <w:t>שאותו ביקש המחוקק לשנות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 xml:space="preserve">צודק הסנגור בטענתו כי קביעה שמעשה ההמתה נעשה </w:t>
      </w:r>
      <w:r>
        <w:rPr>
          <w:rtl w:val="true"/>
        </w:rPr>
        <w:t>לאחר תכנון או לאחר הליך ממשי של שקילה וגיבוש החלטה להמית</w:t>
      </w:r>
      <w:r>
        <w:rPr>
          <w:rtl w:val="true"/>
        </w:rPr>
        <w:t xml:space="preserve">, </w:t>
      </w:r>
      <w:r>
        <w:rPr>
          <w:rtl w:val="true"/>
        </w:rPr>
        <w:t>אינה מתיישבת עם תיאור הדברים בכתב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בכתב האישום נרשם כי </w:t>
      </w:r>
      <w:r>
        <w:rPr>
          <w:rtl w:val="true"/>
        </w:rPr>
        <w:t>"</w:t>
      </w:r>
      <w:r>
        <w:rPr>
          <w:rtl w:val="true"/>
        </w:rPr>
        <w:t xml:space="preserve">בעקבות הוויכוח </w:t>
      </w:r>
      <w:r>
        <w:rPr>
          <w:rtl w:val="true"/>
        </w:rPr>
        <w:t>[</w:t>
      </w:r>
      <w:r>
        <w:rPr>
          <w:rtl w:val="true"/>
        </w:rPr>
        <w:t xml:space="preserve">בין המנוחה לאביה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גמלה בלבו של הנאשם החלטה לגרום בכוונה תחילה למותה של המנוחה</w:t>
      </w:r>
      <w:r>
        <w:rPr>
          <w:rtl w:val="true"/>
        </w:rPr>
        <w:t xml:space="preserve">". </w:t>
      </w:r>
      <w:r>
        <w:rPr>
          <w:rtl w:val="true"/>
        </w:rPr>
        <w:t>כתב האישום קושר באופן הדוק בין הוויכוח</w:t>
      </w:r>
      <w:r>
        <w:rPr>
          <w:rtl w:val="true"/>
        </w:rPr>
        <w:t xml:space="preserve">, </w:t>
      </w:r>
      <w:r>
        <w:rPr>
          <w:rtl w:val="true"/>
        </w:rPr>
        <w:t>להחלטה להמית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על בסיס הראיות שהוצגו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קבע כי כאשר המנוחה שבה לביתה </w:t>
      </w:r>
      <w:r>
        <w:rPr>
          <w:rtl w:val="true"/>
        </w:rPr>
        <w:t>"</w:t>
      </w:r>
      <w:r>
        <w:rPr>
          <w:rtl w:val="true"/>
        </w:rPr>
        <w:t>והתעמתה עם אביה</w:t>
      </w:r>
      <w:r>
        <w:rPr>
          <w:rtl w:val="true"/>
        </w:rPr>
        <w:t xml:space="preserve">, </w:t>
      </w:r>
      <w:r>
        <w:rPr>
          <w:rtl w:val="true"/>
        </w:rPr>
        <w:t>גמלה בליבו ההחלטה לגרום למותה</w:t>
      </w:r>
      <w:r>
        <w:rPr>
          <w:rtl w:val="true"/>
        </w:rPr>
        <w:t xml:space="preserve">". </w:t>
      </w:r>
      <w:r>
        <w:rPr>
          <w:rtl w:val="true"/>
        </w:rPr>
        <w:t>מדובר אפוא בהחלטה שהתקבלה באופן ספונטאני ועל רקע ויכוח סוער</w:t>
      </w:r>
      <w:r>
        <w:rPr>
          <w:rtl w:val="true"/>
        </w:rPr>
        <w:t xml:space="preserve">, </w:t>
      </w:r>
      <w:r>
        <w:rPr>
          <w:rtl w:val="true"/>
        </w:rPr>
        <w:t>ואף אלים</w:t>
      </w:r>
      <w:r>
        <w:rPr>
          <w:rtl w:val="true"/>
        </w:rPr>
        <w:t xml:space="preserve">, </w:t>
      </w:r>
      <w:r>
        <w:rPr>
          <w:rtl w:val="true"/>
        </w:rPr>
        <w:t>בין האב למנוחה</w:t>
      </w:r>
      <w:r>
        <w:rPr>
          <w:rtl w:val="true"/>
        </w:rPr>
        <w:t xml:space="preserve">.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 xml:space="preserve">המשיבה טוענת כי </w:t>
      </w:r>
      <w:r>
        <w:rPr>
          <w:rtl w:val="true"/>
        </w:rPr>
        <w:t>"</w:t>
      </w:r>
      <w:r>
        <w:rPr>
          <w:rtl w:val="true"/>
        </w:rPr>
        <w:t>שאין אינדיקציה מובהקת מתי בדיוק גמלה בליבו של המערער ההחלטה להמית את המנוחה</w:t>
      </w:r>
      <w:r>
        <w:rPr>
          <w:rtl w:val="true"/>
        </w:rPr>
        <w:t xml:space="preserve">".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טענה זו סותרת במידה רבה את האמור בכתב האישום ואת קביעות בית המשפט המחוזי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כן איני סבור כי הנתונים הנוספים שעליהם המשיבה עומדת משנים ממסקנה זו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איומי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האלימות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הקודמים</w:t>
      </w:r>
      <w:r>
        <w:rPr>
          <w:rtl w:val="true"/>
        </w:rPr>
        <w:t xml:space="preserve"> של המערער כלפי המנוחה מלמדים על הרקע למעשה הרצח</w:t>
      </w:r>
      <w:r>
        <w:rPr>
          <w:rtl w:val="true"/>
        </w:rPr>
        <w:t xml:space="preserve">, </w:t>
      </w:r>
      <w:r>
        <w:rPr>
          <w:rtl w:val="true"/>
        </w:rPr>
        <w:t xml:space="preserve">אולם קשה להסיק מהם בנסיבות אלו על </w:t>
      </w:r>
      <w:r>
        <w:rPr>
          <w:rtl w:val="true"/>
        </w:rPr>
        <w:t xml:space="preserve">הליך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tl w:val="true"/>
        </w:rPr>
        <w:t xml:space="preserve"> של שקילה וגיבוש החלטה להמית</w:t>
      </w:r>
      <w:r>
        <w:rPr>
          <w:rtl w:val="true"/>
        </w:rPr>
        <w:t xml:space="preserve">. </w:t>
      </w:r>
      <w:r>
        <w:rPr>
          <w:rtl w:val="true"/>
        </w:rPr>
        <w:t>פעמים רבות מעשה רצח מבוצע על רקע סכסוך כזה או אחר</w:t>
      </w:r>
      <w:r>
        <w:rPr>
          <w:rtl w:val="true"/>
        </w:rPr>
        <w:t xml:space="preserve">. </w:t>
      </w:r>
      <w:r>
        <w:rPr>
          <w:rtl w:val="true"/>
        </w:rPr>
        <w:t>בנסיבות ענייננו</w:t>
      </w:r>
      <w:r>
        <w:rPr>
          <w:rtl w:val="true"/>
        </w:rPr>
        <w:t xml:space="preserve">, </w:t>
      </w:r>
      <w:r>
        <w:rPr>
          <w:rtl w:val="true"/>
        </w:rPr>
        <w:t>העובדה כי האיומים נפרשו על פני תקופת זמן ארוכה אינה מלמדת דווקא כי המתת המנוחה הייתה תוצר של הליך שקול ומחושב</w:t>
      </w:r>
      <w:r>
        <w:rPr>
          <w:rtl w:val="true"/>
        </w:rPr>
        <w:t xml:space="preserve">, </w:t>
      </w:r>
      <w:r>
        <w:rPr>
          <w:rtl w:val="true"/>
        </w:rPr>
        <w:t>אלא על מערכת היחסים העכורה שעמדה ברקע התפרצות המערער ברגע הרצח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אשר לנטילת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לא ידוע מתי המערער הצטייד בסכין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אין לפנינו טענה</w:t>
      </w:r>
      <w:r>
        <w:rPr>
          <w:rtl w:val="true"/>
        </w:rPr>
        <w:t xml:space="preserve">, </w:t>
      </w:r>
      <w:r>
        <w:rPr>
          <w:rtl w:val="true"/>
        </w:rPr>
        <w:t>וודאי שלא הוכח</w:t>
      </w:r>
      <w:r>
        <w:rPr>
          <w:rtl w:val="true"/>
        </w:rPr>
        <w:t xml:space="preserve">, </w:t>
      </w:r>
      <w:r>
        <w:rPr>
          <w:rtl w:val="true"/>
        </w:rPr>
        <w:t>כי נדרשו פעולות משמעותיות לצורך נטילתה</w:t>
      </w:r>
      <w:r>
        <w:rPr>
          <w:rtl w:val="true"/>
        </w:rPr>
        <w:t xml:space="preserve">. </w:t>
      </w:r>
      <w:r>
        <w:rPr>
          <w:rtl w:val="true"/>
        </w:rPr>
        <w:t>לשם הדוגמה</w:t>
      </w:r>
      <w:r>
        <w:rPr>
          <w:rtl w:val="true"/>
        </w:rPr>
        <w:t xml:space="preserve">, </w:t>
      </w:r>
      <w:r>
        <w:rPr>
          <w:rtl w:val="true"/>
        </w:rPr>
        <w:t>לוּ</w:t>
      </w:r>
      <w:r>
        <w:rPr>
          <w:rtl w:val="true"/>
        </w:rPr>
        <w:t xml:space="preserve"> המערער היה הולך לחנות סמוכה</w:t>
      </w:r>
      <w:r>
        <w:rPr>
          <w:rtl w:val="true"/>
        </w:rPr>
        <w:t xml:space="preserve">, </w:t>
      </w:r>
      <w:r>
        <w:rPr>
          <w:rtl w:val="true"/>
        </w:rPr>
        <w:t>רוכש בה את הסכין</w:t>
      </w:r>
      <w:r>
        <w:rPr>
          <w:rtl w:val="true"/>
        </w:rPr>
        <w:t xml:space="preserve">, </w:t>
      </w:r>
      <w:r>
        <w:rPr>
          <w:rtl w:val="true"/>
        </w:rPr>
        <w:t xml:space="preserve">ושב לדירה על מנת לדקור למוות את המנוחה באמצעותה </w:t>
      </w:r>
      <w:r>
        <w:rPr>
          <w:rtl w:val="true"/>
        </w:rPr>
        <w:t>–</w:t>
      </w:r>
      <w:r>
        <w:rPr>
          <w:rtl w:val="true"/>
        </w:rPr>
        <w:t xml:space="preserve"> אז הייתה מתחזקת באופן משמעותי טענה כי הנסיבה המחמירה מתקיימת </w:t>
      </w:r>
      <w:r>
        <w:rPr>
          <w:rtl w:val="true"/>
        </w:rPr>
        <w:t>(</w:t>
      </w:r>
      <w:r>
        <w:rPr>
          <w:rtl w:val="true"/>
        </w:rPr>
        <w:t>ראו והשוו פסקי דיני ב</w:t>
      </w:r>
      <w:hyperlink r:id="rId9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2083/22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5.2.2023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זרסנאי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19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 כך בענייננו</w:t>
      </w:r>
      <w:r>
        <w:rPr>
          <w:rtl w:val="true"/>
        </w:rPr>
        <w:t xml:space="preserve">. </w:t>
      </w:r>
      <w:r>
        <w:rPr>
          <w:rtl w:val="true"/>
        </w:rPr>
        <w:t>גם אם הסכין לא הייתה מונחת ישירות לפני המערער</w:t>
      </w:r>
      <w:r>
        <w:rPr>
          <w:rtl w:val="true"/>
        </w:rPr>
        <w:t xml:space="preserve">, </w:t>
      </w:r>
      <w:r>
        <w:rPr>
          <w:rtl w:val="true"/>
        </w:rPr>
        <w:t>והוא היה צריך ללכת לחדר אחר בדירה על מנת ליטול אותה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אין כל ממצא עובדתי לעניין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מוקשה לטעון כי פעולות שכאלו מהוות הכנה המלמדת על תכנון או </w:t>
      </w:r>
      <w:r>
        <w:rPr>
          <w:rtl w:val="true"/>
        </w:rPr>
        <w:t>הליך ממשי של שקילה וגיבוש החלטה להמית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ראו והשוו לעניין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וואסה</w:t>
      </w:r>
      <w:r>
        <w:rPr>
          <w:rtl w:val="true"/>
        </w:rPr>
        <w:t xml:space="preserve">. </w:t>
      </w:r>
      <w:r>
        <w:rPr>
          <w:rtl w:val="true"/>
        </w:rPr>
        <w:t>באותו מקרה המערער הלך מסלון הבית לחדר השינה</w:t>
      </w:r>
      <w:r>
        <w:rPr>
          <w:rtl w:val="true"/>
        </w:rPr>
        <w:t xml:space="preserve">, </w:t>
      </w:r>
      <w:r>
        <w:rPr>
          <w:rtl w:val="true"/>
        </w:rPr>
        <w:t>הוציא מהארון אקדח</w:t>
      </w:r>
      <w:r>
        <w:rPr>
          <w:rtl w:val="true"/>
        </w:rPr>
        <w:t xml:space="preserve">, </w:t>
      </w:r>
      <w:r>
        <w:rPr>
          <w:rtl w:val="true"/>
        </w:rPr>
        <w:t>שב לסלון וירה במנוחה</w:t>
      </w:r>
      <w:r>
        <w:rPr>
          <w:rtl w:val="true"/>
        </w:rPr>
        <w:t xml:space="preserve">. </w:t>
      </w:r>
      <w:r>
        <w:rPr>
          <w:rtl w:val="true"/>
        </w:rPr>
        <w:t>הוא הורשע בעבירת הרצח הבסיסית</w:t>
      </w:r>
      <w:r>
        <w:rPr>
          <w:rtl w:val="true"/>
        </w:rPr>
        <w:t xml:space="preserve">). </w:t>
      </w:r>
      <w:r>
        <w:rPr>
          <w:rtl w:val="true"/>
        </w:rPr>
        <w:t xml:space="preserve">אף המונח שבו המשיבה עשתה שימוש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הצטיידות מוקדמת שאיננה ספונטנית</w:t>
      </w:r>
      <w:r>
        <w:rPr>
          <w:rtl w:val="true"/>
        </w:rPr>
        <w:t xml:space="preserve">", </w:t>
      </w:r>
      <w:r>
        <w:rPr>
          <w:rtl w:val="true"/>
        </w:rPr>
        <w:t>אינו מתאים בנסיבות העניין</w:t>
      </w:r>
      <w:r>
        <w:rPr>
          <w:rtl w:val="true"/>
        </w:rPr>
        <w:t xml:space="preserve">, </w:t>
      </w:r>
      <w:r>
        <w:rPr>
          <w:rtl w:val="true"/>
        </w:rPr>
        <w:t xml:space="preserve">בראי העובדה שכתב האישום מתאר שבעקבות הוויכוח </w:t>
      </w:r>
      <w:r>
        <w:rPr>
          <w:rtl w:val="true"/>
        </w:rPr>
        <w:t>"</w:t>
      </w:r>
      <w:r>
        <w:rPr>
          <w:rtl w:val="true"/>
        </w:rPr>
        <w:t xml:space="preserve">נטל הנאשם </w:t>
      </w:r>
      <w:r>
        <w:rPr>
          <w:rtl w:val="true"/>
        </w:rPr>
        <w:t>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נכנס לחדרה של המנוחה שישבה על המיטה</w:t>
      </w:r>
      <w:r>
        <w:rPr>
          <w:rtl w:val="true"/>
        </w:rPr>
        <w:t xml:space="preserve">, </w:t>
      </w:r>
      <w:r>
        <w:rPr>
          <w:rtl w:val="true"/>
        </w:rPr>
        <w:t>ודקר אותה בסכין</w:t>
      </w:r>
      <w:r>
        <w:rPr>
          <w:rtl w:val="true"/>
        </w:rPr>
        <w:t xml:space="preserve">".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נטילת הסכין הייתה רק לאחר שפרץ הוויכוח שעל פי הראיות גרם לזעמו של המערער כלפי המנוחה ולרצונו לפגוע בה</w:t>
      </w:r>
      <w:r>
        <w:rPr>
          <w:rtl w:val="true"/>
        </w:rPr>
        <w:t xml:space="preserve">. </w:t>
      </w:r>
      <w:r>
        <w:rPr>
          <w:rtl w:val="true"/>
        </w:rPr>
        <w:t>אין כל טענה כי המערער הכין את הסכין מבעוד מועד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 xml:space="preserve">שלא ניתן לקבל את תיאור המשיבה כי הצטייד בסכין </w:t>
      </w:r>
      <w:r>
        <w:rPr>
          <w:rtl w:val="true"/>
        </w:rPr>
        <w:t>"</w:t>
      </w:r>
      <w:r>
        <w:rPr>
          <w:rtl w:val="true"/>
        </w:rPr>
        <w:t>מראש</w:t>
      </w:r>
      <w:r>
        <w:rPr>
          <w:rtl w:val="true"/>
        </w:rPr>
        <w:t xml:space="preserve">", </w:t>
      </w:r>
      <w:r>
        <w:rPr>
          <w:rtl w:val="true"/>
        </w:rPr>
        <w:t>ועל כן נטילת הסכין</w:t>
      </w:r>
      <w:r>
        <w:rPr>
          <w:rtl w:val="true"/>
        </w:rPr>
        <w:t xml:space="preserve">,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איננה תומכת בטענה כי נסיבה מחמירה זו מתקיימת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כך גם ביחס לטענת המשיבה כי מנחישות המערער להשלים את מעשה ההמתה ומקור רוחו לאחר מעשה</w:t>
      </w:r>
      <w:r>
        <w:rPr>
          <w:rtl w:val="true"/>
        </w:rPr>
        <w:t xml:space="preserve">, </w:t>
      </w:r>
      <w:r>
        <w:rPr>
          <w:rtl w:val="true"/>
        </w:rPr>
        <w:t>ניתן ללמוד על התקיימות הנסיבה</w:t>
      </w:r>
      <w:r>
        <w:rPr>
          <w:rtl w:val="true"/>
        </w:rPr>
        <w:t xml:space="preserve">. </w:t>
      </w:r>
      <w:r>
        <w:rPr>
          <w:rtl w:val="true"/>
        </w:rPr>
        <w:t>אין כעת מחלוקת כי בעת שהמערער דקר את המנוחה הוא התכוון לגרום למותה</w:t>
      </w:r>
      <w:r>
        <w:rPr>
          <w:rtl w:val="true"/>
        </w:rPr>
        <w:t xml:space="preserve">. </w:t>
      </w:r>
      <w:r>
        <w:rPr>
          <w:rtl w:val="true"/>
        </w:rPr>
        <w:t>הקושי בטענת המשיבה הוא בשלב שקדם לכך</w:t>
      </w:r>
      <w:r>
        <w:rPr>
          <w:rtl w:val="true"/>
        </w:rPr>
        <w:t xml:space="preserve">, </w:t>
      </w:r>
      <w:r>
        <w:rPr>
          <w:rtl w:val="true"/>
        </w:rPr>
        <w:t>שכן אין בעוצמת הדקירות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 xml:space="preserve">כדי ללמד בהכרח על כך שהמעשה נעשה </w:t>
      </w:r>
      <w:r>
        <w:rPr>
          <w:rtl w:val="true"/>
        </w:rPr>
        <w:t xml:space="preserve">לאחר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שקילה</w:t>
      </w:r>
      <w:r>
        <w:rPr>
          <w:rtl w:val="true"/>
        </w:rPr>
        <w:t xml:space="preserve">, </w:t>
      </w:r>
      <w:r>
        <w:rPr>
          <w:rtl w:val="true"/>
        </w:rPr>
        <w:t>כפי שמורה הסעיף</w:t>
      </w:r>
      <w:r>
        <w:rPr>
          <w:rtl w:val="true"/>
        </w:rPr>
        <w:t xml:space="preserve">. </w:t>
      </w:r>
      <w:r>
        <w:rPr>
          <w:rtl w:val="true"/>
        </w:rPr>
        <w:t>קור רוח של מבצע העבירה אמנם יכול לשמש במקרים מסוימים כאינדיקציה לכך שמעשה ההמתה אינו תוצר של התפרצות ספונטאנית</w:t>
      </w:r>
      <w:r>
        <w:rPr>
          <w:rtl w:val="true"/>
        </w:rPr>
        <w:t xml:space="preserve">, </w:t>
      </w:r>
      <w:r>
        <w:rPr>
          <w:rtl w:val="true"/>
        </w:rPr>
        <w:t>אולם בנסיבות שלפנינו אין בכוחו לבסס קביעה כי מעשיו של המערער נכנסים לגדרי הנסיבה המחמירה האמורה</w:t>
      </w:r>
      <w:r>
        <w:rPr>
          <w:rtl w:val="true"/>
        </w:rPr>
        <w:t xml:space="preserve">. </w:t>
      </w:r>
      <w:r>
        <w:rPr>
          <w:rtl w:val="true"/>
        </w:rPr>
        <w:t>לא כל שכן בהינתן שלשיטת המשיבה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החלטת המערער להמית את המנוחה התגבשה בעקבות הוויכוח</w:t>
      </w:r>
      <w:r>
        <w:rPr>
          <w:rtl w:val="true"/>
        </w:rPr>
        <w:t xml:space="preserve">, </w:t>
      </w:r>
      <w:r>
        <w:rPr>
          <w:rtl w:val="true"/>
        </w:rPr>
        <w:t>ולא קודם לכן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המסקנה מן האמור לעיל היא שלא הוכח כי נסיבה מחמירה זו</w:t>
      </w:r>
      <w:r>
        <w:rPr>
          <w:rtl w:val="true"/>
        </w:rPr>
        <w:t xml:space="preserve">, </w:t>
      </w:r>
      <w:r>
        <w:rPr>
          <w:rtl w:val="true"/>
        </w:rPr>
        <w:t xml:space="preserve">שלפיה </w:t>
      </w:r>
      <w:r>
        <w:rPr>
          <w:rtl w:val="true"/>
        </w:rPr>
        <w:t>המעשה נעשה לאחר תכנון או לאחר הליך ממשי של שקילה וגיבוש החלטה להמית</w:t>
      </w:r>
      <w:r>
        <w:rPr>
          <w:rtl w:val="true"/>
        </w:rPr>
        <w:t xml:space="preserve">, </w:t>
      </w:r>
      <w:r>
        <w:rPr>
          <w:rtl w:val="true"/>
        </w:rPr>
        <w:t>מתקיימת</w:t>
      </w:r>
      <w:r>
        <w:rPr>
          <w:rtl w:val="true"/>
        </w:rPr>
        <w:t xml:space="preserve">. </w:t>
      </w:r>
      <w:r>
        <w:rPr>
          <w:rtl w:val="true"/>
        </w:rPr>
        <w:t>המקרה שלפנינו הוא אחד מהמקרים שהרפורמה ביקשה להוציא מגדרי עבירת רצח שנעשה ב</w:t>
      </w:r>
      <w:r>
        <w:rPr>
          <w:rtl w:val="true"/>
        </w:rPr>
        <w:t>"</w:t>
      </w:r>
      <w:r>
        <w:rPr>
          <w:rtl w:val="true"/>
        </w:rPr>
        <w:t>כוונה תחילה</w:t>
      </w:r>
      <w:r>
        <w:rPr>
          <w:rtl w:val="true"/>
        </w:rPr>
        <w:t xml:space="preserve">", </w:t>
      </w:r>
      <w:r>
        <w:rPr>
          <w:rtl w:val="true"/>
        </w:rPr>
        <w:t>ולהכניסם לגדרי עבירת הרצח הבסיסית</w:t>
      </w:r>
      <w:r>
        <w:rPr>
          <w:rtl w:val="true"/>
        </w:rPr>
        <w:t xml:space="preserve">. </w:t>
      </w:r>
      <w:r>
        <w:rPr>
          <w:rtl w:val="true"/>
        </w:rPr>
        <w:t>לצורך מסקנתי זו</w:t>
      </w:r>
      <w:r>
        <w:rPr>
          <w:rtl w:val="true"/>
        </w:rPr>
        <w:t xml:space="preserve">, </w:t>
      </w:r>
      <w:r>
        <w:rPr>
          <w:rtl w:val="true"/>
        </w:rPr>
        <w:t>אף איני נדרש להתייחס למצבו הנפשי של המערער והשפעתו</w:t>
      </w:r>
      <w:r>
        <w:rPr>
          <w:rtl w:val="true"/>
        </w:rPr>
        <w:t xml:space="preserve">, </w:t>
      </w:r>
      <w:r>
        <w:rPr>
          <w:rtl w:val="true"/>
        </w:rPr>
        <w:t>ככל שישנה</w:t>
      </w:r>
      <w:r>
        <w:rPr>
          <w:rtl w:val="true"/>
        </w:rPr>
        <w:t xml:space="preserve">, </w:t>
      </w:r>
      <w:r>
        <w:rPr>
          <w:rtl w:val="true"/>
        </w:rPr>
        <w:t>על תחולת הנסיבה המחמירה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נסיבה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מורא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ולכפות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אורחות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ציבור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נסיבה זו טרם נדונה בהרחבה בפסיקת בית משפט זה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אעמוד כעת על תכליתה ועל כוונת המחוקק כפי שהיא משתקפת מהליך חקיקתה</w:t>
      </w:r>
      <w:r>
        <w:rPr>
          <w:rtl w:val="true"/>
        </w:rPr>
        <w:t xml:space="preserve">. </w:t>
      </w:r>
      <w:r>
        <w:rPr>
          <w:rtl w:val="true"/>
        </w:rPr>
        <w:t>החומרה היתרה המגולמת במעשי המתה בנסיבות אלו נובעת מכך שהמעשה אינו פוגע בקרבן בלבד</w:t>
      </w:r>
      <w:r>
        <w:rPr>
          <w:rtl w:val="true"/>
        </w:rPr>
        <w:t xml:space="preserve">, </w:t>
      </w:r>
      <w:r>
        <w:rPr>
          <w:rtl w:val="true"/>
        </w:rPr>
        <w:t>אלא נעשה כדי לכפות דרך התנהגות על אנשים נוספים השייכים לאותו ציבור שאליו משתייך הקרבן</w:t>
      </w:r>
      <w:r>
        <w:rPr>
          <w:rtl w:val="true"/>
        </w:rPr>
        <w:t xml:space="preserve">, </w:t>
      </w:r>
      <w:r>
        <w:rPr>
          <w:rtl w:val="true"/>
        </w:rPr>
        <w:t xml:space="preserve">ולהביא להגבלת חירותם ולהשפלתם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172</w:t>
      </w:r>
      <w:r>
        <w:rPr>
          <w:rtl w:val="true"/>
        </w:rPr>
        <w:t xml:space="preserve">). </w:t>
      </w:r>
      <w:r>
        <w:rPr>
          <w:rtl w:val="true"/>
        </w:rPr>
        <w:t xml:space="preserve">הובהר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המובהקים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תתקיים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המשפחה</w:t>
      </w:r>
      <w:r>
        <w:rPr>
          <w:rtl w:val="true"/>
        </w:rPr>
        <w:t>'" (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על תכליתה של נסיבה מחמירה זו עמדו המלומדים קרמניצר וגנאים בספרם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'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הקיים</w:t>
      </w:r>
      <w:r>
        <w:rPr>
          <w:rtl w:val="true"/>
        </w:rPr>
        <w:t xml:space="preserve">. </w:t>
      </w:r>
      <w:r>
        <w:rPr>
          <w:rtl w:val="true"/>
        </w:rPr>
        <w:t>בסדר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הפרתן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קרמניצר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וגנאים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eastAsia="Arial TUR;Arial" w:cs="Arial TUR;Arial"/>
          <w:rtl w:val="true"/>
        </w:rPr>
        <w:t xml:space="preserve"> </w:t>
      </w:r>
      <w:r>
        <w:rPr/>
        <w:t>316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tl w:val="true"/>
        </w:rPr>
        <w:t>פ</w:t>
      </w:r>
      <w:r>
        <w:rPr>
          <w:rtl w:val="true"/>
        </w:rPr>
        <w:t>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ישיבה</w:t>
      </w:r>
      <w:r>
        <w:rPr>
          <w:rFonts w:eastAsia="Arial TUR;Arial" w:cs="Arial TUR;Arial"/>
          <w:rtl w:val="true"/>
        </w:rPr>
        <w:t xml:space="preserve"> </w:t>
      </w:r>
      <w:r>
        <w:rPr/>
        <w:t>505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ומשפט</w:t>
      </w:r>
      <w:r>
        <w:rPr>
          <w:rtl w:val="true"/>
        </w:rPr>
        <w:t xml:space="preserve">,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/>
        <w:t>3-2</w:t>
      </w:r>
      <w:r>
        <w:rPr>
          <w:rtl w:val="true"/>
        </w:rPr>
        <w:t xml:space="preserve"> (</w:t>
      </w:r>
      <w:r>
        <w:rPr/>
        <w:t>12.12.2017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505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אף אני ציינתי לאחרונה בהקשר זה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ההצהרתי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מזעזעת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" (</w:t>
      </w:r>
      <w:hyperlink r:id="rId9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6322/20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18.9.2022</w:t>
      </w:r>
      <w:r>
        <w:rPr>
          <w:rtl w:val="true"/>
        </w:rPr>
        <w:t>)‏</w:t>
      </w:r>
      <w:r>
        <w:rPr>
          <w:rtl w:val="true"/>
        </w:rPr>
        <w:t xml:space="preserve">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רחאל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משעמדתי על תכלית הנסיבה ועל הערכים המוגנים שבבסיסה</w:t>
      </w:r>
      <w:r>
        <w:rPr>
          <w:rtl w:val="true"/>
        </w:rPr>
        <w:t xml:space="preserve">, </w:t>
      </w:r>
      <w:r>
        <w:rPr>
          <w:rtl w:val="true"/>
        </w:rPr>
        <w:t>יש להידרש לרכיביה</w:t>
      </w:r>
      <w:r>
        <w:rPr>
          <w:rtl w:val="true"/>
        </w:rPr>
        <w:t xml:space="preserve">. </w:t>
      </w:r>
      <w:r>
        <w:rPr>
          <w:rtl w:val="true"/>
        </w:rPr>
        <w:t xml:space="preserve">נסיבה מחמירה זו כוללת למעשה שני רכיבים נפרדים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המעשה נעשה כפעולה עונשית</w:t>
      </w:r>
      <w:r>
        <w:rPr>
          <w:rtl w:val="true"/>
        </w:rPr>
        <w:t xml:space="preserve">";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 xml:space="preserve">יסוד נפשי שלפיו אותה פעולה עונשית נעשתה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במטרה</w:t>
      </w:r>
      <w:r>
        <w:rPr>
          <w:rtl w:val="true"/>
        </w:rPr>
        <w:t xml:space="preserve"> להטיל מרות או מורא </w:t>
      </w:r>
      <w:r>
        <w:rPr>
          <w:rtl w:val="true"/>
        </w:rPr>
        <w:t>ולכפות אורחות התנהגות על ציבור</w:t>
      </w:r>
      <w:r>
        <w:rPr>
          <w:rtl w:val="true"/>
        </w:rPr>
        <w:t xml:space="preserve">". </w:t>
      </w:r>
      <w:r>
        <w:rPr>
          <w:rtl w:val="true"/>
        </w:rPr>
        <w:t>מדובר ברכיב מסוג מטרה</w:t>
      </w:r>
      <w:r>
        <w:rPr>
          <w:rtl w:val="true"/>
        </w:rPr>
        <w:t xml:space="preserve">, </w:t>
      </w:r>
      <w:r>
        <w:rPr>
          <w:rtl w:val="true"/>
        </w:rPr>
        <w:t>המתאר את רצון המבצע להשגת יעד מסוים</w:t>
      </w:r>
      <w:r>
        <w:rPr>
          <w:rtl w:val="true"/>
        </w:rPr>
        <w:t xml:space="preserve">, </w:t>
      </w:r>
      <w:r>
        <w:rPr>
          <w:rtl w:val="true"/>
        </w:rPr>
        <w:t xml:space="preserve">אשר אינו חלק מרכיביה העובדתיים של העבירה </w:t>
      </w:r>
      <w:r>
        <w:rPr>
          <w:rtl w:val="true"/>
        </w:rPr>
        <w:t>(</w:t>
      </w:r>
      <w:r>
        <w:rPr>
          <w:rtl w:val="true"/>
        </w:rPr>
        <w:t xml:space="preserve">יורם רבין ויניב ואקי </w:t>
      </w:r>
      <w:hyperlink r:id="rId97"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עונשין</w:t>
        </w:r>
      </w:hyperlink>
      <w:r>
        <w:rPr>
          <w:rtl w:val="true"/>
        </w:rPr>
        <w:t xml:space="preserve"> כרך א </w:t>
      </w:r>
      <w:r>
        <w:rPr/>
        <w:t>416</w:t>
      </w:r>
      <w:r>
        <w:rPr>
          <w:rtl w:val="true"/>
        </w:rPr>
        <w:t xml:space="preserve"> (</w:t>
      </w:r>
      <w:r>
        <w:rPr>
          <w:rtl w:val="true"/>
        </w:rPr>
        <w:t>מהדורה שלישית</w:t>
      </w:r>
      <w:r>
        <w:rPr>
          <w:rtl w:val="true"/>
        </w:rPr>
        <w:t xml:space="preserve">, </w:t>
      </w:r>
      <w:r>
        <w:rPr/>
        <w:t>2014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ניתן אפוא לתאר את הנסיבה כמתייחסת לשני מעגלים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מעגל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פנימי</w:t>
      </w:r>
      <w:r>
        <w:rPr>
          <w:rtl w:val="true"/>
        </w:rPr>
        <w:t xml:space="preserve">, </w:t>
      </w:r>
      <w:r>
        <w:rPr>
          <w:rtl w:val="true"/>
        </w:rPr>
        <w:t>שבו מדובר על כך שמעשה ההמתה בוצע כאקט עונשי</w:t>
      </w:r>
      <w:r>
        <w:rPr>
          <w:rtl w:val="true"/>
        </w:rPr>
        <w:t xml:space="preserve">, </w:t>
      </w:r>
      <w:r>
        <w:rPr>
          <w:rtl w:val="true"/>
        </w:rPr>
        <w:t>בגדר ענישה פרטית של הרוצח כלפי הקורבן</w:t>
      </w:r>
      <w:r>
        <w:rPr>
          <w:rtl w:val="true"/>
        </w:rPr>
        <w:t xml:space="preserve">, </w:t>
      </w:r>
      <w:r>
        <w:rPr>
          <w:rtl w:val="true"/>
        </w:rPr>
        <w:t xml:space="preserve">המבוסס על תפיסה תרבותית או אידיאולוגית כזו או אחרת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קרמניצר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וגנאים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315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ומעגל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חיצוני</w:t>
      </w:r>
      <w:r>
        <w:rPr>
          <w:rtl w:val="true"/>
        </w:rPr>
        <w:t xml:space="preserve">, </w:t>
      </w:r>
      <w:r>
        <w:rPr>
          <w:rtl w:val="true"/>
        </w:rPr>
        <w:t xml:space="preserve">אשר בא לידי ביטוי בדרישה כי המתת הקורבן נעשתה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במטרה</w:t>
      </w:r>
      <w:r>
        <w:rPr>
          <w:rtl w:val="true"/>
        </w:rPr>
        <w:t xml:space="preserve"> להטיל מרות או מורא </w:t>
      </w:r>
      <w:r>
        <w:rPr>
          <w:rtl w:val="true"/>
        </w:rPr>
        <w:t>ולכפות אורחות התנהגות על ציבור</w:t>
      </w:r>
      <w:r>
        <w:rPr>
          <w:rtl w:val="true"/>
        </w:rPr>
        <w:t xml:space="preserve">. </w:t>
      </w:r>
      <w:r>
        <w:rPr>
          <w:rtl w:val="true"/>
        </w:rPr>
        <w:t>במסגרת המעגל החיצוני</w:t>
      </w:r>
      <w:r>
        <w:rPr>
          <w:rtl w:val="true"/>
        </w:rPr>
        <w:t xml:space="preserve">, </w:t>
      </w:r>
      <w:r>
        <w:rPr>
          <w:rtl w:val="true"/>
        </w:rPr>
        <w:t>המוקד אינו במישור היחסים שבין הרוצח לקורבן</w:t>
      </w:r>
      <w:r>
        <w:rPr>
          <w:rtl w:val="true"/>
        </w:rPr>
        <w:t xml:space="preserve">, </w:t>
      </w:r>
      <w:r>
        <w:rPr>
          <w:rtl w:val="true"/>
        </w:rPr>
        <w:t>אלא בין הרוצח למעגל הסביבתי הרחב יותר</w:t>
      </w:r>
      <w:r>
        <w:rPr>
          <w:rtl w:val="true"/>
        </w:rPr>
        <w:t xml:space="preserve">. </w:t>
      </w:r>
      <w:r>
        <w:rPr>
          <w:rtl w:val="true"/>
        </w:rPr>
        <w:t>על מנת שתחול נסיבה מחמירה זו</w:t>
      </w:r>
      <w:r>
        <w:rPr>
          <w:rtl w:val="true"/>
        </w:rPr>
        <w:t xml:space="preserve">, </w:t>
      </w:r>
      <w:r>
        <w:rPr>
          <w:rtl w:val="true"/>
        </w:rPr>
        <w:t>נדרש כי מבחינת המבצע הרצח נעשה במטרה להשפיע על אחרים</w:t>
      </w:r>
      <w:r>
        <w:rPr>
          <w:rtl w:val="true"/>
        </w:rPr>
        <w:t xml:space="preserve">: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ציבור</w:t>
      </w:r>
      <w:r>
        <w:rPr>
          <w:rtl w:val="true"/>
        </w:rPr>
        <w:t xml:space="preserve">". </w:t>
      </w:r>
      <w:r>
        <w:rPr>
          <w:rtl w:val="true"/>
        </w:rPr>
        <w:t>במילים אחרות</w:t>
      </w:r>
      <w:r>
        <w:rPr>
          <w:rtl w:val="true"/>
        </w:rPr>
        <w:t xml:space="preserve">, </w:t>
      </w:r>
      <w:r>
        <w:rPr>
          <w:rtl w:val="true"/>
        </w:rPr>
        <w:t>נדרש כי הרצח יבוצע</w:t>
      </w:r>
      <w:r>
        <w:rPr>
          <w:rtl w:val="true"/>
        </w:rPr>
        <w:t xml:space="preserve">, </w:t>
      </w:r>
      <w:r>
        <w:rPr>
          <w:rtl w:val="true"/>
        </w:rPr>
        <w:t>מבחינת המבצע</w:t>
      </w:r>
      <w:r>
        <w:rPr>
          <w:rtl w:val="true"/>
        </w:rPr>
        <w:t>, "</w:t>
      </w:r>
      <w:r>
        <w:rPr>
          <w:rtl w:val="true"/>
        </w:rPr>
        <w:t>למען יראו וייראו</w:t>
      </w:r>
      <w:r>
        <w:rPr>
          <w:rtl w:val="true"/>
        </w:rPr>
        <w:t xml:space="preserve">".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מיהו אותו </w:t>
      </w:r>
      <w:r>
        <w:rPr>
          <w:rtl w:val="true"/>
        </w:rPr>
        <w:t>"</w:t>
      </w:r>
      <w:r>
        <w:rPr>
          <w:rtl w:val="true"/>
        </w:rPr>
        <w:t>ציבור</w:t>
      </w:r>
      <w:r>
        <w:rPr>
          <w:rtl w:val="true"/>
        </w:rPr>
        <w:t xml:space="preserve">" </w:t>
      </w:r>
      <w:r>
        <w:rPr>
          <w:rtl w:val="true"/>
        </w:rPr>
        <w:t>הנזכר בסעיף</w:t>
      </w:r>
      <w:r>
        <w:rPr>
          <w:rtl w:val="true"/>
        </w:rPr>
        <w:t xml:space="preserve">? </w:t>
      </w:r>
      <w:r>
        <w:rPr>
          <w:rtl w:val="true"/>
        </w:rPr>
        <w:t xml:space="preserve">המונח </w:t>
      </w:r>
      <w:r>
        <w:rPr>
          <w:rtl w:val="true"/>
        </w:rPr>
        <w:t>"</w:t>
      </w:r>
      <w:r>
        <w:rPr>
          <w:rtl w:val="true"/>
        </w:rPr>
        <w:t>ציבור</w:t>
      </w:r>
      <w:r>
        <w:rPr>
          <w:rtl w:val="true"/>
        </w:rPr>
        <w:t xml:space="preserve">" </w:t>
      </w:r>
      <w:r>
        <w:rPr>
          <w:rtl w:val="true"/>
        </w:rPr>
        <w:t xml:space="preserve">מוגדר </w:t>
      </w:r>
      <w:hyperlink r:id="rId9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כד</w:t>
        </w:r>
      </w:hyperlink>
      <w:r>
        <w:rPr>
          <w:rtl w:val="true"/>
        </w:rPr>
        <w:t xml:space="preserve"> לחוק</w:t>
      </w:r>
      <w:r>
        <w:rPr>
          <w:rtl w:val="true"/>
        </w:rPr>
        <w:t>: 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ציבור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להיפגע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שעליה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בהקשרו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מונח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tl w:val="true"/>
        </w:rPr>
        <w:t xml:space="preserve">". </w:t>
      </w:r>
      <w:r>
        <w:rPr>
          <w:rtl w:val="true"/>
        </w:rPr>
        <w:t xml:space="preserve">העמדה שהוצגה בדיוני ועדת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 ומשפט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הוועדה</w:t>
      </w:r>
      <w:r>
        <w:rPr>
          <w:rtl w:val="true"/>
        </w:rPr>
        <w:t xml:space="preserve">), </w:t>
      </w:r>
      <w:r>
        <w:rPr>
          <w:rtl w:val="true"/>
        </w:rPr>
        <w:t xml:space="preserve">הייתה כי די בכך שהרצח נעשה כדי להטיל מרות או מורא </w:t>
      </w:r>
      <w:r>
        <w:rPr>
          <w:rtl w:val="true"/>
        </w:rPr>
        <w:t xml:space="preserve">ולכפות אורחות התנהגות על </w:t>
      </w:r>
      <w:r>
        <w:rPr>
          <w:rtl w:val="true"/>
        </w:rPr>
        <w:t>אדם אחר</w:t>
      </w:r>
      <w:r>
        <w:rPr>
          <w:rtl w:val="true"/>
        </w:rPr>
        <w:t xml:space="preserve">, </w:t>
      </w:r>
      <w:r>
        <w:rPr>
          <w:rtl w:val="true"/>
        </w:rPr>
        <w:t>גם אם אחד בלבד</w:t>
      </w:r>
      <w:r>
        <w:rPr>
          <w:rtl w:val="true"/>
        </w:rPr>
        <w:t xml:space="preserve">, </w:t>
      </w:r>
      <w:r>
        <w:rPr>
          <w:rtl w:val="true"/>
        </w:rPr>
        <w:t xml:space="preserve">כדי לקיים את דרישת הסעיף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 xml:space="preserve">רוטוקול ישיבה </w:t>
      </w:r>
      <w:r>
        <w:rPr/>
        <w:t>544</w:t>
      </w:r>
      <w:r>
        <w:rPr>
          <w:rtl w:val="true"/>
        </w:rPr>
        <w:t xml:space="preserve"> </w:t>
      </w:r>
      <w:r>
        <w:rPr>
          <w:rtl w:val="true"/>
        </w:rPr>
        <w:t>של ועדת החוקה</w:t>
      </w:r>
      <w:r>
        <w:rPr>
          <w:rtl w:val="true"/>
        </w:rPr>
        <w:t xml:space="preserve">, </w:t>
      </w:r>
      <w:r>
        <w:rPr>
          <w:rtl w:val="true"/>
        </w:rPr>
        <w:t>חוק ומשפט</w:t>
      </w:r>
      <w:r>
        <w:rPr>
          <w:rtl w:val="true"/>
        </w:rPr>
        <w:t xml:space="preserve">, </w:t>
      </w:r>
      <w:r>
        <w:rPr>
          <w:rtl w:val="true"/>
        </w:rPr>
        <w:t>הכנסת 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(</w:t>
      </w:r>
      <w:r>
        <w:rPr/>
        <w:t>5.2.2018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544</w:t>
      </w:r>
      <w:r>
        <w:rPr>
          <w:rtl w:val="true"/>
        </w:rPr>
        <w:t xml:space="preserve">)); </w:t>
      </w:r>
      <w:r>
        <w:rPr>
          <w:rtl w:val="true"/>
        </w:rPr>
        <w:t>ומובן שאם מדובר ברצח של בת משפחה במטרה להשפיע על יתר בנות המשפחה כאמור בסעיף</w:t>
      </w:r>
      <w:r>
        <w:rPr>
          <w:rtl w:val="true"/>
        </w:rPr>
        <w:t xml:space="preserve">, </w:t>
      </w:r>
      <w:r>
        <w:rPr>
          <w:rtl w:val="true"/>
        </w:rPr>
        <w:t xml:space="preserve">יש בכך כדי לקיים את יסודות הסעיף </w:t>
      </w:r>
      <w:r>
        <w:rPr>
          <w:rtl w:val="true"/>
        </w:rPr>
        <w:t>(</w:t>
      </w:r>
      <w:r>
        <w:rPr>
          <w:rtl w:val="true"/>
        </w:rPr>
        <w:t xml:space="preserve">ישיבה </w:t>
      </w:r>
      <w:r>
        <w:rPr/>
        <w:t>505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27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 הליך חקיקת הרפורמה התקיים דיון מקיף מעמיק ויסודי באשר לנסיבה זו וניסוחה</w:t>
      </w:r>
      <w:r>
        <w:rPr>
          <w:rtl w:val="true"/>
        </w:rPr>
        <w:t xml:space="preserve">. </w:t>
      </w:r>
      <w:r>
        <w:rPr>
          <w:rtl w:val="true"/>
        </w:rPr>
        <w:t>שאלה מרכזית שנדונה בוועדה</w:t>
      </w:r>
      <w:r>
        <w:rPr>
          <w:rtl w:val="true"/>
        </w:rPr>
        <w:t xml:space="preserve">, </w:t>
      </w:r>
      <w:r>
        <w:rPr>
          <w:rtl w:val="true"/>
        </w:rPr>
        <w:t>היא האם ראוי שהנסיבה תחול על מקרה שבו הרצח מבוצע כפעולה עונשית</w:t>
      </w:r>
      <w:r>
        <w:rPr>
          <w:rtl w:val="true"/>
        </w:rPr>
        <w:t xml:space="preserve">, </w:t>
      </w:r>
      <w:r>
        <w:rPr>
          <w:rtl w:val="true"/>
        </w:rPr>
        <w:t>מבלי שהמבצע חפץ להשפיע באמצעות רצח זה על הציבור</w:t>
      </w:r>
      <w:r>
        <w:rPr>
          <w:rtl w:val="true"/>
        </w:rPr>
        <w:t xml:space="preserve">.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מה דינם של מקרים שבהם מתקיים ה</w:t>
      </w:r>
      <w:r>
        <w:rPr>
          <w:rtl w:val="true"/>
        </w:rPr>
        <w:t>"</w:t>
      </w:r>
      <w:r>
        <w:rPr>
          <w:rtl w:val="true"/>
        </w:rPr>
        <w:t>מעגל הפנימי</w:t>
      </w:r>
      <w:r>
        <w:rPr>
          <w:rtl w:val="true"/>
        </w:rPr>
        <w:t xml:space="preserve">"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אולם לא מתקיים היסוד הנפשי הקבוע ביחס ל</w:t>
      </w:r>
      <w:r>
        <w:rPr>
          <w:rtl w:val="true"/>
        </w:rPr>
        <w:t>"</w:t>
      </w:r>
      <w:r>
        <w:rPr>
          <w:rtl w:val="true"/>
        </w:rPr>
        <w:t>מעגל החיצוני</w:t>
      </w:r>
      <w:r>
        <w:rPr>
          <w:rtl w:val="true"/>
        </w:rPr>
        <w:t xml:space="preserve">". </w:t>
      </w:r>
      <w:r>
        <w:rPr>
          <w:rtl w:val="true"/>
        </w:rPr>
        <w:t xml:space="preserve">הדעה אשר נשמעה בדיוני הוועדה הייתה כי במקרה כזה אין כוונה להחיל את הנסיבה המחמירה </w:t>
      </w:r>
      <w:r>
        <w:rPr>
          <w:rtl w:val="true"/>
        </w:rPr>
        <w:t>(</w:t>
      </w:r>
      <w:r>
        <w:rPr>
          <w:rtl w:val="true"/>
        </w:rPr>
        <w:t xml:space="preserve">ישיבה </w:t>
      </w:r>
      <w:r>
        <w:rPr/>
        <w:t>505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24</w:t>
      </w:r>
      <w:r>
        <w:rPr>
          <w:rtl w:val="true"/>
        </w:rPr>
        <w:t xml:space="preserve">). </w:t>
      </w:r>
      <w:r>
        <w:rPr>
          <w:rtl w:val="true"/>
        </w:rPr>
        <w:t>כפי שבא לידי ביטוי גם בדברי יו</w:t>
      </w:r>
      <w:r>
        <w:rPr>
          <w:rtl w:val="true"/>
        </w:rPr>
        <w:t>"</w:t>
      </w:r>
      <w:r>
        <w:rPr>
          <w:rtl w:val="true"/>
        </w:rPr>
        <w:t>ר הוועדה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בהתחלה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נשואה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המחמירות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>" (</w:t>
      </w:r>
      <w:r>
        <w:rPr>
          <w:rtl w:val="true"/>
        </w:rPr>
        <w:t>פ</w:t>
      </w:r>
      <w:r>
        <w:rPr>
          <w:rtl w:val="true"/>
        </w:rPr>
        <w:t>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ישיבה</w:t>
      </w:r>
      <w:r>
        <w:rPr>
          <w:rFonts w:eastAsia="Arial TUR;Arial" w:cs="Arial TUR;Arial"/>
          <w:rtl w:val="true"/>
        </w:rPr>
        <w:t xml:space="preserve"> </w:t>
      </w:r>
      <w:r>
        <w:rPr/>
        <w:t>527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ומשפט</w:t>
      </w:r>
      <w:r>
        <w:rPr>
          <w:rtl w:val="true"/>
        </w:rPr>
        <w:t xml:space="preserve">,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23.1.2018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527</w:t>
      </w:r>
      <w:r>
        <w:rPr>
          <w:rtl w:val="true"/>
        </w:rPr>
        <w:t xml:space="preserve">);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; </w:t>
      </w:r>
      <w:r>
        <w:rPr>
          <w:rtl w:val="true"/>
        </w:rPr>
        <w:t>פ</w:t>
      </w:r>
      <w:r>
        <w:rPr>
          <w:rtl w:val="true"/>
        </w:rPr>
        <w:t>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ישיבה</w:t>
      </w:r>
      <w:r>
        <w:rPr>
          <w:rFonts w:eastAsia="Arial TUR;Arial" w:cs="Arial TUR;Arial"/>
          <w:rtl w:val="true"/>
        </w:rPr>
        <w:t xml:space="preserve"> </w:t>
      </w:r>
      <w:r>
        <w:rPr/>
        <w:t>732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ומשפט</w:t>
      </w:r>
      <w:r>
        <w:rPr>
          <w:rtl w:val="true"/>
        </w:rPr>
        <w:t xml:space="preserve">,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(</w:t>
      </w:r>
      <w:r>
        <w:rPr/>
        <w:t>12.12.2018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סלומינסקי</w:t>
      </w:r>
      <w:r>
        <w:rPr>
          <w:rtl w:val="true"/>
        </w:rPr>
        <w:t>:</w:t>
      </w:r>
      <w:r>
        <w:rPr>
          <w:rtl w:val="true"/>
        </w:rPr>
        <w:t xml:space="preserve"> [...]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מסביב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[...]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? [...]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לילך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וגנר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"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הספציפי</w:t>
      </w:r>
      <w:r>
        <w:rPr>
          <w:rtl w:val="true"/>
        </w:rPr>
        <w:t xml:space="preserve">. [...]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אובייקטיבי</w:t>
      </w:r>
      <w:r>
        <w:rPr>
          <w:rtl w:val="true"/>
        </w:rPr>
        <w:t>" (</w:t>
      </w:r>
      <w:r>
        <w:rPr>
          <w:rtl w:val="true"/>
        </w:rPr>
        <w:t>ישיבה</w:t>
      </w:r>
      <w:r>
        <w:rPr>
          <w:rFonts w:eastAsia="Arial TUR;Arial" w:cs="Arial TUR;Arial"/>
          <w:rtl w:val="true"/>
        </w:rPr>
        <w:t xml:space="preserve"> </w:t>
      </w:r>
      <w:r>
        <w:rPr/>
        <w:t>527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הוועדה העלה סוגיה זו פעם נוספת</w:t>
      </w:r>
      <w:r>
        <w:rPr>
          <w:rtl w:val="true"/>
        </w:rPr>
        <w:t xml:space="preserve">, </w:t>
      </w:r>
      <w:r>
        <w:rPr>
          <w:rtl w:val="true"/>
        </w:rPr>
        <w:t>אל מול נציגי הסניגוריה הציבורית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סלומינסקי</w:t>
      </w:r>
      <w:r>
        <w:rPr>
          <w:rtl w:val="true"/>
        </w:rPr>
        <w:t>:</w:t>
      </w:r>
      <w:r>
        <w:rPr>
          <w:rtl w:val="true"/>
        </w:rPr>
        <w:t xml:space="preserve"> [...]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בהריון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נשואה</w:t>
      </w:r>
      <w:r>
        <w:rPr>
          <w:rtl w:val="true"/>
        </w:rPr>
        <w:t xml:space="preserve">, </w:t>
      </w:r>
      <w:r>
        <w:rPr>
          <w:rtl w:val="true"/>
        </w:rPr>
        <w:t>תקע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. [...]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בהריון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?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tl w:val="true"/>
        </w:rPr>
        <w:t xml:space="preserve"> </w:t>
      </w:r>
      <w:r>
        <w:rPr>
          <w:rtl w:val="true"/>
        </w:rPr>
        <w:t>פתאום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סלומינסקי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במטבח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? [...]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tl w:val="true"/>
        </w:rPr>
        <w:t xml:space="preserve">, </w:t>
      </w:r>
      <w:r>
        <w:rPr>
          <w:rtl w:val="true"/>
        </w:rPr>
        <w:t>גיבוש</w:t>
      </w:r>
      <w:r>
        <w:rPr>
          <w:rtl w:val="true"/>
        </w:rPr>
        <w:t xml:space="preserve">, </w:t>
      </w:r>
      <w:r>
        <w:rPr>
          <w:rtl w:val="true"/>
        </w:rPr>
        <w:t>החלטה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>. [...]"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בעמודים</w:t>
      </w:r>
      <w:r>
        <w:rPr>
          <w:rFonts w:eastAsia="Arial TUR;Arial" w:cs="Arial TUR;Arial"/>
          <w:rtl w:val="true"/>
        </w:rPr>
        <w:t xml:space="preserve"> </w:t>
      </w:r>
      <w:r>
        <w:rPr/>
        <w:t>15-14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רקע דברים אלו</w:t>
      </w:r>
      <w:r>
        <w:rPr>
          <w:rtl w:val="true"/>
        </w:rPr>
        <w:t xml:space="preserve">, </w:t>
      </w:r>
      <w:r>
        <w:rPr>
          <w:rtl w:val="true"/>
        </w:rPr>
        <w:t>עלה חשש כי היסוד הנפשי אשר הוצע מצר</w:t>
      </w:r>
      <w:r>
        <w:rPr>
          <w:rtl w:val="true"/>
        </w:rPr>
        <w:t xml:space="preserve">, </w:t>
      </w:r>
      <w:r>
        <w:rPr>
          <w:rtl w:val="true"/>
        </w:rPr>
        <w:t>יתר על המידה</w:t>
      </w:r>
      <w:r>
        <w:rPr>
          <w:rtl w:val="true"/>
        </w:rPr>
        <w:t xml:space="preserve">, </w:t>
      </w:r>
      <w:r>
        <w:rPr>
          <w:rtl w:val="true"/>
        </w:rPr>
        <w:t xml:space="preserve">את גדרי נסיבה זו לנוכח הקושי הראייתי להוכיח את התקיימותו </w:t>
      </w:r>
      <w:r>
        <w:rPr>
          <w:rtl w:val="true"/>
        </w:rPr>
        <w:t>(</w:t>
      </w:r>
      <w:r>
        <w:rPr>
          <w:rtl w:val="true"/>
        </w:rPr>
        <w:t xml:space="preserve">ישיבה </w:t>
      </w:r>
      <w:r>
        <w:rPr/>
        <w:t>527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19</w:t>
      </w:r>
      <w:r>
        <w:rPr>
          <w:rtl w:val="true"/>
        </w:rPr>
        <w:t xml:space="preserve">; </w:t>
      </w:r>
      <w:r>
        <w:rPr>
          <w:rtl w:val="true"/>
        </w:rPr>
        <w:t xml:space="preserve">ישיבה </w:t>
      </w:r>
      <w:r>
        <w:rPr/>
        <w:t>544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 xml:space="preserve">הוצע להחליף את המילה </w:t>
      </w:r>
      <w:r>
        <w:rPr>
          <w:rtl w:val="true"/>
        </w:rPr>
        <w:t>"</w:t>
      </w:r>
      <w:r>
        <w:rPr>
          <w:rtl w:val="true"/>
        </w:rPr>
        <w:t>במטרה</w:t>
      </w:r>
      <w:r>
        <w:rPr>
          <w:rtl w:val="true"/>
        </w:rPr>
        <w:t xml:space="preserve">" </w:t>
      </w:r>
      <w:r>
        <w:rPr>
          <w:rtl w:val="true"/>
        </w:rPr>
        <w:t xml:space="preserve">במילים </w:t>
      </w:r>
      <w:r>
        <w:rPr>
          <w:rtl w:val="true"/>
        </w:rPr>
        <w:t>"</w:t>
      </w:r>
      <w:r>
        <w:rPr>
          <w:rtl w:val="true"/>
        </w:rPr>
        <w:t>שיש בו כדי</w:t>
      </w:r>
      <w:r>
        <w:rPr>
          <w:rtl w:val="true"/>
        </w:rPr>
        <w:t>" (</w:t>
      </w:r>
      <w:r>
        <w:rPr>
          <w:rtl w:val="true"/>
        </w:rPr>
        <w:t xml:space="preserve">ישיבה </w:t>
      </w:r>
      <w:r>
        <w:rPr/>
        <w:t>527</w:t>
      </w:r>
      <w:r>
        <w:rPr>
          <w:rtl w:val="true"/>
        </w:rPr>
        <w:t xml:space="preserve">, </w:t>
      </w:r>
      <w:r>
        <w:rPr>
          <w:rtl w:val="true"/>
        </w:rPr>
        <w:t xml:space="preserve">בעמודים </w:t>
      </w:r>
      <w:r>
        <w:rPr/>
        <w:t>11-10</w:t>
      </w:r>
      <w:r>
        <w:rPr>
          <w:rtl w:val="true"/>
        </w:rPr>
        <w:t xml:space="preserve">, </w:t>
      </w:r>
      <w:r>
        <w:rPr/>
        <w:t>20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חלף יסוד המטרה</w:t>
      </w:r>
      <w:r>
        <w:rPr>
          <w:rtl w:val="true"/>
        </w:rPr>
        <w:t xml:space="preserve">, </w:t>
      </w:r>
      <w:r>
        <w:rPr>
          <w:rtl w:val="true"/>
        </w:rPr>
        <w:t>הסובייקטיבי</w:t>
      </w:r>
      <w:r>
        <w:rPr>
          <w:rtl w:val="true"/>
        </w:rPr>
        <w:t xml:space="preserve">, </w:t>
      </w:r>
      <w:r>
        <w:rPr>
          <w:rtl w:val="true"/>
        </w:rPr>
        <w:t>נדרש להוכיח כי מדובר במעשה המתה שיש בו כדי</w:t>
      </w:r>
      <w:r>
        <w:rPr>
          <w:rtl w:val="true"/>
        </w:rPr>
        <w:t xml:space="preserve"> להטיל מרות או מורא ולכפות אורחות התנהגות על ציבור</w:t>
      </w:r>
      <w:r>
        <w:rPr>
          <w:rtl w:val="true"/>
        </w:rPr>
        <w:t xml:space="preserve">. </w:t>
      </w:r>
      <w:r>
        <w:rPr>
          <w:rtl w:val="true"/>
        </w:rPr>
        <w:t>בדרך זו</w:t>
      </w:r>
      <w:r>
        <w:rPr>
          <w:rtl w:val="true"/>
        </w:rPr>
        <w:t xml:space="preserve">, </w:t>
      </w:r>
      <w:r>
        <w:rPr>
          <w:rtl w:val="true"/>
        </w:rPr>
        <w:t>יוכנס אלמנט אובייקטיבי לנוסח הסעיף</w:t>
      </w:r>
      <w:r>
        <w:rPr>
          <w:rtl w:val="true"/>
        </w:rPr>
        <w:t xml:space="preserve">. </w:t>
      </w:r>
      <w:r>
        <w:rPr>
          <w:rtl w:val="true"/>
        </w:rPr>
        <w:t>הוועדה התחבטה באפשרות לבצע שינוי זה</w:t>
      </w:r>
      <w:r>
        <w:rPr>
          <w:rtl w:val="true"/>
        </w:rPr>
        <w:t xml:space="preserve">, </w:t>
      </w:r>
      <w:r>
        <w:rPr>
          <w:rtl w:val="true"/>
        </w:rPr>
        <w:t xml:space="preserve">תוך שהועלו חששות כי אימוצו ירחיב במידה ניכרת את הנסיבה המחמירה ויקשה על תיחומה </w:t>
      </w:r>
      <w:r>
        <w:rPr>
          <w:rtl w:val="true"/>
        </w:rPr>
        <w:t>(</w:t>
      </w:r>
      <w:r>
        <w:rPr>
          <w:rtl w:val="true"/>
        </w:rPr>
        <w:t xml:space="preserve">ישיבה </w:t>
      </w:r>
      <w:r>
        <w:rPr/>
        <w:t>527</w:t>
      </w:r>
      <w:r>
        <w:rPr>
          <w:rtl w:val="true"/>
        </w:rPr>
        <w:t xml:space="preserve">, </w:t>
      </w:r>
      <w:r>
        <w:rPr>
          <w:rtl w:val="true"/>
        </w:rPr>
        <w:t xml:space="preserve">בעמודים </w:t>
      </w:r>
      <w:r>
        <w:rPr/>
        <w:t>25-19</w:t>
      </w:r>
      <w:r>
        <w:rPr>
          <w:rtl w:val="true"/>
        </w:rPr>
        <w:t xml:space="preserve">). </w:t>
      </w:r>
      <w:r>
        <w:rPr>
          <w:rtl w:val="true"/>
        </w:rPr>
        <w:t>אף הובע חשש כי הרחבת הסעיף תיתפס כ</w:t>
      </w:r>
      <w:r>
        <w:rPr>
          <w:rtl w:val="true"/>
        </w:rPr>
        <w:t>"</w:t>
      </w:r>
      <w:r>
        <w:rPr>
          <w:rtl w:val="true"/>
        </w:rPr>
        <w:t>כהרחבה מגזרית</w:t>
      </w:r>
      <w:r>
        <w:rPr>
          <w:rtl w:val="true"/>
        </w:rPr>
        <w:t>": "</w:t>
      </w:r>
      <w:r>
        <w:rPr>
          <w:rtl w:val="true"/>
        </w:rPr>
        <w:t>אני חושש שהציבור הישראלי ככלל עלול לייחס את ה</w:t>
      </w:r>
      <w:r>
        <w:rPr>
          <w:rtl w:val="true"/>
        </w:rPr>
        <w:t>"</w:t>
      </w:r>
      <w:r>
        <w:rPr>
          <w:rtl w:val="true"/>
        </w:rPr>
        <w:t>שיש בו כדי</w:t>
      </w:r>
      <w:r>
        <w:rPr>
          <w:rtl w:val="true"/>
        </w:rPr>
        <w:t xml:space="preserve">" </w:t>
      </w:r>
      <w:r>
        <w:rPr>
          <w:rtl w:val="true"/>
        </w:rPr>
        <w:t>לכל רצח שהוא במגזר שבו נדמה לנו שהכול שם זה כבוד המשפחה וכו</w:t>
      </w:r>
      <w:r>
        <w:rPr>
          <w:rtl w:val="true"/>
        </w:rPr>
        <w:t xml:space="preserve">'. </w:t>
      </w:r>
      <w:r>
        <w:rPr>
          <w:rtl w:val="true"/>
        </w:rPr>
        <w:t>היה רצח במשפחה ערבית</w:t>
      </w:r>
      <w:r>
        <w:rPr>
          <w:rtl w:val="true"/>
        </w:rPr>
        <w:t xml:space="preserve">, </w:t>
      </w:r>
      <w:r>
        <w:rPr>
          <w:rtl w:val="true"/>
        </w:rPr>
        <w:t>כנראה שזה על כבוד המשפחה</w:t>
      </w:r>
      <w:r>
        <w:rPr>
          <w:rtl w:val="true"/>
        </w:rPr>
        <w:t xml:space="preserve">. </w:t>
      </w:r>
      <w:r>
        <w:rPr>
          <w:rtl w:val="true"/>
        </w:rPr>
        <w:t>צריך להיזהר מזה מאוד</w:t>
      </w:r>
      <w:r>
        <w:rPr>
          <w:rtl w:val="true"/>
        </w:rPr>
        <w:t xml:space="preserve">, </w:t>
      </w:r>
      <w:r>
        <w:rPr>
          <w:rtl w:val="true"/>
        </w:rPr>
        <w:t>זה צריך להיות אינדיבידואלי</w:t>
      </w:r>
      <w:r>
        <w:rPr>
          <w:rtl w:val="true"/>
        </w:rPr>
        <w:t xml:space="preserve">, </w:t>
      </w:r>
      <w:r>
        <w:rPr>
          <w:rtl w:val="true"/>
        </w:rPr>
        <w:t>המטרה של אותו מבצע</w:t>
      </w:r>
      <w:r>
        <w:rPr>
          <w:rtl w:val="true"/>
        </w:rPr>
        <w:t>" (</w:t>
      </w:r>
      <w:r>
        <w:rPr>
          <w:rtl w:val="true"/>
        </w:rPr>
        <w:t xml:space="preserve">ישיבה </w:t>
      </w:r>
      <w:r>
        <w:rPr/>
        <w:t>544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19</w:t>
      </w:r>
      <w:r>
        <w:rPr>
          <w:rtl w:val="true"/>
        </w:rPr>
        <w:t xml:space="preserve">).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הוחלט להותיר את נוסח הסעיף כפי שהוא מעוגן בחוק כיום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סלומינסקי</w:t>
      </w:r>
      <w:r>
        <w:rPr>
          <w:rtl w:val="true"/>
        </w:rPr>
        <w:t>:</w:t>
      </w:r>
      <w:r>
        <w:rPr>
          <w:rtl w:val="true"/>
        </w:rPr>
        <w:t xml:space="preserve"> [...] </w:t>
      </w:r>
      <w:r>
        <w:rPr>
          <w:rtl w:val="true"/>
        </w:rPr>
        <w:t>רבותיי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המטרה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במטרה</w:t>
      </w:r>
      <w:r>
        <w:rPr>
          <w:rtl w:val="true"/>
        </w:rPr>
        <w:t xml:space="preserve">" </w:t>
      </w:r>
      <w:r>
        <w:rPr>
          <w:rtl w:val="true"/>
        </w:rPr>
        <w:t>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>, "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",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להפליג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למחוזות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רצינו</w:t>
      </w:r>
      <w:r>
        <w:rPr>
          <w:rtl w:val="true"/>
        </w:rPr>
        <w:t xml:space="preserve">. [...] </w:t>
      </w:r>
      <w:r>
        <w:rPr>
          <w:rtl w:val="true"/>
        </w:rPr>
        <w:t>עמדנו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למחוזות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רצינו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שנפליג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הדילמה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כתוב</w:t>
      </w:r>
      <w:r>
        <w:rPr>
          <w:rtl w:val="true"/>
        </w:rPr>
        <w:t>" (</w:t>
      </w:r>
      <w:r>
        <w:rPr>
          <w:rtl w:val="true"/>
        </w:rPr>
        <w:t>ישיבה</w:t>
      </w:r>
      <w:r>
        <w:rPr>
          <w:rFonts w:eastAsia="Arial TUR;Arial" w:cs="Arial TUR;Arial"/>
          <w:rtl w:val="true"/>
        </w:rPr>
        <w:t xml:space="preserve"> </w:t>
      </w:r>
      <w:r>
        <w:rPr/>
        <w:t>544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להשלמת התמונה יצוין</w:t>
      </w:r>
      <w:r>
        <w:rPr>
          <w:rtl w:val="true"/>
        </w:rPr>
        <w:t xml:space="preserve">, </w:t>
      </w:r>
      <w:r>
        <w:rPr>
          <w:rtl w:val="true"/>
        </w:rPr>
        <w:t>כי היבט משמעותי אשר הניח את דעתם של חברי הוועדה והוביל לכך שנוסח החוק נותר כפי שהוצע</w:t>
      </w:r>
      <w:r>
        <w:rPr>
          <w:rtl w:val="true"/>
        </w:rPr>
        <w:t xml:space="preserve">, </w:t>
      </w:r>
      <w:r>
        <w:rPr>
          <w:rtl w:val="true"/>
        </w:rPr>
        <w:t xml:space="preserve">היה כי לרוב רצח שנעשה על רקע המכונה </w:t>
      </w:r>
      <w:r>
        <w:rPr>
          <w:rtl w:val="true"/>
        </w:rPr>
        <w:t>"</w:t>
      </w:r>
      <w:r>
        <w:rPr>
          <w:rtl w:val="true"/>
        </w:rPr>
        <w:t>כבוד המשפחה</w:t>
      </w:r>
      <w:r>
        <w:rPr>
          <w:rtl w:val="true"/>
        </w:rPr>
        <w:t xml:space="preserve">" </w:t>
      </w:r>
      <w:r>
        <w:rPr>
          <w:rtl w:val="true"/>
        </w:rPr>
        <w:t xml:space="preserve">ייכנס ממילא לגדרי הנסיבה המחמירה הראשונה </w:t>
      </w:r>
      <w:r>
        <w:rPr>
          <w:rtl w:val="true"/>
        </w:rPr>
        <w:t>(</w:t>
      </w:r>
      <w:r>
        <w:rPr>
          <w:rtl w:val="true"/>
        </w:rPr>
        <w:t xml:space="preserve">ישיבה </w:t>
      </w:r>
      <w:r>
        <w:rPr/>
        <w:t>527</w:t>
      </w:r>
      <w:r>
        <w:rPr>
          <w:rtl w:val="true"/>
        </w:rPr>
        <w:t xml:space="preserve">, </w:t>
      </w:r>
      <w:r>
        <w:rPr>
          <w:rtl w:val="true"/>
        </w:rPr>
        <w:t xml:space="preserve">בעמודים </w:t>
      </w:r>
      <w:r>
        <w:rPr/>
        <w:t>2</w:t>
      </w:r>
      <w:r>
        <w:rPr>
          <w:rtl w:val="true"/>
        </w:rPr>
        <w:t xml:space="preserve">, </w:t>
      </w:r>
      <w:r>
        <w:rPr/>
        <w:t>14-13</w:t>
      </w:r>
      <w:r>
        <w:rPr>
          <w:rtl w:val="true"/>
        </w:rPr>
        <w:t xml:space="preserve">)). </w:t>
      </w:r>
      <w:r>
        <w:rPr>
          <w:rtl w:val="true"/>
        </w:rPr>
        <w:t xml:space="preserve">הוצג בוועדה כי </w:t>
      </w:r>
      <w:r>
        <w:rPr>
          <w:rtl w:val="true"/>
        </w:rPr>
        <w:t>"</w:t>
      </w:r>
      <w:r>
        <w:rPr>
          <w:rtl w:val="true"/>
        </w:rPr>
        <w:t xml:space="preserve">במקרים כאלה </w:t>
      </w:r>
      <w:r>
        <w:rPr>
          <w:rtl w:val="true"/>
        </w:rPr>
        <w:t xml:space="preserve">[...] </w:t>
      </w:r>
      <w:r>
        <w:rPr>
          <w:rtl w:val="true"/>
        </w:rPr>
        <w:t>בני המשפחה לעיתים עושים אפילו קונסיליום וההחלטה מתגבשת לאחר תכנון ולא נעשית באופן ספונטני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 xml:space="preserve">עוד הוזכרה האפשרות לקבוע במפורש בחוק כי ניתן יהיה לעשות שימוש בהלכת הצפיות לצורך הוכחת יסוד המטרה האמור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בעמודים </w:t>
      </w:r>
      <w:r>
        <w:rPr/>
        <w:t>21-19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מן האמור עולה כי המחוקק היה ער לקושי שעלול להתעורר בהוכחת היסוד הנפשי שנכלל בנסיבה</w:t>
      </w:r>
      <w:r>
        <w:rPr>
          <w:rtl w:val="true"/>
        </w:rPr>
        <w:t xml:space="preserve">; </w:t>
      </w:r>
      <w:r>
        <w:rPr>
          <w:rtl w:val="true"/>
        </w:rPr>
        <w:t>נתן דעתו לכלל השיקולים והאינטרסים הרלוונטיים</w:t>
      </w:r>
      <w:r>
        <w:rPr>
          <w:rtl w:val="true"/>
        </w:rPr>
        <w:t xml:space="preserve">; </w:t>
      </w:r>
      <w:r>
        <w:rPr>
          <w:rtl w:val="true"/>
        </w:rPr>
        <w:t xml:space="preserve">שמע בהרחבה דעות מגוונות </w:t>
      </w:r>
      <w:r>
        <w:rPr>
          <w:rtl w:val="true"/>
        </w:rPr>
        <w:t>–</w:t>
      </w:r>
      <w:r>
        <w:rPr>
          <w:rtl w:val="true"/>
        </w:rPr>
        <w:t xml:space="preserve"> ולאור כל אלו החליט על הנוסח שהתקבל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</w:t>
      </w:r>
      <w:r>
        <w:rPr>
          <w:rtl w:val="true"/>
        </w:rPr>
        <w:t xml:space="preserve">. </w:t>
      </w:r>
      <w:r>
        <w:rPr>
          <w:rtl w:val="true"/>
        </w:rPr>
        <w:t>תחילה ל</w:t>
      </w:r>
      <w:r>
        <w:rPr>
          <w:rtl w:val="true"/>
        </w:rPr>
        <w:t>"</w:t>
      </w:r>
      <w:r>
        <w:rPr>
          <w:rtl w:val="true"/>
        </w:rPr>
        <w:t>מעגל הפנימי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כי </w:t>
      </w:r>
      <w:r>
        <w:rPr>
          <w:rtl w:val="true"/>
        </w:rPr>
        <w:t>המעשה נעשה כפעולה עונשית</w:t>
      </w:r>
      <w:r>
        <w:rPr>
          <w:rtl w:val="true"/>
        </w:rPr>
        <w:t xml:space="preserve">. </w:t>
      </w:r>
      <w:r>
        <w:rPr>
          <w:rtl w:val="true"/>
        </w:rPr>
        <w:t>בית המשפט המחוזי קבע</w:t>
      </w:r>
      <w:r>
        <w:rPr>
          <w:rtl w:val="true"/>
        </w:rPr>
        <w:t xml:space="preserve">, </w:t>
      </w:r>
      <w:r>
        <w:rPr>
          <w:rtl w:val="true"/>
        </w:rPr>
        <w:t>על בסיס חומר הראיות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 xml:space="preserve">"[...] </w:t>
      </w:r>
      <w:r>
        <w:rPr>
          <w:rtl w:val="true"/>
        </w:rPr>
        <w:t xml:space="preserve">מעשה הרצח בוצע על רקע אי שביעות רצונו של הנאשם </w:t>
      </w:r>
      <w:r>
        <w:rPr>
          <w:rtl w:val="true"/>
        </w:rPr>
        <w:t>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מאורחות חייה של המנוחה ורצונו להטיל עליה את מרותו ולכפות עליה אורחות התנהגות שונים משלה אך מקובלים עליו</w:t>
      </w:r>
      <w:r>
        <w:rPr>
          <w:rtl w:val="true"/>
        </w:rPr>
        <w:t xml:space="preserve">". </w:t>
      </w:r>
      <w:r>
        <w:rPr>
          <w:rtl w:val="true"/>
        </w:rPr>
        <w:t>בקביעה עובדתית זו אין להתערב</w:t>
      </w:r>
      <w:r>
        <w:rPr>
          <w:rtl w:val="true"/>
        </w:rPr>
        <w:t xml:space="preserve">, </w:t>
      </w:r>
      <w:r>
        <w:rPr>
          <w:rtl w:val="true"/>
        </w:rPr>
        <w:t>וממנה יש להסיק כי רכיב זה מתקיים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הדברים שונים ביחס ל</w:t>
      </w:r>
      <w:r>
        <w:rPr>
          <w:rtl w:val="true"/>
        </w:rPr>
        <w:t>"</w:t>
      </w:r>
      <w:r>
        <w:rPr>
          <w:rtl w:val="true"/>
        </w:rPr>
        <w:t>מעגל החיצוני</w:t>
      </w:r>
      <w:r>
        <w:rPr>
          <w:rtl w:val="true"/>
        </w:rPr>
        <w:t xml:space="preserve">". </w:t>
      </w:r>
      <w:r>
        <w:rPr>
          <w:rtl w:val="true"/>
        </w:rPr>
        <w:t xml:space="preserve">קביעת בית המשפט המחוזי בהיבט זה הייתה כי המערער רצה להטיל את מרותו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tl w:val="true"/>
        </w:rPr>
        <w:t xml:space="preserve"> ולכפות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עליה</w:t>
      </w:r>
      <w:r>
        <w:rPr>
          <w:rtl w:val="true"/>
        </w:rPr>
        <w:t xml:space="preserve"> אורחות התנהגות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היסוד הנפשי הנדרש עניינו במטרה שאותה רוצה להשיג המבצע ביחס ל</w:t>
      </w:r>
      <w:r>
        <w:rPr>
          <w:rtl w:val="true"/>
        </w:rPr>
        <w:t>"</w:t>
      </w:r>
      <w:r>
        <w:rPr>
          <w:rtl w:val="true"/>
        </w:rPr>
        <w:t>ציבור</w:t>
      </w:r>
      <w:r>
        <w:rPr>
          <w:rtl w:val="true"/>
        </w:rPr>
        <w:t xml:space="preserve">". </w:t>
      </w:r>
      <w:r>
        <w:rPr>
          <w:rtl w:val="true"/>
        </w:rPr>
        <w:t>לו היה נקבע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כי המערער רצח את המנוחה במטרה להשפיע על חלק מהמשפחה</w:t>
      </w:r>
      <w:r>
        <w:rPr>
          <w:rtl w:val="true"/>
        </w:rPr>
        <w:t xml:space="preserve">, </w:t>
      </w:r>
      <w:r>
        <w:rPr>
          <w:rtl w:val="true"/>
        </w:rPr>
        <w:t>אז היה ניתן לטעון באופן משכנע כי מתקיים היסוד הנפשי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 לפנינו כל קביעה שכזו</w:t>
      </w:r>
      <w:r>
        <w:rPr>
          <w:rtl w:val="true"/>
        </w:rPr>
        <w:t xml:space="preserve">. </w:t>
      </w:r>
      <w:r>
        <w:rPr>
          <w:rtl w:val="true"/>
        </w:rPr>
        <w:t>בכל זאת</w:t>
      </w:r>
      <w:r>
        <w:rPr>
          <w:rtl w:val="true"/>
        </w:rPr>
        <w:t xml:space="preserve">, </w:t>
      </w:r>
      <w:r>
        <w:rPr>
          <w:rtl w:val="true"/>
        </w:rPr>
        <w:t>לטענת המשיבה פעולת המערער לא נעשתה כלפי המנוחה בלבד</w:t>
      </w:r>
      <w:r>
        <w:rPr>
          <w:rtl w:val="true"/>
        </w:rPr>
        <w:t xml:space="preserve">, </w:t>
      </w:r>
      <w:r>
        <w:rPr>
          <w:rtl w:val="true"/>
        </w:rPr>
        <w:t xml:space="preserve">אלא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במשפחה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ובציבור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בכלל</w:t>
      </w:r>
      <w:r>
        <w:rPr>
          <w:rtl w:val="true"/>
        </w:rPr>
        <w:t xml:space="preserve">".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כפי שסקרתי לעיל</w:t>
      </w:r>
      <w:r>
        <w:rPr>
          <w:rtl w:val="true"/>
        </w:rPr>
        <w:t xml:space="preserve">, </w:t>
      </w:r>
      <w:r>
        <w:rPr>
          <w:rtl w:val="true"/>
        </w:rPr>
        <w:t>המחוקק בחר שלא לאמץ נוסח דומה</w:t>
      </w:r>
      <w:r>
        <w:rPr>
          <w:rtl w:val="true"/>
        </w:rPr>
        <w:t xml:space="preserve">. </w:t>
      </w:r>
      <w:r>
        <w:rPr>
          <w:rtl w:val="true"/>
        </w:rPr>
        <w:t>אין די בכך שבפעולתו יש אפשרות שהמעשה ישדר מסר שכזה או שמדובר במעשה אשר מעצם טיבו יכול לשדר מסר שכזה</w:t>
      </w:r>
      <w:r>
        <w:rPr>
          <w:rtl w:val="true"/>
        </w:rPr>
        <w:t xml:space="preserve">. </w:t>
      </w:r>
      <w:r>
        <w:rPr>
          <w:rtl w:val="true"/>
        </w:rPr>
        <w:t>נדרש להראות כי המערער עצמו</w:t>
      </w:r>
      <w:r>
        <w:rPr>
          <w:rtl w:val="true"/>
        </w:rPr>
        <w:t xml:space="preserve">, </w:t>
      </w:r>
      <w:r>
        <w:rPr>
          <w:rtl w:val="true"/>
        </w:rPr>
        <w:t>באופן סובייקטיבי</w:t>
      </w:r>
      <w:r>
        <w:rPr>
          <w:rtl w:val="true"/>
        </w:rPr>
        <w:t xml:space="preserve">, </w:t>
      </w:r>
      <w:r>
        <w:rPr>
          <w:rtl w:val="true"/>
        </w:rPr>
        <w:t>ביצע את הרצח במטרה לשדר את אותו המסר</w:t>
      </w:r>
      <w:r>
        <w:rPr>
          <w:rtl w:val="true"/>
        </w:rPr>
        <w:t xml:space="preserve">. </w:t>
      </w:r>
      <w:r>
        <w:rPr>
          <w:rtl w:val="true"/>
        </w:rPr>
        <w:t>לא הוצגו ראיות התומכות בכך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אין כל קביעה עובדתית כזו בהכרעת הדין</w:t>
      </w:r>
      <w:r>
        <w:rPr>
          <w:rtl w:val="true"/>
        </w:rPr>
        <w:t xml:space="preserve">. </w:t>
      </w:r>
      <w:r>
        <w:rPr>
          <w:rtl w:val="true"/>
        </w:rPr>
        <w:t>מכאן מתחייבת המסקנה כי גם נסיבה מחמירה זו</w:t>
      </w:r>
      <w:r>
        <w:rPr>
          <w:rtl w:val="true"/>
        </w:rPr>
        <w:t xml:space="preserve">, </w:t>
      </w:r>
      <w:r>
        <w:rPr>
          <w:rtl w:val="true"/>
        </w:rPr>
        <w:t>אינה מתקיימת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bookmarkStart w:id="25" w:name="_ETM_Q1_2399819"/>
      <w:bookmarkStart w:id="26" w:name="_ETM_Q1_1737344"/>
      <w:bookmarkStart w:id="27" w:name="_ETM_Q1_4667867"/>
      <w:bookmarkEnd w:id="25"/>
      <w:bookmarkEnd w:id="26"/>
      <w:bookmarkEnd w:id="27"/>
      <w:r>
        <w:rPr>
          <w:rtl w:val="true"/>
        </w:rPr>
        <w:t>בהתחשב בכך שלא הועלו לפנינו טענות לעניין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אף איני רואה צורך לדון באפשרות ליישם את הלכת הצפיות במסגרת </w:t>
      </w:r>
      <w:hyperlink r:id="rId9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br/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7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באכזריות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מיוחדת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התעללות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גופנית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בקורבן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קבע כי הנסיבה המחמירה הקבועה </w:t>
      </w:r>
      <w:hyperlink r:id="rId10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מתקיימת אף היא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מאחר שהמערער דקר את המנוחה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דקירות</w:t>
      </w:r>
      <w:r>
        <w:rPr>
          <w:rtl w:val="true"/>
        </w:rPr>
        <w:t xml:space="preserve">, </w:t>
      </w:r>
      <w:r>
        <w:rPr>
          <w:rtl w:val="true"/>
        </w:rPr>
        <w:t>במקומות רבים ובאברים חיוניים בגופה</w:t>
      </w:r>
      <w:r>
        <w:rPr>
          <w:rtl w:val="true"/>
        </w:rPr>
        <w:t xml:space="preserve">. </w:t>
      </w:r>
      <w:r>
        <w:rPr>
          <w:rtl w:val="true"/>
        </w:rPr>
        <w:t>כן נומק</w:t>
      </w:r>
      <w:r>
        <w:rPr>
          <w:rtl w:val="true"/>
        </w:rPr>
        <w:t xml:space="preserve">, </w:t>
      </w:r>
      <w:r>
        <w:rPr>
          <w:rtl w:val="true"/>
        </w:rPr>
        <w:t xml:space="preserve">כי בכך ישנה אכזריות מיוחדת וגם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התעללות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tl w:val="true"/>
        </w:rPr>
        <w:t xml:space="preserve">" </w:t>
      </w:r>
      <w:r>
        <w:rPr>
          <w:rtl w:val="true"/>
        </w:rPr>
        <w:t>כלשון בית המשפט המחוזי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נסיבה מחמירה זו מציבה אתגר מיוחד בפני היושב בדין</w:t>
      </w:r>
      <w:r>
        <w:rPr>
          <w:rtl w:val="true"/>
        </w:rPr>
        <w:t xml:space="preserve">. </w:t>
      </w:r>
      <w:r>
        <w:rPr>
          <w:rtl w:val="true"/>
        </w:rPr>
        <w:t>אך מתבקש שכאשר אנו נחשפים למעשים קשים כמעשיו של המערער</w:t>
      </w:r>
      <w:r>
        <w:rPr>
          <w:rtl w:val="true"/>
        </w:rPr>
        <w:t xml:space="preserve">, </w:t>
      </w:r>
      <w:r>
        <w:rPr>
          <w:rtl w:val="true"/>
        </w:rPr>
        <w:t>אשר קטע בדקירות סכין את חייה של אחותו והותיר את ילדיה יתומים מאם</w:t>
      </w:r>
      <w:r>
        <w:rPr>
          <w:rtl w:val="true"/>
        </w:rPr>
        <w:t xml:space="preserve">, </w:t>
      </w:r>
      <w:r>
        <w:rPr>
          <w:rtl w:val="true"/>
        </w:rPr>
        <w:t>נעמוד על אכזריותם</w:t>
      </w:r>
      <w:r>
        <w:rPr>
          <w:rtl w:val="true"/>
        </w:rPr>
        <w:t xml:space="preserve">. </w:t>
      </w:r>
      <w:r>
        <w:rPr>
          <w:rtl w:val="true"/>
        </w:rPr>
        <w:t>אין זה דבר טבעי להרשיע את הרוצח</w:t>
      </w:r>
      <w:r>
        <w:rPr>
          <w:rtl w:val="true"/>
        </w:rPr>
        <w:t xml:space="preserve">, </w:t>
      </w:r>
      <w:r>
        <w:rPr>
          <w:rtl w:val="true"/>
        </w:rPr>
        <w:t>וכמעט באותה הנשימה להסביר מדוע מעשה הרצח המדובר פחות אכזרי ממעשה רצח אחר</w:t>
      </w:r>
      <w:r>
        <w:rPr>
          <w:rtl w:val="true"/>
        </w:rPr>
        <w:t xml:space="preserve">. </w:t>
      </w:r>
      <w:r>
        <w:rPr>
          <w:rtl w:val="true"/>
        </w:rPr>
        <w:t>או ליתר דיוק</w:t>
      </w:r>
      <w:r>
        <w:rPr>
          <w:rtl w:val="true"/>
        </w:rPr>
        <w:t xml:space="preserve">, </w:t>
      </w:r>
      <w:r>
        <w:rPr>
          <w:rtl w:val="true"/>
        </w:rPr>
        <w:t>מדוע יש מעשי רצח אכזריים ממנו</w:t>
      </w:r>
      <w:r>
        <w:rPr>
          <w:rtl w:val="true"/>
        </w:rPr>
        <w:t xml:space="preserve">. </w:t>
      </w:r>
      <w:r>
        <w:rPr>
          <w:rtl w:val="true"/>
        </w:rPr>
        <w:t>כל רצח הוא אכזרי וכל קורבן הוא עולם ומלואו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שקיים פוטנציאל משמעותי להרחבת גדרי עבירת הרצח בנסיבות מחמירות יתר על המידה</w:t>
      </w:r>
      <w:r>
        <w:rPr>
          <w:rtl w:val="true"/>
        </w:rPr>
        <w:t xml:space="preserve">. </w:t>
      </w:r>
      <w:r>
        <w:rPr>
          <w:rtl w:val="true"/>
        </w:rPr>
        <w:t xml:space="preserve">עלינו לשים אפוא דגש לכך שהסעיף דורש אכזריות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מיוחדת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התעללות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גופנית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בקורבן</w:t>
      </w:r>
      <w:r>
        <w:rPr>
          <w:rtl w:val="true"/>
        </w:rPr>
        <w:t xml:space="preserve">". </w:t>
      </w:r>
      <w:r>
        <w:rPr>
          <w:rtl w:val="true"/>
        </w:rPr>
        <w:t>כך נכתב בדברי ההסבר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בקרבן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' </w:t>
      </w:r>
      <w:r>
        <w:rPr>
          <w:rtl w:val="true"/>
        </w:rPr>
        <w:t>מגלם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>" (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בעמוד</w:t>
      </w:r>
      <w:r>
        <w:rPr>
          <w:rFonts w:eastAsia="Arial TUR;Arial" w:cs="Arial TUR;Arial"/>
          <w:rtl w:val="true"/>
        </w:rPr>
        <w:t xml:space="preserve"> </w:t>
      </w:r>
      <w:r>
        <w:rPr/>
        <w:t>172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השימוש בסעיף זה שמור למקרים חריגים אלו</w:t>
      </w:r>
      <w:r>
        <w:rPr>
          <w:rtl w:val="true"/>
        </w:rPr>
        <w:t xml:space="preserve">, </w:t>
      </w:r>
      <w:r>
        <w:rPr>
          <w:rtl w:val="true"/>
        </w:rPr>
        <w:t>ועל דרישה זו יש להקפיד</w:t>
      </w:r>
      <w:r>
        <w:rPr>
          <w:rtl w:val="true"/>
        </w:rPr>
        <w:t xml:space="preserve">. </w:t>
      </w:r>
      <w:r>
        <w:rPr>
          <w:rtl w:val="true"/>
        </w:rPr>
        <w:t>לא מפני שיש להמעיט מחומרת מעשיו של הרוצח</w:t>
      </w:r>
      <w:r>
        <w:rPr>
          <w:rtl w:val="true"/>
        </w:rPr>
        <w:t xml:space="preserve">, </w:t>
      </w:r>
      <w:r>
        <w:rPr>
          <w:rtl w:val="true"/>
        </w:rPr>
        <w:t>אלא מפני שמצווה עלינו לכבד את המדרג שנקבע בחוק ואשר עוצב בקפידה במסגרת הרפורמה בעבירות ההמתה</w:t>
      </w:r>
      <w:r>
        <w:rPr>
          <w:rtl w:val="true"/>
        </w:rPr>
        <w:t xml:space="preserve">.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בנסיבות ענייננו</w:t>
      </w:r>
      <w:r>
        <w:rPr>
          <w:rtl w:val="true"/>
        </w:rPr>
        <w:t xml:space="preserve">, </w:t>
      </w:r>
      <w:r>
        <w:rPr>
          <w:rtl w:val="true"/>
        </w:rPr>
        <w:t>גם לשיטת המשיבה לא היה מקום להחיל את נסיבה מחמירה זו</w:t>
      </w:r>
      <w:r>
        <w:rPr>
          <w:rtl w:val="true"/>
        </w:rPr>
        <w:t xml:space="preserve">. </w:t>
      </w:r>
      <w:r>
        <w:rPr>
          <w:rtl w:val="true"/>
        </w:rPr>
        <w:t>היא לא טענה להתקיימותה בבית המשפט המחוזי</w:t>
      </w:r>
      <w:r>
        <w:rPr>
          <w:rtl w:val="true"/>
        </w:rPr>
        <w:t xml:space="preserve">, </w:t>
      </w:r>
      <w:r>
        <w:rPr>
          <w:rtl w:val="true"/>
        </w:rPr>
        <w:t>ולא בכדי</w:t>
      </w:r>
      <w:r>
        <w:rPr>
          <w:rtl w:val="true"/>
        </w:rPr>
        <w:t xml:space="preserve">. </w:t>
      </w:r>
      <w:r>
        <w:rPr>
          <w:rtl w:val="true"/>
        </w:rPr>
        <w:t>גם לפנינו</w:t>
      </w:r>
      <w:r>
        <w:rPr>
          <w:rtl w:val="true"/>
        </w:rPr>
        <w:t xml:space="preserve">, </w:t>
      </w:r>
      <w:r>
        <w:rPr>
          <w:rtl w:val="true"/>
        </w:rPr>
        <w:t>לא הוצג טיעון של ממש מצד המשיבה מדוע נסיבה מחמירה זו מתקיימת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מדובר במעשה רצח אכזרי</w:t>
      </w:r>
      <w:r>
        <w:rPr>
          <w:rtl w:val="true"/>
        </w:rPr>
        <w:t xml:space="preserve">, </w:t>
      </w:r>
      <w:r>
        <w:rPr>
          <w:rtl w:val="true"/>
        </w:rPr>
        <w:t xml:space="preserve">אולם הוא אינו דומה למקרים אשר הוכרו בפסיקת בית משפט זה עד כה ככאלו אשר נכנסים לגדרי הסעיף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0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8363/19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8.6.2021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0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איילין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26.1.2022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0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27.12.2020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רחאל</w:t>
      </w:r>
      <w:r>
        <w:rPr>
          <w:rtl w:val="true"/>
        </w:rPr>
        <w:t xml:space="preserve">). </w:t>
      </w: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גם נסיבה זו אינה מתקיימת במקרה שלפנינו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מכלל טעמים אלו אציע לחבריי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נקבל</w:t>
      </w:r>
      <w:r>
        <w:rPr>
          <w:rtl w:val="true"/>
        </w:rPr>
        <w:t xml:space="preserve"> את הערעור</w:t>
      </w:r>
      <w:r>
        <w:rPr>
          <w:rtl w:val="true"/>
        </w:rPr>
        <w:t xml:space="preserve">, </w:t>
      </w:r>
      <w:r>
        <w:rPr>
          <w:rtl w:val="true"/>
        </w:rPr>
        <w:t>ונורה כי חלף הרשעת המערער בעבירת רצח בכוונה תחילה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0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בנוסחו טרם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יורשע בעבירת רצח לפי </w:t>
      </w:r>
      <w:hyperlink r:id="rId10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מאחר שהעונש הקבוע בצד עבירה זו הוא 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</w:t>
      </w:r>
      <w:r>
        <w:rPr>
          <w:rtl w:val="true"/>
        </w:rPr>
        <w:t xml:space="preserve"> של מאסר עולם</w:t>
      </w:r>
      <w:r>
        <w:rPr>
          <w:rtl w:val="true"/>
        </w:rPr>
        <w:t>,</w:t>
      </w:r>
      <w:r>
        <w:rPr>
          <w:color w:val="000000"/>
          <w:sz w:val="14"/>
          <w:szCs w:val="14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אציע כי הדיון יושב לבית המשפט המחוזי לצורך שמיעת טיעונים לעונש וגזירת דינו של המערער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  <w:r>
        <w:rPr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כשר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המעמיקה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ותוצאתה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28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16.2.2023</w:t>
      </w:r>
      <w:r>
        <w:rPr>
          <w:rtl w:val="true"/>
        </w:rPr>
        <w:t xml:space="preserve">). </w:t>
      </w:r>
      <w:bookmarkEnd w:id="28"/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7"/>
        <w:gridCol w:w="2767"/>
        <w:gridCol w:w="2768"/>
      </w:tblGrid>
      <w:tr>
        <w:trPr/>
        <w:tc>
          <w:tcPr>
            <w:tcW w:w="276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21005780</w:t>
      </w:r>
      <w:r>
        <w:rPr>
          <w:sz w:val="16"/>
          <w:rtl w:val="true"/>
        </w:rPr>
        <w:t>_</w:t>
      </w:r>
      <w:r>
        <w:rPr>
          <w:sz w:val="16"/>
        </w:rPr>
        <w:t>J14.docx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06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54678313-578/21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0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08"/>
      <w:footerReference w:type="default" r:id="rId10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578/21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סעיד אבו סרארי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big-number">
    <w:name w:val="big-number"/>
    <w:basedOn w:val="DefaultParagraphFont"/>
    <w:qFormat/>
    <w:rPr/>
  </w:style>
  <w:style w:type="character" w:styleId="default">
    <w:name w:val="default"/>
    <w:basedOn w:val="DefaultParagraphFont"/>
    <w:qFormat/>
    <w:rPr/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term1">
    <w:name w:val="term_1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Style14">
    <w:name w:val="תשובה"/>
    <w:basedOn w:val="Normal"/>
    <w:next w:val="Normal"/>
    <w:qFormat/>
    <w:pPr>
      <w:overflowPunct w:val="true"/>
      <w:autoSpaceDE w:val="true"/>
      <w:spacing w:lineRule="exact" w:line="240"/>
      <w:ind w:firstLine="720" w:start="0" w:end="0"/>
      <w:jc w:val="center"/>
      <w:textAlignment w:val="auto"/>
    </w:pPr>
    <w:rPr>
      <w:rFonts w:ascii="David" w:hAnsi="David" w:cs="David"/>
      <w:b/>
      <w:bCs/>
      <w:sz w:val="24"/>
      <w:u w:val="single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Style15">
    <w:name w:val="יור"/>
    <w:basedOn w:val="Normal"/>
    <w:next w:val="Normal"/>
    <w:qFormat/>
    <w:pPr>
      <w:overflowPunct w:val="true"/>
      <w:autoSpaceDE w:val="true"/>
      <w:spacing w:lineRule="exact" w:line="240"/>
      <w:jc w:val="both"/>
      <w:textAlignment w:val="auto"/>
    </w:pPr>
    <w:rPr>
      <w:rFonts w:ascii="David" w:hAnsi="David" w:cs="David"/>
      <w:sz w:val="24"/>
      <w:u w:val="single"/>
    </w:rPr>
  </w:style>
  <w:style w:type="paragraph" w:styleId="Style16">
    <w:name w:val="אורח"/>
    <w:basedOn w:val="Normal"/>
    <w:next w:val="Normal"/>
    <w:qFormat/>
    <w:pPr>
      <w:overflowPunct w:val="true"/>
      <w:autoSpaceDE w:val="true"/>
      <w:spacing w:lineRule="exact" w:line="240"/>
      <w:jc w:val="both"/>
      <w:textAlignment w:val="auto"/>
    </w:pPr>
    <w:rPr>
      <w:rFonts w:ascii="David" w:hAnsi="David" w:cs="David"/>
      <w:sz w:val="24"/>
      <w:u w:val="single"/>
    </w:rPr>
  </w:style>
  <w:style w:type="paragraph" w:styleId="KeepWithNext">
    <w:name w:val="KeepWithNext"/>
    <w:basedOn w:val="Normal"/>
    <w:next w:val="Normal"/>
    <w:qFormat/>
    <w:pPr>
      <w:keepNext w:val="true"/>
      <w:overflowPunct w:val="true"/>
      <w:autoSpaceDE w:val="true"/>
      <w:spacing w:lineRule="exact" w:line="240"/>
      <w:jc w:val="both"/>
      <w:textAlignment w:val="auto"/>
    </w:pPr>
    <w:rPr>
      <w:sz w:val="24"/>
    </w:rPr>
  </w:style>
  <w:style w:type="paragraph" w:styleId="Style17">
    <w:name w:val="דובר"/>
    <w:basedOn w:val="Normal"/>
    <w:next w:val="Normal"/>
    <w:qFormat/>
    <w:pPr>
      <w:overflowPunct w:val="true"/>
      <w:autoSpaceDE w:val="true"/>
      <w:spacing w:lineRule="exact" w:line="240"/>
      <w:jc w:val="both"/>
      <w:textAlignment w:val="auto"/>
    </w:pPr>
    <w:rPr>
      <w:rFonts w:ascii="David" w:hAnsi="David" w:cs="David"/>
      <w:sz w:val="24"/>
      <w:u w:val="single"/>
    </w:rPr>
  </w:style>
  <w:style w:type="paragraph" w:styleId="-">
    <w:name w:val="דובר-המשך"/>
    <w:basedOn w:val="Style17"/>
    <w:next w:val="Normal"/>
    <w:qFormat/>
    <w:pPr/>
    <w:rPr/>
  </w:style>
  <w:style w:type="paragraph" w:styleId="Style18">
    <w:name w:val="קריאות"/>
    <w:basedOn w:val="Style17"/>
    <w:next w:val="Normal"/>
    <w:qFormat/>
    <w:pPr/>
    <w:rPr/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65803" TargetMode="External"/><Relationship Id="rId3" Type="http://schemas.openxmlformats.org/officeDocument/2006/relationships/hyperlink" Target="http://www.nevo.co.il/safrut/book/48576" TargetMode="External"/><Relationship Id="rId4" Type="http://schemas.openxmlformats.org/officeDocument/2006/relationships/hyperlink" Target="http://www.nevo.co.il/safrut/book/48576" TargetMode="External"/><Relationship Id="rId5" Type="http://schemas.openxmlformats.org/officeDocument/2006/relationships/hyperlink" Target="http://www.nevo.co.il/safrut/book/13736" TargetMode="External"/><Relationship Id="rId6" Type="http://schemas.openxmlformats.org/officeDocument/2006/relationships/hyperlink" Target="http://www.nevo.co.il/safrut/bookgroup/2063" TargetMode="External"/><Relationship Id="rId7" Type="http://schemas.openxmlformats.org/officeDocument/2006/relationships/hyperlink" Target="http://www.nevo.co.il/safrut/bookgroup/2063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5.a" TargetMode="External"/><Relationship Id="rId10" Type="http://schemas.openxmlformats.org/officeDocument/2006/relationships/hyperlink" Target="http://www.nevo.co.il/law/70301/5.b" TargetMode="External"/><Relationship Id="rId11" Type="http://schemas.openxmlformats.org/officeDocument/2006/relationships/hyperlink" Target="http://www.nevo.co.il/law/70301/25.a" TargetMode="External"/><Relationship Id="rId12" Type="http://schemas.openxmlformats.org/officeDocument/2006/relationships/hyperlink" Target="http://www.nevo.co.il/law/70301/25.c" TargetMode="External"/><Relationship Id="rId13" Type="http://schemas.openxmlformats.org/officeDocument/2006/relationships/hyperlink" Target="http://www.nevo.co.il/law/70301/300.a" TargetMode="External"/><Relationship Id="rId14" Type="http://schemas.openxmlformats.org/officeDocument/2006/relationships/hyperlink" Target="http://www.nevo.co.il/law/70301/300.a.2" TargetMode="External"/><Relationship Id="rId15" Type="http://schemas.openxmlformats.org/officeDocument/2006/relationships/hyperlink" Target="http://www.nevo.co.il/law/70301/300a" TargetMode="External"/><Relationship Id="rId16" Type="http://schemas.openxmlformats.org/officeDocument/2006/relationships/hyperlink" Target="http://www.nevo.co.il/law/70301/300a.a.2" TargetMode="External"/><Relationship Id="rId17" Type="http://schemas.openxmlformats.org/officeDocument/2006/relationships/hyperlink" Target="http://www.nevo.co.il/law/70301/301.3" TargetMode="External"/><Relationship Id="rId18" Type="http://schemas.openxmlformats.org/officeDocument/2006/relationships/hyperlink" Target="http://www.nevo.co.il/law/70301/301.b.2." TargetMode="External"/><Relationship Id="rId19" Type="http://schemas.openxmlformats.org/officeDocument/2006/relationships/hyperlink" Target="http://www.nevo.co.il/law/70301/301a" TargetMode="External"/><Relationship Id="rId20" Type="http://schemas.openxmlformats.org/officeDocument/2006/relationships/hyperlink" Target="http://www.nevo.co.il/law/70301/301a.a" TargetMode="External"/><Relationship Id="rId21" Type="http://schemas.openxmlformats.org/officeDocument/2006/relationships/hyperlink" Target="http://www.nevo.co.il/law/70301/301a.a.1" TargetMode="External"/><Relationship Id="rId22" Type="http://schemas.openxmlformats.org/officeDocument/2006/relationships/hyperlink" Target="http://www.nevo.co.il/law/70301/301a.a.5" TargetMode="External"/><Relationship Id="rId23" Type="http://schemas.openxmlformats.org/officeDocument/2006/relationships/hyperlink" Target="http://www.nevo.co.il/law/70301/301a.a.7" TargetMode="External"/><Relationship Id="rId24" Type="http://schemas.openxmlformats.org/officeDocument/2006/relationships/hyperlink" Target="http://www.nevo.co.il/law/70301/301a.b" TargetMode="External"/><Relationship Id="rId25" Type="http://schemas.openxmlformats.org/officeDocument/2006/relationships/hyperlink" Target="http://www.nevo.co.il/law/70301/301b" TargetMode="External"/><Relationship Id="rId26" Type="http://schemas.openxmlformats.org/officeDocument/2006/relationships/hyperlink" Target="http://www.nevo.co.il/law/70301/301b.a." TargetMode="External"/><Relationship Id="rId27" Type="http://schemas.openxmlformats.org/officeDocument/2006/relationships/hyperlink" Target="http://www.nevo.co.il/law/70301/34kd" TargetMode="External"/><Relationship Id="rId28" Type="http://schemas.openxmlformats.org/officeDocument/2006/relationships/hyperlink" Target="http://www.nevo.co.il/law/74903" TargetMode="External"/><Relationship Id="rId29" Type="http://schemas.openxmlformats.org/officeDocument/2006/relationships/hyperlink" Target="http://www.nevo.co.il/law/74903/184" TargetMode="External"/><Relationship Id="rId30" Type="http://schemas.openxmlformats.org/officeDocument/2006/relationships/hyperlink" Target="http://www.nevo.co.il/law/74903/216" TargetMode="External"/><Relationship Id="rId31" Type="http://schemas.openxmlformats.org/officeDocument/2006/relationships/hyperlink" Target="http://www.nevo.co.il/case/21665803" TargetMode="External"/><Relationship Id="rId32" Type="http://schemas.openxmlformats.org/officeDocument/2006/relationships/hyperlink" Target="http://www.nevo.co.il/law/70301/300.a.2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01a.a.1" TargetMode="External"/><Relationship Id="rId35" Type="http://schemas.openxmlformats.org/officeDocument/2006/relationships/hyperlink" Target="http://www.nevo.co.il/law/70301/301a.a.5" TargetMode="External"/><Relationship Id="rId36" Type="http://schemas.openxmlformats.org/officeDocument/2006/relationships/hyperlink" Target="http://www.nevo.co.il/law/70301/301a.a.7" TargetMode="External"/><Relationship Id="rId37" Type="http://schemas.openxmlformats.org/officeDocument/2006/relationships/hyperlink" Target="http://www.nevo.co.il/law/70301/300.a.2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301a.a.1" TargetMode="External"/><Relationship Id="rId40" Type="http://schemas.openxmlformats.org/officeDocument/2006/relationships/hyperlink" Target="http://www.nevo.co.il/law/70301/301a.a.5" TargetMode="External"/><Relationship Id="rId41" Type="http://schemas.openxmlformats.org/officeDocument/2006/relationships/hyperlink" Target="http://www.nevo.co.il/law/70301/301a.a.7" TargetMode="External"/><Relationship Id="rId42" Type="http://schemas.openxmlformats.org/officeDocument/2006/relationships/hyperlink" Target="http://www.nevo.co.il/law/70301/301b" TargetMode="External"/><Relationship Id="rId43" Type="http://schemas.openxmlformats.org/officeDocument/2006/relationships/hyperlink" Target="http://www.nevo.co.il/law/70301/301a.a" TargetMode="External"/><Relationship Id="rId44" Type="http://schemas.openxmlformats.org/officeDocument/2006/relationships/hyperlink" Target="http://www.nevo.co.il/law/70301/301a.a.1" TargetMode="External"/><Relationship Id="rId45" Type="http://schemas.openxmlformats.org/officeDocument/2006/relationships/hyperlink" Target="http://www.nevo.co.il/law/70301/301a.a.5" TargetMode="External"/><Relationship Id="rId46" Type="http://schemas.openxmlformats.org/officeDocument/2006/relationships/hyperlink" Target="http://www.nevo.co.il/law/70301/301a.a.7" TargetMode="External"/><Relationship Id="rId47" Type="http://schemas.openxmlformats.org/officeDocument/2006/relationships/hyperlink" Target="http://www.nevo.co.il/law/70301/301a.b" TargetMode="External"/><Relationship Id="rId48" Type="http://schemas.openxmlformats.org/officeDocument/2006/relationships/hyperlink" Target="http://www.nevo.co.il/law/70301/301a.a.1" TargetMode="External"/><Relationship Id="rId49" Type="http://schemas.openxmlformats.org/officeDocument/2006/relationships/hyperlink" Target="http://www.nevo.co.il/law/70301/301a.a.5" TargetMode="External"/><Relationship Id="rId50" Type="http://schemas.openxmlformats.org/officeDocument/2006/relationships/hyperlink" Target="http://www.nevo.co.il/law/70301/301a.a.5" TargetMode="External"/><Relationship Id="rId51" Type="http://schemas.openxmlformats.org/officeDocument/2006/relationships/hyperlink" Target="http://www.nevo.co.il/law/70301/301a.a.7" TargetMode="External"/><Relationship Id="rId52" Type="http://schemas.openxmlformats.org/officeDocument/2006/relationships/hyperlink" Target="http://www.nevo.co.il/law/70301/25.a" TargetMode="External"/><Relationship Id="rId53" Type="http://schemas.openxmlformats.org/officeDocument/2006/relationships/hyperlink" Target="http://www.nevo.co.il/law/70301/5.a" TargetMode="External"/><Relationship Id="rId54" Type="http://schemas.openxmlformats.org/officeDocument/2006/relationships/hyperlink" Target="http://www.nevo.co.il/law/70301/300a" TargetMode="External"/><Relationship Id="rId55" Type="http://schemas.openxmlformats.org/officeDocument/2006/relationships/hyperlink" Target="http://www.nevo.co.il/law/70301/301b.a.;301.b.2.;301.3" TargetMode="External"/><Relationship Id="rId56" Type="http://schemas.openxmlformats.org/officeDocument/2006/relationships/hyperlink" Target="http://www.nevo.co.il/law/70301/5.b" TargetMode="External"/><Relationship Id="rId57" Type="http://schemas.openxmlformats.org/officeDocument/2006/relationships/hyperlink" Target="http://www.nevo.co.il/law/70301/25.c" TargetMode="External"/><Relationship Id="rId58" Type="http://schemas.openxmlformats.org/officeDocument/2006/relationships/hyperlink" Target="http://www.nevo.co.il/law/74903/184" TargetMode="External"/><Relationship Id="rId59" Type="http://schemas.openxmlformats.org/officeDocument/2006/relationships/hyperlink" Target="http://www.nevo.co.il/law/74903" TargetMode="External"/><Relationship Id="rId60" Type="http://schemas.openxmlformats.org/officeDocument/2006/relationships/hyperlink" Target="http://www.nevo.co.il/law/74903" TargetMode="External"/><Relationship Id="rId61" Type="http://schemas.openxmlformats.org/officeDocument/2006/relationships/hyperlink" Target="http://www.nevo.co.il/law/74903/184" TargetMode="External"/><Relationship Id="rId62" Type="http://schemas.openxmlformats.org/officeDocument/2006/relationships/hyperlink" Target="http://www.nevo.co.il/law/74903" TargetMode="External"/><Relationship Id="rId63" Type="http://schemas.openxmlformats.org/officeDocument/2006/relationships/hyperlink" Target="http://www.nevo.co.il/law/74903/184" TargetMode="External"/><Relationship Id="rId64" Type="http://schemas.openxmlformats.org/officeDocument/2006/relationships/hyperlink" Target="http://www.nevo.co.il/law/74903" TargetMode="External"/><Relationship Id="rId65" Type="http://schemas.openxmlformats.org/officeDocument/2006/relationships/hyperlink" Target="http://www.nevo.co.il/law/74903/216" TargetMode="External"/><Relationship Id="rId66" Type="http://schemas.openxmlformats.org/officeDocument/2006/relationships/hyperlink" Target="http://www.nevo.co.il/case/22793929" TargetMode="External"/><Relationship Id="rId67" Type="http://schemas.openxmlformats.org/officeDocument/2006/relationships/hyperlink" Target="http://www.nevo.co.il/case/27292084" TargetMode="External"/><Relationship Id="rId68" Type="http://schemas.openxmlformats.org/officeDocument/2006/relationships/hyperlink" Target="http://www.nevo.co.il/law/74903" TargetMode="External"/><Relationship Id="rId69" Type="http://schemas.openxmlformats.org/officeDocument/2006/relationships/hyperlink" Target="http://www.nevo.co.il/case/26553171" TargetMode="External"/><Relationship Id="rId70" Type="http://schemas.openxmlformats.org/officeDocument/2006/relationships/hyperlink" Target="http://www.nevo.co.il/law/70301/301a.a.1" TargetMode="External"/><Relationship Id="rId71" Type="http://schemas.openxmlformats.org/officeDocument/2006/relationships/hyperlink" Target="http://www.nevo.co.il/law/70301/301a.a.5" TargetMode="External"/><Relationship Id="rId72" Type="http://schemas.openxmlformats.org/officeDocument/2006/relationships/hyperlink" Target="http://www.nevo.co.il/law/70301/301a.a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case/26995434" TargetMode="External"/><Relationship Id="rId75" Type="http://schemas.openxmlformats.org/officeDocument/2006/relationships/hyperlink" Target="http://www.nevo.co.il/case/28313659" TargetMode="External"/><Relationship Id="rId76" Type="http://schemas.openxmlformats.org/officeDocument/2006/relationships/hyperlink" Target="http://www.nevo.co.il/law/70301/300.a" TargetMode="External"/><Relationship Id="rId77" Type="http://schemas.openxmlformats.org/officeDocument/2006/relationships/hyperlink" Target="http://www.nevo.co.il/case/27608320" TargetMode="External"/><Relationship Id="rId78" Type="http://schemas.openxmlformats.org/officeDocument/2006/relationships/hyperlink" Target="http://www.nevo.co.il/law/70301/301a" TargetMode="External"/><Relationship Id="rId79" Type="http://schemas.openxmlformats.org/officeDocument/2006/relationships/hyperlink" Target="http://www.nevo.co.il/safrut/book/13736" TargetMode="External"/><Relationship Id="rId80" Type="http://schemas.openxmlformats.org/officeDocument/2006/relationships/hyperlink" Target="http://www.nevo.co.il/law/70301/301a.b" TargetMode="External"/><Relationship Id="rId81" Type="http://schemas.openxmlformats.org/officeDocument/2006/relationships/hyperlink" Target="http://www.nevo.co.il/case/27418439" TargetMode="External"/><Relationship Id="rId82" Type="http://schemas.openxmlformats.org/officeDocument/2006/relationships/hyperlink" Target="http://www.nevo.co.il/case/25727571" TargetMode="External"/><Relationship Id="rId83" Type="http://schemas.openxmlformats.org/officeDocument/2006/relationships/hyperlink" Target="http://www.nevo.co.il/law/70301/301a.a" TargetMode="External"/><Relationship Id="rId84" Type="http://schemas.openxmlformats.org/officeDocument/2006/relationships/hyperlink" Target="http://www.nevo.co.il/law/70301/301a.a.1" TargetMode="External"/><Relationship Id="rId85" Type="http://schemas.openxmlformats.org/officeDocument/2006/relationships/hyperlink" Target="http://www.nevo.co.il/safrut/bookgroup/2063" TargetMode="External"/><Relationship Id="rId86" Type="http://schemas.openxmlformats.org/officeDocument/2006/relationships/hyperlink" Target="http://www.nevo.co.il/safrut/book/48576" TargetMode="External"/><Relationship Id="rId87" Type="http://schemas.openxmlformats.org/officeDocument/2006/relationships/hyperlink" Target="http://www.nevo.co.il/case/28116157" TargetMode="External"/><Relationship Id="rId88" Type="http://schemas.openxmlformats.org/officeDocument/2006/relationships/hyperlink" Target="http://www.nevo.co.il/case/26205760" TargetMode="External"/><Relationship Id="rId89" Type="http://schemas.openxmlformats.org/officeDocument/2006/relationships/hyperlink" Target="http://www.nevo.co.il/law/70301/301a.a.1" TargetMode="External"/><Relationship Id="rId90" Type="http://schemas.openxmlformats.org/officeDocument/2006/relationships/hyperlink" Target="http://www.nevo.co.il/case/27907586" TargetMode="External"/><Relationship Id="rId91" Type="http://schemas.openxmlformats.org/officeDocument/2006/relationships/hyperlink" Target="http://www.nevo.co.il/case/27171383" TargetMode="External"/><Relationship Id="rId92" Type="http://schemas.openxmlformats.org/officeDocument/2006/relationships/hyperlink" Target="http://www.nevo.co.il/case/24346421" TargetMode="External"/><Relationship Id="rId93" Type="http://schemas.openxmlformats.org/officeDocument/2006/relationships/hyperlink" Target="http://www.nevo.co.il/case/22540397" TargetMode="External"/><Relationship Id="rId94" Type="http://schemas.openxmlformats.org/officeDocument/2006/relationships/hyperlink" Target="http://www.nevo.co.il/case/27260053" TargetMode="External"/><Relationship Id="rId95" Type="http://schemas.openxmlformats.org/officeDocument/2006/relationships/hyperlink" Target="http://www.nevo.co.il/case/28429417" TargetMode="External"/><Relationship Id="rId96" Type="http://schemas.openxmlformats.org/officeDocument/2006/relationships/hyperlink" Target="http://www.nevo.co.il/case/26991449" TargetMode="External"/><Relationship Id="rId97" Type="http://schemas.openxmlformats.org/officeDocument/2006/relationships/hyperlink" Target="http://www.nevo.co.il/safrut/bookgroup/2258" TargetMode="External"/><Relationship Id="rId98" Type="http://schemas.openxmlformats.org/officeDocument/2006/relationships/hyperlink" Target="http://www.nevo.co.il/law/70301/34kd" TargetMode="External"/><Relationship Id="rId99" Type="http://schemas.openxmlformats.org/officeDocument/2006/relationships/hyperlink" Target="http://www.nevo.co.il/law/70301/301a.a.5" TargetMode="External"/><Relationship Id="rId100" Type="http://schemas.openxmlformats.org/officeDocument/2006/relationships/hyperlink" Target="http://www.nevo.co.il/law/70301/301a.a.7" TargetMode="External"/><Relationship Id="rId101" Type="http://schemas.openxmlformats.org/officeDocument/2006/relationships/hyperlink" Target="http://www.nevo.co.il/case/26280666" TargetMode="External"/><Relationship Id="rId102" Type="http://schemas.openxmlformats.org/officeDocument/2006/relationships/hyperlink" Target="http://www.nevo.co.il/case/25679793" TargetMode="External"/><Relationship Id="rId103" Type="http://schemas.openxmlformats.org/officeDocument/2006/relationships/hyperlink" Target="http://www.nevo.co.il/case/25441697" TargetMode="External"/><Relationship Id="rId104" Type="http://schemas.openxmlformats.org/officeDocument/2006/relationships/hyperlink" Target="http://www.nevo.co.il/law/70301/300a.a.2" TargetMode="External"/><Relationship Id="rId105" Type="http://schemas.openxmlformats.org/officeDocument/2006/relationships/hyperlink" Target="http://www.nevo.co.il/law/70301/300.a" TargetMode="External"/><Relationship Id="rId106" Type="http://schemas.openxmlformats.org/officeDocument/2006/relationships/hyperlink" Target="https://supreme.court.gov.il/" TargetMode="External"/><Relationship Id="rId107" Type="http://schemas.openxmlformats.org/officeDocument/2006/relationships/hyperlink" Target="http://www.nevo.co.il/advertisements/nevo-100.doc" TargetMode="External"/><Relationship Id="rId108" Type="http://schemas.openxmlformats.org/officeDocument/2006/relationships/header" Target="header1.xml"/><Relationship Id="rId109" Type="http://schemas.openxmlformats.org/officeDocument/2006/relationships/footer" Target="footer1.xml"/><Relationship Id="rId110" Type="http://schemas.openxmlformats.org/officeDocument/2006/relationships/numbering" Target="numbering.xml"/><Relationship Id="rId111" Type="http://schemas.openxmlformats.org/officeDocument/2006/relationships/fontTable" Target="fontTable.xml"/><Relationship Id="rId112" Type="http://schemas.openxmlformats.org/officeDocument/2006/relationships/settings" Target="settings.xml"/><Relationship Id="rId1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2023-06-07T13:11:00Z</dcterms:created>
  <dc:creator>h4</dc:creator>
  <dc:description/>
  <cp:keywords/>
  <dc:language>en-IL</dc:language>
  <cp:lastModifiedBy>hofit</cp:lastModifiedBy>
  <cp:lastPrinted>2023-02-16T08:03:00Z</cp:lastPrinted>
  <dcterms:modified xsi:type="dcterms:W3CDTF">2023-06-07T13:11:00Z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סעיד אבו סרארי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2063</vt:lpwstr>
  </property>
  <property fmtid="{D5CDD505-2E9C-101B-9397-08002B2CF9AE}" pid="5" name="BOOKLISTTMP1">
    <vt:lpwstr>48576;13736</vt:lpwstr>
  </property>
  <property fmtid="{D5CDD505-2E9C-101B-9397-08002B2CF9AE}" pid="6" name="CASESLISTTMP1">
    <vt:lpwstr>21665803:2;22793929;27292084;26553171;26995434;28313659;27608320;27418439;25727571;28116157;26205760;27907586;27171383;24346421;22540397;27260053;28429417;26991449;26280666;25679793;25441697</vt:lpwstr>
  </property>
  <property fmtid="{D5CDD505-2E9C-101B-9397-08002B2CF9AE}" pid="7" name="DATE">
    <vt:lpwstr>20230216</vt:lpwstr>
  </property>
  <property fmtid="{D5CDD505-2E9C-101B-9397-08002B2CF9AE}" pid="8" name="ISABSTRACT">
    <vt:lpwstr>Y</vt:lpwstr>
  </property>
  <property fmtid="{D5CDD505-2E9C-101B-9397-08002B2CF9AE}" pid="9" name="JUDGE">
    <vt:lpwstr>י' אלרון;א' שטיין;י' כשר</vt:lpwstr>
  </property>
  <property fmtid="{D5CDD505-2E9C-101B-9397-08002B2CF9AE}" pid="10" name="LAWLISTTMP1">
    <vt:lpwstr>70301/300.a.2:2;301a.a.1:7;301a.a.5:7;301a.a.7:5;301b;301a.a:3;301a.b:2;025.a;005.a;300a;301b.a;301.b.2;301.3;005.b;025.c;300.a:2;301a;34kd;300a.a.2</vt:lpwstr>
  </property>
  <property fmtid="{D5CDD505-2E9C-101B-9397-08002B2CF9AE}" pid="11" name="LAWLISTTMP2">
    <vt:lpwstr>74903/184:3;216</vt:lpwstr>
  </property>
  <property fmtid="{D5CDD505-2E9C-101B-9397-08002B2CF9AE}" pid="12" name="LAWYER">
    <vt:lpwstr>אפרת גולדשטיין רוזן;איריס פמיליה פוגל;אבי כהן;מג'ידי דראוושה;נפגעי העבירה עינת פוגל לוין</vt:lpwstr>
  </property>
  <property fmtid="{D5CDD505-2E9C-101B-9397-08002B2CF9AE}" pid="13" name="METAKZER">
    <vt:lpwstr>פאני</vt:lpwstr>
  </property>
  <property fmtid="{D5CDD505-2E9C-101B-9397-08002B2CF9AE}" pid="14" name="NOBOOKNEVO">
    <vt:lpwstr>2258</vt:lpwstr>
  </property>
  <property fmtid="{D5CDD505-2E9C-101B-9397-08002B2CF9AE}" pid="15" name="NOSE11">
    <vt:lpwstr>עונשין</vt:lpwstr>
  </property>
  <property fmtid="{D5CDD505-2E9C-101B-9397-08002B2CF9AE}" pid="16" name="NOSE110">
    <vt:lpwstr/>
  </property>
  <property fmtid="{D5CDD505-2E9C-101B-9397-08002B2CF9AE}" pid="17" name="NOSE12">
    <vt:lpwstr>עונשין</vt:lpwstr>
  </property>
  <property fmtid="{D5CDD505-2E9C-101B-9397-08002B2CF9AE}" pid="18" name="NOSE13">
    <vt:lpwstr>עונשין</vt:lpwstr>
  </property>
  <property fmtid="{D5CDD505-2E9C-101B-9397-08002B2CF9AE}" pid="19" name="NOSE14">
    <vt:lpwstr>עונשין</vt:lpwstr>
  </property>
  <property fmtid="{D5CDD505-2E9C-101B-9397-08002B2CF9AE}" pid="20" name="NOSE15">
    <vt:lpwstr>עונשין</vt:lpwstr>
  </property>
  <property fmtid="{D5CDD505-2E9C-101B-9397-08002B2CF9AE}" pid="21" name="NOSE16">
    <vt:lpwstr>עונשין</vt:lpwstr>
  </property>
  <property fmtid="{D5CDD505-2E9C-101B-9397-08002B2CF9AE}" pid="22" name="NOSE17">
    <vt:lpwstr>עונשין</vt:lpwstr>
  </property>
  <property fmtid="{D5CDD505-2E9C-101B-9397-08002B2CF9AE}" pid="23" name="NOSE18">
    <vt:lpwstr/>
  </property>
  <property fmtid="{D5CDD505-2E9C-101B-9397-08002B2CF9AE}" pid="24" name="NOSE19">
    <vt:lpwstr/>
  </property>
  <property fmtid="{D5CDD505-2E9C-101B-9397-08002B2CF9AE}" pid="25" name="NOSE1ID">
    <vt:lpwstr>77;77;77;77;77;77;77</vt:lpwstr>
  </property>
  <property fmtid="{D5CDD505-2E9C-101B-9397-08002B2CF9AE}" pid="26" name="NOSE21">
    <vt:lpwstr>עבירת הרצח</vt:lpwstr>
  </property>
  <property fmtid="{D5CDD505-2E9C-101B-9397-08002B2CF9AE}" pid="27" name="NOSE210">
    <vt:lpwstr/>
  </property>
  <property fmtid="{D5CDD505-2E9C-101B-9397-08002B2CF9AE}" pid="28" name="NOSE22">
    <vt:lpwstr>עבירת הרצח</vt:lpwstr>
  </property>
  <property fmtid="{D5CDD505-2E9C-101B-9397-08002B2CF9AE}" pid="29" name="NOSE23">
    <vt:lpwstr>עבירת הרצח</vt:lpwstr>
  </property>
  <property fmtid="{D5CDD505-2E9C-101B-9397-08002B2CF9AE}" pid="30" name="NOSE24">
    <vt:lpwstr>ענישה</vt:lpwstr>
  </property>
  <property fmtid="{D5CDD505-2E9C-101B-9397-08002B2CF9AE}" pid="31" name="NOSE25">
    <vt:lpwstr>ענישה</vt:lpwstr>
  </property>
  <property fmtid="{D5CDD505-2E9C-101B-9397-08002B2CF9AE}" pid="32" name="NOSE26">
    <vt:lpwstr>ענישה</vt:lpwstr>
  </property>
  <property fmtid="{D5CDD505-2E9C-101B-9397-08002B2CF9AE}" pid="33" name="NOSE27">
    <vt:lpwstr>ענישה</vt:lpwstr>
  </property>
  <property fmtid="{D5CDD505-2E9C-101B-9397-08002B2CF9AE}" pid="34" name="NOSE28">
    <vt:lpwstr/>
  </property>
  <property fmtid="{D5CDD505-2E9C-101B-9397-08002B2CF9AE}" pid="35" name="NOSE29">
    <vt:lpwstr/>
  </property>
  <property fmtid="{D5CDD505-2E9C-101B-9397-08002B2CF9AE}" pid="36" name="NOSE2ID">
    <vt:lpwstr>12455;12455;12455;1446;1446;1446;1446</vt:lpwstr>
  </property>
  <property fmtid="{D5CDD505-2E9C-101B-9397-08002B2CF9AE}" pid="37" name="NOSE31">
    <vt:lpwstr>תיקון 137</vt:lpwstr>
  </property>
  <property fmtid="{D5CDD505-2E9C-101B-9397-08002B2CF9AE}" pid="38" name="NOSE310">
    <vt:lpwstr/>
  </property>
  <property fmtid="{D5CDD505-2E9C-101B-9397-08002B2CF9AE}" pid="39" name="NOSE32">
    <vt:lpwstr>החלטה להמית</vt:lpwstr>
  </property>
  <property fmtid="{D5CDD505-2E9C-101B-9397-08002B2CF9AE}" pid="40" name="NOSE33">
    <vt:lpwstr>אכזריות מיוחדת או תוך התעללות גופנית או נפשית בקורבן ‏</vt:lpwstr>
  </property>
  <property fmtid="{D5CDD505-2E9C-101B-9397-08002B2CF9AE}" pid="41" name="NOSE34">
    <vt:lpwstr>מדיניות ענישה: עבירת רצח</vt:lpwstr>
  </property>
  <property fmtid="{D5CDD505-2E9C-101B-9397-08002B2CF9AE}" pid="42" name="NOSE35">
    <vt:lpwstr>תיקון 137</vt:lpwstr>
  </property>
  <property fmtid="{D5CDD505-2E9C-101B-9397-08002B2CF9AE}" pid="43" name="NOSE36">
    <vt:lpwstr>עבירת רצח</vt:lpwstr>
  </property>
  <property fmtid="{D5CDD505-2E9C-101B-9397-08002B2CF9AE}" pid="44" name="NOSE37">
    <vt:lpwstr>מאסר עולם</vt:lpwstr>
  </property>
  <property fmtid="{D5CDD505-2E9C-101B-9397-08002B2CF9AE}" pid="45" name="NOSE38">
    <vt:lpwstr/>
  </property>
  <property fmtid="{D5CDD505-2E9C-101B-9397-08002B2CF9AE}" pid="46" name="NOSE39">
    <vt:lpwstr/>
  </property>
  <property fmtid="{D5CDD505-2E9C-101B-9397-08002B2CF9AE}" pid="47" name="NOSE3ID">
    <vt:lpwstr>18905;16197;19079;14615;18866;19583;15651</vt:lpwstr>
  </property>
  <property fmtid="{D5CDD505-2E9C-101B-9397-08002B2CF9AE}" pid="48" name="PADIDATE">
    <vt:lpwstr>20230219</vt:lpwstr>
  </property>
  <property fmtid="{D5CDD505-2E9C-101B-9397-08002B2CF9AE}" pid="49" name="PADIMAIL">
    <vt:lpwstr>YES</vt:lpwstr>
  </property>
  <property fmtid="{D5CDD505-2E9C-101B-9397-08002B2CF9AE}" pid="50" name="PROCESS">
    <vt:lpwstr>עפ</vt:lpwstr>
  </property>
  <property fmtid="{D5CDD505-2E9C-101B-9397-08002B2CF9AE}" pid="51" name="PROCNUM">
    <vt:lpwstr>578</vt:lpwstr>
  </property>
  <property fmtid="{D5CDD505-2E9C-101B-9397-08002B2CF9AE}" pid="52" name="PROCYEAR">
    <vt:lpwstr>21</vt:lpwstr>
  </property>
  <property fmtid="{D5CDD505-2E9C-101B-9397-08002B2CF9AE}" pid="53" name="PSAKDIN">
    <vt:lpwstr>פסק-דין</vt:lpwstr>
  </property>
  <property fmtid="{D5CDD505-2E9C-101B-9397-08002B2CF9AE}" pid="54" name="TYPE">
    <vt:lpwstr>1</vt:lpwstr>
  </property>
  <property fmtid="{D5CDD505-2E9C-101B-9397-08002B2CF9AE}" pid="55" name="TYPE_ABS_DATE">
    <vt:lpwstr>410120230216</vt:lpwstr>
  </property>
  <property fmtid="{D5CDD505-2E9C-101B-9397-08002B2CF9AE}" pid="56" name="TYPE_N_DATE">
    <vt:lpwstr>41020230216</vt:lpwstr>
  </property>
  <property fmtid="{D5CDD505-2E9C-101B-9397-08002B2CF9AE}" pid="57" name="WORDNUMPAGES">
    <vt:lpwstr>29</vt:lpwstr>
  </property>
</Properties>
</file>