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bookmarkStart w:id="0" w:name="LastJudge"/>
            <w:bookmarkEnd w:id="0"/>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5787/19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הנשיאה</w:t>
            </w:r>
            <w:r>
              <w:rPr>
                <w:rFonts w:cs="Times New Roman;Times New Roman"/>
                <w:rtl w:val="true"/>
              </w:rPr>
              <w:t xml:space="preserve"> </w:t>
            </w:r>
            <w:r>
              <w:rPr>
                <w:rtl w:val="true"/>
              </w:rPr>
              <w:t>א</w:t>
            </w:r>
            <w:r>
              <w:rPr>
                <w:rtl w:val="true"/>
              </w:rPr>
              <w:t xml:space="preserve">' </w:t>
            </w:r>
            <w:r>
              <w:rPr>
                <w:rtl w:val="true"/>
              </w:rPr>
              <w:t>חיות</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2" w:name="FirstAppellant"/>
            <w:bookmarkEnd w:id="2"/>
            <w:r>
              <w:rPr>
                <w:rFonts w:ascii="David;Times New Roman" w:hAnsi="David;Times New Roman"/>
                <w:rtl w:val="true"/>
              </w:rPr>
              <w:t>המערערים</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חמודה</w:t>
            </w:r>
            <w:r>
              <w:rPr>
                <w:rFonts w:cs="Times New Roman;Times New Roman"/>
                <w:rtl w:val="true"/>
              </w:rPr>
              <w:t xml:space="preserve"> </w:t>
            </w:r>
            <w:r>
              <w:rPr>
                <w:rtl w:val="true"/>
              </w:rPr>
              <w:t>עבד</w:t>
            </w:r>
            <w:r>
              <w:rPr>
                <w:rFonts w:cs="Times New Roman;Times New Roman"/>
                <w:rtl w:val="true"/>
              </w:rPr>
              <w:t xml:space="preserve"> </w:t>
            </w:r>
            <w:r>
              <w:rPr>
                <w:rtl w:val="true"/>
              </w:rPr>
              <w:t>אל</w:t>
            </w:r>
            <w:r>
              <w:rPr>
                <w:rFonts w:cs="Times New Roman;Times New Roman"/>
                <w:rtl w:val="true"/>
              </w:rPr>
              <w:t xml:space="preserve"> </w:t>
            </w:r>
            <w:r>
              <w:rPr>
                <w:rtl w:val="true"/>
              </w:rPr>
              <w:t>חכים</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מוחמד</w:t>
            </w:r>
            <w:r>
              <w:rPr>
                <w:rFonts w:cs="Times New Roman;Times New Roman"/>
                <w:rtl w:val="true"/>
              </w:rPr>
              <w:t xml:space="preserve"> </w:t>
            </w:r>
            <w:r>
              <w:rPr>
                <w:rtl w:val="true"/>
              </w:rPr>
              <w:t>עודי</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3</w:t>
            </w:r>
            <w:r>
              <w:rPr>
                <w:rtl w:val="true"/>
              </w:rPr>
              <w:t xml:space="preserve">. </w:t>
            </w:r>
            <w:r>
              <w:rPr>
                <w:rtl w:val="true"/>
              </w:rPr>
              <w:t>מוחמד</w:t>
            </w:r>
            <w:r>
              <w:rPr>
                <w:rFonts w:cs="Times New Roman;Times New Roman"/>
                <w:rtl w:val="true"/>
              </w:rPr>
              <w:t xml:space="preserve"> </w:t>
            </w:r>
            <w:r>
              <w:rPr>
                <w:rtl w:val="true"/>
              </w:rPr>
              <w:t>ואויה</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המשיבים</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יו</w:t>
            </w:r>
            <w:r>
              <w:rPr>
                <w:rtl w:val="true"/>
              </w:rPr>
              <w:t>"</w:t>
            </w:r>
            <w:r>
              <w:rPr>
                <w:rtl w:val="true"/>
              </w:rPr>
              <w:t>ר</w:t>
            </w:r>
            <w:r>
              <w:rPr>
                <w:rFonts w:cs="Times New Roman;Times New Roman"/>
                <w:rtl w:val="true"/>
              </w:rPr>
              <w:t xml:space="preserve"> </w:t>
            </w:r>
            <w:r>
              <w:rPr>
                <w:rtl w:val="true"/>
              </w:rPr>
              <w:t>הועדה</w:t>
            </w:r>
            <w:r>
              <w:rPr>
                <w:rFonts w:cs="Times New Roman;Times New Roman"/>
                <w:rtl w:val="true"/>
              </w:rPr>
              <w:t xml:space="preserve"> </w:t>
            </w:r>
            <w:r>
              <w:rPr>
                <w:rtl w:val="true"/>
              </w:rPr>
              <w:t>המחוזית</w:t>
            </w:r>
            <w:r>
              <w:rPr>
                <w:rFonts w:cs="Times New Roman;Times New Roman"/>
                <w:rtl w:val="true"/>
              </w:rPr>
              <w:t xml:space="preserve"> </w:t>
            </w:r>
            <w:r>
              <w:rPr>
                <w:rtl w:val="true"/>
              </w:rPr>
              <w:t>לתכנון</w:t>
            </w:r>
            <w:r>
              <w:rPr>
                <w:rFonts w:cs="Times New Roman;Times New Roman"/>
                <w:rtl w:val="true"/>
              </w:rPr>
              <w:t xml:space="preserve"> </w:t>
            </w:r>
            <w:r>
              <w:rPr>
                <w:rtl w:val="true"/>
              </w:rPr>
              <w:t>ולבנייה</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אלי</w:t>
            </w:r>
            <w:r>
              <w:rPr>
                <w:rFonts w:cs="Times New Roman;Times New Roman"/>
                <w:rtl w:val="true"/>
              </w:rPr>
              <w:t xml:space="preserve"> </w:t>
            </w:r>
            <w:r>
              <w:rPr>
                <w:rtl w:val="true"/>
              </w:rPr>
              <w:t>ברנד</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החלטת</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משפט</w:t>
            </w:r>
            <w:r>
              <w:rPr>
                <w:rFonts w:cs="Times New Roman;Times New Roman"/>
                <w:sz w:val="24"/>
                <w:sz w:val="24"/>
                <w:szCs w:val="24"/>
                <w:rtl w:val="true"/>
              </w:rPr>
              <w:t xml:space="preserve"> </w:t>
            </w:r>
            <w:r>
              <w:rPr>
                <w:sz w:val="24"/>
                <w:sz w:val="24"/>
                <w:szCs w:val="24"/>
                <w:rtl w:val="true"/>
              </w:rPr>
              <w:t>השלום</w:t>
            </w:r>
            <w:r>
              <w:rPr>
                <w:rFonts w:cs="Times New Roman;Times New Roman"/>
                <w:sz w:val="24"/>
                <w:sz w:val="24"/>
                <w:szCs w:val="24"/>
                <w:rtl w:val="true"/>
              </w:rPr>
              <w:t xml:space="preserve"> </w:t>
            </w:r>
            <w:r>
              <w:rPr>
                <w:sz w:val="24"/>
                <w:sz w:val="24"/>
                <w:szCs w:val="24"/>
                <w:rtl w:val="true"/>
              </w:rPr>
              <w:t>ב</w:t>
            </w:r>
            <w:r>
              <w:rPr>
                <w:sz w:val="24"/>
                <w:sz w:val="24"/>
                <w:szCs w:val="24"/>
                <w:rtl w:val="true"/>
              </w:rPr>
              <w:t>נתניה</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15.</w:t>
            </w:r>
            <w:r>
              <w:rPr>
                <w:sz w:val="24"/>
                <w:szCs w:val="24"/>
              </w:rPr>
              <w:t>8</w:t>
            </w:r>
            <w:r>
              <w:rPr>
                <w:sz w:val="24"/>
                <w:szCs w:val="24"/>
              </w:rPr>
              <w:t>.2019</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בב</w:t>
              </w:r>
              <w:r>
                <w:rPr>
                  <w:rStyle w:val="Hyperlink"/>
                  <w:color w:val="0000FF"/>
                  <w:sz w:val="24"/>
                  <w:szCs w:val="24"/>
                  <w:u w:val="single"/>
                  <w:rtl w:val="true"/>
                </w:rPr>
                <w:t>"</w:t>
              </w:r>
              <w:r>
                <w:rPr>
                  <w:rStyle w:val="Hyperlink"/>
                  <w:color w:val="0000FF"/>
                  <w:sz w:val="24"/>
                  <w:sz w:val="24"/>
                  <w:szCs w:val="24"/>
                  <w:u w:val="single"/>
                  <w:rtl w:val="true"/>
                </w:rPr>
                <w:t>נ</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62861-06-18</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אשר</w:t>
            </w:r>
            <w:r>
              <w:rPr>
                <w:rFonts w:cs="Times New Roman;Times New Roman"/>
                <w:sz w:val="24"/>
                <w:sz w:val="24"/>
                <w:szCs w:val="24"/>
                <w:rtl w:val="true"/>
              </w:rPr>
              <w:t xml:space="preserve"> </w:t>
            </w:r>
            <w:r>
              <w:rPr>
                <w:sz w:val="24"/>
                <w:sz w:val="24"/>
                <w:szCs w:val="24"/>
                <w:rtl w:val="true"/>
              </w:rPr>
              <w:t>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w:t>
            </w:r>
            <w:r>
              <w:rPr>
                <w:rFonts w:cs="Times New Roman;Times New Roman"/>
                <w:sz w:val="24"/>
                <w:sz w:val="24"/>
                <w:szCs w:val="24"/>
                <w:rtl w:val="true"/>
              </w:rPr>
              <w:t xml:space="preserve"> </w:t>
            </w:r>
            <w:r>
              <w:rPr>
                <w:rFonts w:ascii="Century" w:hAnsi="Century" w:cs="Miriam"/>
                <w:b/>
                <w:b/>
                <w:szCs w:val="24"/>
                <w:rtl w:val="true"/>
              </w:rPr>
              <w:t>א</w:t>
            </w:r>
            <w:r>
              <w:rPr>
                <w:rFonts w:cs="Miriam" w:ascii="Century" w:hAnsi="Century"/>
                <w:b/>
                <w:szCs w:val="24"/>
                <w:rtl w:val="true"/>
              </w:rPr>
              <w:t xml:space="preserve">' </w:t>
            </w:r>
            <w:r>
              <w:rPr>
                <w:rFonts w:ascii="Century" w:hAnsi="Century" w:cs="Miriam"/>
                <w:b/>
                <w:b/>
                <w:szCs w:val="24"/>
                <w:rtl w:val="true"/>
              </w:rPr>
              <w:t>ברנד</w:t>
            </w:r>
          </w:p>
        </w:tc>
      </w:tr>
    </w:tbl>
    <w:p>
      <w:pPr>
        <w:pStyle w:val="Ruller31"/>
        <w:ind w:end="0"/>
        <w:jc w:val="start"/>
        <w:rPr/>
      </w:pPr>
      <w:r>
        <w:rPr>
          <w:rtl w:val="true"/>
        </w:rPr>
      </w:r>
    </w:p>
    <w:p>
      <w:pPr>
        <w:pStyle w:val="Ruller31"/>
        <w:ind w:end="0"/>
        <w:jc w:val="start"/>
        <w:rPr/>
      </w:pPr>
      <w:bookmarkStart w:id="3" w:name="FirstLawyer"/>
      <w:r>
        <w:rPr>
          <w:rtl w:val="true"/>
        </w:rPr>
        <w:t>בשם</w:t>
      </w:r>
      <w:r>
        <w:rPr>
          <w:rFonts w:cs="Times New Roman;Times New Roman"/>
          <w:rtl w:val="true"/>
        </w:rPr>
        <w:t xml:space="preserve"> </w:t>
      </w:r>
      <w:r>
        <w:rPr>
          <w:rtl w:val="true"/>
        </w:rPr>
        <w:t>המערער</w:t>
      </w:r>
      <w:bookmarkEnd w:id="3"/>
      <w:r>
        <w:rPr>
          <w:rtl w:val="true"/>
        </w:rPr>
        <w:t>ים</w:t>
      </w:r>
      <w:r>
        <w:rPr>
          <w:rtl w:val="true"/>
        </w:rPr>
        <w:t>:</w:t>
      </w:r>
      <w:r>
        <w:rPr>
          <w:rtl w:val="true"/>
        </w:rPr>
        <w:tab/>
      </w:r>
      <w:r>
        <w:rPr>
          <w:rtl w:val="true"/>
        </w:rPr>
        <w:t>עו</w:t>
      </w:r>
      <w:r>
        <w:rPr>
          <w:rtl w:val="true"/>
        </w:rPr>
        <w:t>"</w:t>
      </w:r>
      <w:r>
        <w:rPr>
          <w:rtl w:val="true"/>
        </w:rPr>
        <w:t>ד</w:t>
      </w:r>
      <w:r>
        <w:rPr>
          <w:rFonts w:cs="Times New Roman;Times New Roman"/>
          <w:rtl w:val="true"/>
        </w:rPr>
        <w:t xml:space="preserve"> </w:t>
      </w:r>
      <w:r>
        <w:rPr>
          <w:rtl w:val="true"/>
        </w:rPr>
        <w:t>עלא</w:t>
      </w:r>
      <w:r>
        <w:rPr>
          <w:rFonts w:cs="Times New Roman;Times New Roman"/>
          <w:rtl w:val="true"/>
        </w:rPr>
        <w:t xml:space="preserve"> </w:t>
      </w:r>
      <w:r>
        <w:rPr>
          <w:rtl w:val="true"/>
        </w:rPr>
        <w:t>תלאווי</w:t>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4" w:name="LawTable"/>
      <w:bookmarkEnd w:id="4"/>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התכנון והבניה</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תשכ</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ה</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1965</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221</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238</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6">
        <w:r>
          <w:rPr>
            <w:rStyle w:val="Hyperlink"/>
            <w:rFonts w:ascii="FrankRuehl" w:hAnsi="FrankRuehl" w:cs="FrankRuehl"/>
            <w:color w:val="0000FF"/>
            <w:sz w:val="24"/>
            <w:sz w:val="24"/>
            <w:u w:val="single"/>
            <w:rtl w:val="true"/>
          </w:rPr>
          <w:t>פרק י</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7">
        <w:r>
          <w:rPr>
            <w:rStyle w:val="Hyperlink"/>
            <w:rFonts w:ascii="FrankRuehl" w:hAnsi="FrankRuehl" w:cs="FrankRuehl"/>
            <w:color w:val="0000FF"/>
            <w:sz w:val="24"/>
            <w:sz w:val="24"/>
            <w:u w:val="single"/>
            <w:rtl w:val="true"/>
          </w:rPr>
          <w:t xml:space="preserve">חוק בתי המשפט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משולב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8">
        <w:r>
          <w:rPr>
            <w:rStyle w:val="Hyperlink"/>
            <w:rFonts w:cs="FrankRuehl" w:ascii="FrankRuehl" w:hAnsi="FrankRuehl"/>
            <w:color w:val="0000FF"/>
            <w:sz w:val="24"/>
            <w:u w:val="single"/>
          </w:rPr>
          <w:t>77</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77</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5" w:name="ABSTRACT_START"/>
      <w:bookmarkStart w:id="6" w:name="LawTable_End"/>
      <w:bookmarkEnd w:id="5"/>
      <w:bookmarkEnd w:id="6"/>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חרף הקרבה המשפחתית בין המותב לבין יושבת ראש הוועדה המחוזית לתכנו</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ב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אשתו של המותב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הוכח בענייננו קיומו של חשש ממשי למשוא פנים מצד המותב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או כי מתקיימת העילה הספציפית </w:t>
      </w:r>
      <w:hyperlink r:id="rId10">
        <w:r>
          <w:rPr>
            <w:rStyle w:val="Hyperlink"/>
            <w:rFonts w:ascii="Times New Roman;Times New Roman" w:hAnsi="Times New Roman;Times New Roman" w:cs="Times New Roman;Times New Roman"/>
            <w:spacing w:val="0"/>
            <w:sz w:val="24"/>
            <w:sz w:val="24"/>
            <w:szCs w:val="26"/>
            <w:rtl w:val="true"/>
          </w:rPr>
          <w:t>שבסעיף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11">
        <w:r>
          <w:rPr>
            <w:rStyle w:val="Hyperlink"/>
            <w:rFonts w:ascii="Times New Roman;Times New Roman" w:hAnsi="Times New Roman;Times New Roman" w:cs="Times New Roman;Times New Roman"/>
            <w:spacing w:val="0"/>
            <w:sz w:val="24"/>
            <w:sz w:val="24"/>
            <w:szCs w:val="26"/>
            <w:rtl w:val="true"/>
          </w:rPr>
          <w:t>חוק</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בתי</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המשפט</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הקובעת כי שופט לא ישב בדין אם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צד להליך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בא כוחו או עד מרכזי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הוא בן משפחה של השופט או שקיימת ביניהם קרבה ממשית אחרת</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משפט – פסלות שופט – חשש ממשי למשוא פנים</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משפט – פסלות שופט – עילות הפסלות</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משפט – שופטים – פסילה</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ערעור על החלטת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שלום בנתניה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השופט 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ברנד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שלא לפסול עצמו מלדון בעניינם של המערערים בקשר לצווי הריסה מינהליים שהוצאו ביחס לשלושה מבנים שנבנו ללא היתר בנייה ביישוב קלנסואה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אשר למערערים זיקה אליהם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להלן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הצווים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השלום דן בבקשת היחידה הארצית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להארכת המועד לביצוע הצווים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וזאת בעקבות הצו הארעי שניתן בעתירה מינהלית המתנהלת בביהמ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טענתם המרכזית של המערערים היא כי נוכח העובדה שהוועדה המחוזית לתכנו</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 דנה בתכנית להכשרת הבניה בקלנסואה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לרבות הבנייה מושא צווי ההריסה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היה על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קמא לגלות את דבר הקרבה המשפחתית בינו ובין יושבת ראש הוועדה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אשתו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ולאפשר לצדדים לטעון בעניין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לטענתם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יושבת ראש הוועדה המחוזית מעורבת בהליכים להכשרת המבנים מושא הצווים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ולשיטתם היא אחראית על ביצוע הצווים ותוקפם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בשל העובדה שאלה הוצאו בטרם חקיקתו של תיקון מס</w:t>
      </w:r>
      <w:r>
        <w:rPr>
          <w:rFonts w:cs="Times New Roman;Times New Roman" w:ascii="Times New Roman;Times New Roman" w:hAnsi="Times New Roman;Times New Roman"/>
          <w:spacing w:val="0"/>
          <w:sz w:val="24"/>
          <w:szCs w:val="26"/>
          <w:rtl w:val="true"/>
        </w:rPr>
        <w:t xml:space="preserve">' </w:t>
      </w:r>
      <w:r>
        <w:rPr>
          <w:rFonts w:cs="Times New Roman;Times New Roman" w:ascii="Times New Roman;Times New Roman" w:hAnsi="Times New Roman;Times New Roman"/>
          <w:spacing w:val="0"/>
          <w:sz w:val="24"/>
          <w:szCs w:val="26"/>
        </w:rPr>
        <w:t>116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לחוק</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נסיבות אלה מצביעות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אליבא דמערערים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קיומו של חשש ממשי למשוא פנים וכן על כך שמראית פני הצדק מצדיקה אף היא את פסילת המותב</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הנשיאה 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הערעור מהטעמים הבאים</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 xml:space="preserve">המבחן לפסילת שופט מלשבת בדין הוא זה הקבוע </w:t>
      </w:r>
      <w:hyperlink r:id="rId12">
        <w:r>
          <w:rPr>
            <w:rStyle w:val="Hyperlink"/>
            <w:rFonts w:ascii="Times New Roman;Times New Roman" w:hAnsi="Times New Roman;Times New Roman" w:cs="Times New Roman;Times New Roman"/>
            <w:spacing w:val="0"/>
            <w:sz w:val="24"/>
            <w:sz w:val="24"/>
            <w:szCs w:val="26"/>
            <w:rtl w:val="true"/>
          </w:rPr>
          <w:t>בסעיף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13">
        <w:r>
          <w:rPr>
            <w:rStyle w:val="Hyperlink"/>
            <w:rFonts w:ascii="Times New Roman;Times New Roman" w:hAnsi="Times New Roman;Times New Roman" w:cs="Times New Roman;Times New Roman"/>
            <w:spacing w:val="0"/>
            <w:sz w:val="24"/>
            <w:sz w:val="24"/>
            <w:szCs w:val="26"/>
            <w:rtl w:val="true"/>
          </w:rPr>
          <w:t>חוק</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בתי</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המשפט</w:t>
        </w:r>
      </w:hyperlink>
      <w:r>
        <w:rPr>
          <w:rFonts w:ascii="Times New Roman;Times New Roman" w:hAnsi="Times New Roman;Times New Roman" w:cs="Times New Roman;Times New Roman"/>
          <w:spacing w:val="0"/>
          <w:sz w:val="24"/>
          <w:sz w:val="24"/>
          <w:szCs w:val="26"/>
          <w:rtl w:val="true"/>
        </w:rPr>
        <w:t xml:space="preserve"> ולפיו יש לבחון האם קיימות נסיבות שיש בהן כדי ליצור חשש ממשי למשוא פנים מצד המותב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עלה בידי המערערים להוכיח כי במקרה דנן אכן קיים חשש כאמור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או כי מתקיימת העילה הספציפית </w:t>
      </w:r>
      <w:hyperlink r:id="rId14">
        <w:r>
          <w:rPr>
            <w:rStyle w:val="Hyperlink"/>
            <w:rFonts w:ascii="Times New Roman;Times New Roman" w:hAnsi="Times New Roman;Times New Roman" w:cs="Times New Roman;Times New Roman"/>
            <w:spacing w:val="0"/>
            <w:sz w:val="24"/>
            <w:sz w:val="24"/>
            <w:szCs w:val="26"/>
            <w:rtl w:val="true"/>
          </w:rPr>
          <w:t>שבסעיף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15">
        <w:r>
          <w:rPr>
            <w:rStyle w:val="Hyperlink"/>
            <w:rFonts w:ascii="Times New Roman;Times New Roman" w:hAnsi="Times New Roman;Times New Roman" w:cs="Times New Roman;Times New Roman"/>
            <w:spacing w:val="0"/>
            <w:sz w:val="24"/>
            <w:sz w:val="24"/>
            <w:szCs w:val="26"/>
            <w:rtl w:val="true"/>
          </w:rPr>
          <w:t>חוק</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בתי</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ascii="Times New Roman;Times New Roman" w:hAnsi="Times New Roman;Times New Roman" w:cs="Times New Roman;Times New Roman"/>
            <w:spacing w:val="0"/>
            <w:sz w:val="24"/>
            <w:sz w:val="24"/>
            <w:szCs w:val="26"/>
            <w:rtl w:val="true"/>
          </w:rPr>
          <w:t>המשפט</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הקובעת כי שופט לא ישב בדין אם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צד להליך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בא כוחו או עד מרכזי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הוא בן משפחה של השופט או שקיימת ביניהם קרבה ממשית אחרת</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אמנם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בראשית הדרך הוצאו הצווים על ידי מי שכיהן אז כיושב ראש הוועדה המחוזית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ואולם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ההליכים הנוכחיים בפני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הוגשו על ידי היחידה הארצית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בלא שנטען </w:t>
      </w:r>
      <w:r>
        <w:rPr>
          <w:rFonts w:ascii="Times New Roman;Times New Roman" w:hAnsi="Times New Roman;Times New Roman" w:cs="Times New Roman;Times New Roman"/>
          <w:spacing w:val="0"/>
          <w:sz w:val="24"/>
          <w:sz w:val="24"/>
          <w:szCs w:val="26"/>
          <w:rtl w:val="true"/>
        </w:rPr>
        <w:t>על ידי מי מהצדדים</w:t>
      </w:r>
      <w:r>
        <w:rPr>
          <w:rFonts w:ascii="Times New Roman;Times New Roman" w:hAnsi="Times New Roman;Times New Roman" w:cs="Times New Roman;Times New Roman"/>
          <w:spacing w:val="0"/>
          <w:sz w:val="24"/>
          <w:sz w:val="24"/>
          <w:szCs w:val="26"/>
          <w:rtl w:val="true"/>
        </w:rPr>
        <w:t xml:space="preserve"> למעורבות כלשהי של הוועדה המחוזית או העומדת בראשה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בנסיבות אלה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אין לומר כי על המקרה דנן חלה הוראת </w:t>
      </w:r>
      <w:hyperlink r:id="rId16">
        <w:r>
          <w:rPr>
            <w:rStyle w:val="Hyperlink"/>
            <w:rFonts w:ascii="Times New Roman;Times New Roman" w:hAnsi="Times New Roman;Times New Roman" w:cs="Times New Roman;Times New Roman"/>
            <w:spacing w:val="0"/>
            <w:sz w:val="24"/>
            <w:sz w:val="24"/>
            <w:szCs w:val="26"/>
            <w:rtl w:val="true"/>
          </w:rPr>
          <w:t>סעיף</w:t>
        </w:r>
        <w:r>
          <w:rPr>
            <w:rStyle w:val="Hyperlink"/>
            <w:rFonts w:ascii="Times New Roman;Times New Roman" w:hAnsi="Times New Roman;Times New Roman" w:cs="Times New Roman;Times New Roman"/>
            <w:spacing w:val="0"/>
            <w:sz w:val="24"/>
            <w:sz w:val="24"/>
            <w:szCs w:val="26"/>
            <w:rtl w:val="true"/>
          </w:rPr>
          <w:t xml:space="preserve"> </w:t>
        </w:r>
        <w:r>
          <w:rPr>
            <w:rStyle w:val="Hyperlink"/>
            <w:rFonts w:cs="Times New Roman;Times New Roman" w:ascii="Times New Roman;Times New Roman" w:hAnsi="Times New Roman;Times New Roman"/>
            <w:spacing w:val="0"/>
            <w:sz w:val="24"/>
            <w:szCs w:val="26"/>
          </w:rPr>
          <w:t>77</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וכי על המותב היה לפסול עצמו בשל כך</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אשר לעתירה המנהלית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עתירה זו עוסקת בטענות המערערים בנוגע להליכים תכנוניים הנוגעים לעיר קלנסואה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אשר בה מעורבת הוועדה המחוזית וברי כי לו היו טענות שכאלה מונחות בפני המותב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היה בהן כדי להצדיק את פסילתו בשל קרבתו המשפחתית ליושבת ראש הוועדה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אך העתירה המינהלית מתנהלת בביהמ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 והסעד שהתבקש במסגרתה אינו נוגע כלל ועיקר לצווים ואף נקבע במפורש במסגרת ההחלטה שניתנה לאחר הדיון שהתקיים בבקשת המערערים למתן צו ביניים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הצווים לא ידונו במסגרת העתירה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כן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קשר בין העתירה המינהלית ובין ההליכים המתנהלים בפני המותב והיא אינה מצדיקה את פסילת המותב באשר היא אינה מקימה חשש ממשי למשוא פנים</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לכל אלה יש להוסיף את השיהוי </w:t>
      </w:r>
      <w:r>
        <w:rPr>
          <w:rFonts w:ascii="Times New Roman;Times New Roman" w:hAnsi="Times New Roman;Times New Roman" w:cs="Times New Roman;Times New Roman"/>
          <w:spacing w:val="0"/>
          <w:sz w:val="24"/>
          <w:sz w:val="24"/>
          <w:szCs w:val="26"/>
          <w:rtl w:val="true"/>
        </w:rPr>
        <w:t>שדבק בהעלאת טענת הפסלות במקרה דנן עליו עמד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עוד ביום </w:t>
      </w:r>
      <w:r>
        <w:rPr>
          <w:rFonts w:cs="Times New Roman;Times New Roman" w:ascii="Times New Roman;Times New Roman" w:hAnsi="Times New Roman;Times New Roman"/>
          <w:spacing w:val="0"/>
          <w:sz w:val="24"/>
          <w:szCs w:val="26"/>
        </w:rPr>
        <w:t>28.2.2019</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ניתנה החלטת המותב אשר הורתה למערערים להגיב לבקשת היחידה הארצית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בהמשך הגישו המערערים בקשת ארכה להגשת תגובתם והחלטה בה ניתנה אף היא על ידי המותב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חולק כי במועד זה ידע בא</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כוח המערערים על הקשר המשפחתי שבין המותב ליושבת ראש הוועדה המחוזית ובנסיבות אלה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העלאת טענת הפסלות לראשונה במסגרת הערעור על החלטת המותב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לוקה בשיהוי ואף מעלה חשש כי בפנינו ניסיון נואל לנצל לרעה את הליך הפסלות</w:t>
      </w:r>
      <w:r>
        <w:rPr>
          <w:rFonts w:cs="Times New Roman;Times New Roman" w:ascii="Times New Roman;Times New Roman" w:hAnsi="Times New Roman;Times New Roman"/>
          <w:spacing w:val="0"/>
          <w:sz w:val="24"/>
          <w:szCs w:val="26"/>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spacing w:val="0"/>
          <w:sz w:val="24"/>
          <w:szCs w:val="26"/>
        </w:rPr>
      </w:pPr>
      <w:r>
        <w:rPr>
          <w:rFonts w:cs="FrankRuehl" w:ascii="FrankRuehl" w:hAnsi="FrankRuehl"/>
          <w:spacing w:val="0"/>
          <w:sz w:val="24"/>
          <w:szCs w:val="26"/>
          <w:rtl w:val="true"/>
        </w:rPr>
      </w:r>
      <w:bookmarkStart w:id="7" w:name="ABSTRACT_END"/>
      <w:bookmarkStart w:id="8" w:name="ABSTRACT_END"/>
      <w:bookmarkEnd w:id="8"/>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9" w:name="PsakDin"/>
            <w:bookmarkStart w:id="10" w:name="BeginProtocol"/>
            <w:bookmarkStart w:id="11" w:name="secretary"/>
            <w:bookmarkEnd w:id="9"/>
            <w:bookmarkEnd w:id="10"/>
            <w:bookmarkEnd w:id="11"/>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r>
        <w:rPr>
          <w:rFonts w:cs="Miriam"/>
          <w:sz w:val="24"/>
          <w:szCs w:val="24"/>
          <w:u w:val="single"/>
          <w:rtl w:val="true"/>
        </w:rPr>
      </w:r>
      <w:bookmarkStart w:id="12" w:name="Writer_Name"/>
      <w:bookmarkStart w:id="13" w:name="Writer_Name"/>
      <w:bookmarkEnd w:id="13"/>
    </w:p>
    <w:p>
      <w:pPr>
        <w:pStyle w:val="Ruller4"/>
        <w:ind w:end="0"/>
        <w:jc w:val="both"/>
        <w:rPr>
          <w:rFonts w:ascii="Century" w:hAnsi="Century" w:cs="Century"/>
        </w:rPr>
      </w:pPr>
      <w:bookmarkStart w:id="14" w:name="Start_Write"/>
      <w:bookmarkEnd w:id="14"/>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השלום</w:t>
      </w:r>
      <w:r>
        <w:rPr>
          <w:rFonts w:eastAsia="Arial TUR;Arial" w:cs="Arial TUR;Arial"/>
          <w:rtl w:val="true"/>
        </w:rPr>
        <w:t xml:space="preserve"> </w:t>
      </w:r>
      <w:r>
        <w:rPr>
          <w:rtl w:val="true"/>
        </w:rPr>
        <w:t>בנתניה</w:t>
      </w:r>
      <w:r>
        <w:rPr>
          <w:rFonts w:eastAsia="Arial TUR;Arial" w:cs="Arial TUR;Arial"/>
          <w:rtl w:val="true"/>
        </w:rPr>
        <w:t xml:space="preserve"> </w:t>
      </w:r>
      <w:r>
        <w:rPr>
          <w:rtl w:val="true"/>
        </w:rPr>
        <w:t>(</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ברנד</w:t>
      </w:r>
      <w:r>
        <w:rPr>
          <w:rFonts w:cs="Century" w:ascii="Century" w:hAnsi="Century"/>
          <w:rtl w:val="true"/>
        </w:rPr>
        <w:t xml:space="preserve">) </w:t>
      </w:r>
      <w:r>
        <w:rPr>
          <w:rFonts w:ascii="Century" w:hAnsi="Century" w:cs="Century"/>
          <w:rtl w:val="true"/>
        </w:rPr>
        <w:t xml:space="preserve">מיום </w:t>
      </w:r>
      <w:r>
        <w:rPr>
          <w:rFonts w:cs="Century" w:ascii="Century" w:hAnsi="Century"/>
        </w:rPr>
        <w:t>15.8.2019</w:t>
      </w:r>
      <w:r>
        <w:rPr>
          <w:rFonts w:cs="Century" w:ascii="Century" w:hAnsi="Century"/>
          <w:rtl w:val="true"/>
        </w:rPr>
        <w:t xml:space="preserve"> </w:t>
      </w:r>
      <w:hyperlink r:id="rId17">
        <w:r>
          <w:rPr>
            <w:rStyle w:val="Hyperlink"/>
            <w:rFonts w:ascii="Century" w:hAnsi="Century" w:cs="Century"/>
            <w:color w:val="0000FF"/>
            <w:u w:val="single"/>
            <w:rtl w:val="true"/>
          </w:rPr>
          <w:t>בב</w:t>
        </w:r>
        <w:r>
          <w:rPr>
            <w:rStyle w:val="Hyperlink"/>
            <w:rFonts w:cs="Century" w:ascii="Century" w:hAnsi="Century"/>
            <w:color w:val="0000FF"/>
            <w:u w:val="single"/>
            <w:rtl w:val="true"/>
          </w:rPr>
          <w:t>"</w:t>
        </w:r>
        <w:r>
          <w:rPr>
            <w:rStyle w:val="Hyperlink"/>
            <w:rFonts w:ascii="Century" w:hAnsi="Century" w:cs="Century"/>
            <w:color w:val="0000FF"/>
            <w:u w:val="single"/>
            <w:rtl w:val="true"/>
          </w:rPr>
          <w:t>נ</w:t>
        </w:r>
        <w:r>
          <w:rPr>
            <w:rStyle w:val="Hyperlink"/>
            <w:rFonts w:ascii="Century" w:hAnsi="Century" w:cs="Century"/>
            <w:color w:val="0000FF"/>
            <w:u w:val="single"/>
            <w:rtl w:val="true"/>
          </w:rPr>
          <w:t xml:space="preserve"> </w:t>
        </w:r>
        <w:r>
          <w:rPr>
            <w:rStyle w:val="Hyperlink"/>
            <w:rFonts w:cs="Century" w:ascii="Century" w:hAnsi="Century"/>
            <w:color w:val="0000FF"/>
            <w:u w:val="single"/>
          </w:rPr>
          <w:t>62861-06-18</w:t>
        </w:r>
      </w:hyperlink>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שלא לפסול עצמו מלדון בעניינם של המערערים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 xml:space="preserve">ביום </w:t>
      </w:r>
      <w:r>
        <w:rPr/>
        <w:t>30.3.2016</w:t>
      </w:r>
      <w:r>
        <w:rPr>
          <w:rtl w:val="true"/>
        </w:rPr>
        <w:t xml:space="preserve"> </w:t>
      </w:r>
      <w:r>
        <w:rPr>
          <w:rtl w:val="true"/>
        </w:rPr>
        <w:t>הוציא מנכ</w:t>
      </w:r>
      <w:r>
        <w:rPr>
          <w:rtl w:val="true"/>
        </w:rPr>
        <w:t>"</w:t>
      </w:r>
      <w:r>
        <w:rPr>
          <w:rtl w:val="true"/>
        </w:rPr>
        <w:t>ל משרד האוצר ויו</w:t>
      </w:r>
      <w:r>
        <w:rPr>
          <w:rtl w:val="true"/>
        </w:rPr>
        <w:t>"</w:t>
      </w:r>
      <w:r>
        <w:rPr>
          <w:rtl w:val="true"/>
        </w:rPr>
        <w:t xml:space="preserve">ר הוועדה המחוזית לתכנון ולבניה מרכז </w:t>
      </w:r>
      <w:r>
        <w:rPr>
          <w:rtl w:val="true"/>
        </w:rPr>
        <w:t>(</w:t>
      </w:r>
      <w:r>
        <w:rPr>
          <w:rtl w:val="true"/>
        </w:rPr>
        <w:t>להלן</w:t>
      </w:r>
      <w:r>
        <w:rPr>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המחוזית</w:t>
      </w:r>
      <w:r>
        <w:rPr>
          <w:rFonts w:cs="Century" w:ascii="Century" w:hAnsi="Century"/>
          <w:sz w:val="22"/>
          <w:rtl w:val="true"/>
        </w:rPr>
        <w:t>)</w:t>
      </w:r>
      <w:r>
        <w:rPr>
          <w:rtl w:val="true"/>
        </w:rPr>
        <w:t xml:space="preserve"> </w:t>
      </w:r>
      <w:r>
        <w:rPr>
          <w:rtl w:val="true"/>
        </w:rPr>
        <w:t>צווי הריסה מינהליים ביחס לשלושה מבנים שנבנו ללא היתר בנייה ביישוב קלנסואה</w:t>
      </w:r>
      <w:r>
        <w:rPr>
          <w:rtl w:val="true"/>
        </w:rPr>
        <w:t xml:space="preserve">, </w:t>
      </w:r>
      <w:r>
        <w:rPr>
          <w:rtl w:val="true"/>
        </w:rPr>
        <w:t xml:space="preserve">אשר למערערים זיקה אליהם </w:t>
      </w:r>
      <w:r>
        <w:rPr>
          <w:rtl w:val="true"/>
        </w:rPr>
        <w:t>(</w:t>
      </w:r>
      <w:r>
        <w:rPr>
          <w:rtl w:val="true"/>
        </w:rPr>
        <w:t>להלן</w:t>
      </w:r>
      <w:r>
        <w:rPr>
          <w:rtl w:val="true"/>
        </w:rPr>
        <w:t xml:space="preserve">: </w:t>
      </w:r>
      <w:r>
        <w:rPr>
          <w:rFonts w:ascii="Century" w:hAnsi="Century" w:cs="Miriam"/>
          <w:b/>
          <w:b/>
          <w:spacing w:val="0"/>
          <w:sz w:val="22"/>
          <w:sz w:val="22"/>
          <w:szCs w:val="24"/>
          <w:rtl w:val="true"/>
        </w:rPr>
        <w:t>הצווים</w:t>
      </w:r>
      <w:r>
        <w:rPr>
          <w:rFonts w:cs="Century" w:ascii="Century" w:hAnsi="Century"/>
          <w:sz w:val="22"/>
          <w:rtl w:val="true"/>
        </w:rPr>
        <w:t>)</w:t>
      </w:r>
      <w:r>
        <w:rPr>
          <w:rtl w:val="true"/>
        </w:rPr>
        <w:t xml:space="preserve">. </w:t>
      </w:r>
      <w:r>
        <w:rPr>
          <w:rtl w:val="true"/>
        </w:rPr>
        <w:t xml:space="preserve">הצווים הוצאו מכוח </w:t>
      </w:r>
      <w:hyperlink r:id="rId18">
        <w:r>
          <w:rPr>
            <w:rStyle w:val="Hyperlink"/>
            <w:color w:val="0000FF"/>
            <w:u w:val="single"/>
            <w:rtl w:val="true"/>
          </w:rPr>
          <w:t>סעיף</w:t>
        </w:r>
        <w:r>
          <w:rPr>
            <w:rStyle w:val="Hyperlink"/>
            <w:color w:val="0000FF"/>
            <w:u w:val="single"/>
            <w:rtl w:val="true"/>
          </w:rPr>
          <w:t xml:space="preserve"> </w:t>
        </w:r>
        <w:r>
          <w:rPr>
            <w:rStyle w:val="Hyperlink"/>
            <w:color w:val="0000FF"/>
            <w:u w:val="single"/>
          </w:rPr>
          <w:t>238</w:t>
        </w:r>
        <w:r>
          <w:rPr>
            <w:rStyle w:val="Hyperlink"/>
            <w:color w:val="0000FF"/>
            <w:u w:val="single"/>
            <w:rtl w:val="true"/>
          </w:rPr>
          <w:t>א</w:t>
        </w:r>
      </w:hyperlink>
      <w:r>
        <w:rPr>
          <w:rtl w:val="true"/>
        </w:rPr>
        <w:t xml:space="preserve"> לחוק תכנון הבניה</w:t>
      </w:r>
      <w:r>
        <w:rPr>
          <w:rtl w:val="true"/>
        </w:rPr>
        <w:t xml:space="preserve">, </w:t>
      </w:r>
      <w:r>
        <w:rPr>
          <w:rtl w:val="true"/>
        </w:rPr>
        <w:t>התשכ</w:t>
      </w:r>
      <w:r>
        <w:rPr>
          <w:rtl w:val="true"/>
        </w:rPr>
        <w:t>"</w:t>
      </w:r>
      <w:r>
        <w:rPr>
          <w:rtl w:val="true"/>
        </w:rPr>
        <w:t>ה</w:t>
      </w:r>
      <w:r>
        <w:rPr>
          <w:rtl w:val="true"/>
        </w:rPr>
        <w:t>-</w:t>
      </w:r>
      <w:r>
        <w:rPr/>
        <w:t>1965</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בנוסחו דאז</w:t>
      </w:r>
      <w:r>
        <w:rPr>
          <w:rtl w:val="true"/>
        </w:rPr>
        <w:t xml:space="preserve">, </w:t>
      </w:r>
      <w:r>
        <w:rPr>
          <w:rtl w:val="true"/>
        </w:rPr>
        <w:t>אשר לפיו ליושב ראש ועדה מחוזית הוקנתה הסמכות למתן צווי הריסה מינהליים בתחום המחוז</w:t>
      </w:r>
      <w:r>
        <w:rPr>
          <w:rtl w:val="true"/>
        </w:rPr>
        <w:t xml:space="preserve">, </w:t>
      </w:r>
      <w:r>
        <w:rPr>
          <w:rtl w:val="true"/>
        </w:rPr>
        <w:t>בהתקיים תנאים מסויימים</w:t>
      </w:r>
      <w:r>
        <w:rPr>
          <w:rtl w:val="true"/>
        </w:rPr>
        <w:t xml:space="preserve">. </w:t>
      </w:r>
      <w:r>
        <w:rPr>
          <w:rtl w:val="true"/>
        </w:rPr>
        <w:t xml:space="preserve">ביום </w:t>
      </w:r>
      <w:r>
        <w:rPr/>
        <w:t>25.4.2017</w:t>
      </w:r>
      <w:r>
        <w:rPr>
          <w:rtl w:val="true"/>
        </w:rPr>
        <w:t xml:space="preserve"> </w:t>
      </w:r>
      <w:r>
        <w:rPr>
          <w:rtl w:val="true"/>
        </w:rPr>
        <w:t xml:space="preserve">נחקק </w:t>
      </w:r>
      <w:hyperlink r:id="rId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התכנון</w:t>
        </w:r>
        <w:r>
          <w:rPr>
            <w:rStyle w:val="Hyperlink"/>
            <w:color w:val="0000FF"/>
            <w:u w:val="single"/>
            <w:rtl w:val="true"/>
          </w:rPr>
          <w:t xml:space="preserve"> </w:t>
        </w:r>
        <w:r>
          <w:rPr>
            <w:rStyle w:val="Hyperlink"/>
            <w:color w:val="0000FF"/>
            <w:u w:val="single"/>
            <w:rtl w:val="true"/>
          </w:rPr>
          <w:t>והבנייה</w:t>
        </w:r>
      </w:hyperlink>
      <w:r>
        <w:rPr>
          <w:rtl w:val="true"/>
        </w:rPr>
        <w:t xml:space="preserve"> </w:t>
      </w:r>
      <w:r>
        <w:rPr>
          <w:rtl w:val="true"/>
        </w:rPr>
        <w:t>(</w:t>
      </w:r>
      <w:r>
        <w:rPr>
          <w:rtl w:val="true"/>
        </w:rPr>
        <w:t>תיקון מס</w:t>
      </w:r>
      <w:r>
        <w:rPr>
          <w:rtl w:val="true"/>
        </w:rPr>
        <w:t xml:space="preserve">' </w:t>
      </w:r>
      <w:r>
        <w:rPr/>
        <w:t>116</w:t>
      </w:r>
      <w:r>
        <w:rPr>
          <w:rtl w:val="true"/>
        </w:rPr>
        <w:t xml:space="preserve">), </w:t>
      </w:r>
      <w:r>
        <w:rPr>
          <w:rtl w:val="true"/>
        </w:rPr>
        <w:t>התשע</w:t>
      </w:r>
      <w:r>
        <w:rPr>
          <w:rtl w:val="true"/>
        </w:rPr>
        <w:t>"</w:t>
      </w:r>
      <w:r>
        <w:rPr>
          <w:rtl w:val="true"/>
        </w:rPr>
        <w:t>ז</w:t>
      </w:r>
      <w:r>
        <w:rPr>
          <w:rtl w:val="true"/>
        </w:rPr>
        <w:t>-</w:t>
      </w:r>
      <w:r>
        <w:rPr/>
        <w:t>2017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תיקון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cs="Miriam" w:ascii="Century" w:hAnsi="Century"/>
          <w:b/>
          <w:spacing w:val="0"/>
          <w:sz w:val="22"/>
          <w:szCs w:val="24"/>
        </w:rPr>
        <w:t>116</w:t>
      </w:r>
      <w:r>
        <w:rPr>
          <w:rFonts w:cs="Century" w:ascii="Century" w:hAnsi="Century"/>
          <w:sz w:val="22"/>
          <w:rtl w:val="true"/>
        </w:rPr>
        <w:t>)</w:t>
      </w:r>
      <w:r>
        <w:rPr>
          <w:rtl w:val="true"/>
        </w:rPr>
        <w:t xml:space="preserve">, </w:t>
      </w:r>
      <w:r>
        <w:rPr>
          <w:rtl w:val="true"/>
        </w:rPr>
        <w:t xml:space="preserve">ובמסגרתו הוחלף </w:t>
      </w:r>
      <w:hyperlink r:id="rId20">
        <w:r>
          <w:rPr>
            <w:rStyle w:val="Hyperlink"/>
            <w:color w:val="0000FF"/>
            <w:u w:val="single"/>
            <w:rtl w:val="true"/>
          </w:rPr>
          <w:t>פרק</w:t>
        </w:r>
        <w:r>
          <w:rPr>
            <w:rStyle w:val="Hyperlink"/>
            <w:color w:val="0000FF"/>
            <w:u w:val="single"/>
            <w:rtl w:val="true"/>
          </w:rPr>
          <w:t xml:space="preserve"> </w:t>
        </w:r>
        <w:r>
          <w:rPr>
            <w:rStyle w:val="Hyperlink"/>
            <w:color w:val="0000FF"/>
            <w:u w:val="single"/>
            <w:rtl w:val="true"/>
          </w:rPr>
          <w:t>י</w:t>
        </w:r>
      </w:hyperlink>
      <w:r>
        <w:rPr>
          <w:rtl w:val="true"/>
        </w:rPr>
        <w:t xml:space="preserve">' </w:t>
      </w:r>
      <w:r>
        <w:rPr>
          <w:rtl w:val="true"/>
        </w:rPr>
        <w:t>ל</w:t>
      </w:r>
      <w:hyperlink r:id="rId2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התכנון</w:t>
        </w:r>
        <w:r>
          <w:rPr>
            <w:rStyle w:val="Hyperlink"/>
            <w:color w:val="0000FF"/>
            <w:u w:val="single"/>
            <w:rtl w:val="true"/>
          </w:rPr>
          <w:t xml:space="preserve"> </w:t>
        </w:r>
        <w:r>
          <w:rPr>
            <w:rStyle w:val="Hyperlink"/>
            <w:color w:val="0000FF"/>
            <w:u w:val="single"/>
            <w:rtl w:val="true"/>
          </w:rPr>
          <w:t>והבניה</w:t>
        </w:r>
      </w:hyperlink>
      <w:r>
        <w:rPr>
          <w:rtl w:val="true"/>
        </w:rPr>
        <w:t xml:space="preserve">, </w:t>
      </w:r>
      <w:r>
        <w:rPr>
          <w:rtl w:val="true"/>
        </w:rPr>
        <w:t>ושונו</w:t>
      </w:r>
      <w:r>
        <w:rPr>
          <w:rtl w:val="true"/>
        </w:rPr>
        <w:t xml:space="preserve">, </w:t>
      </w:r>
      <w:r>
        <w:rPr>
          <w:rtl w:val="true"/>
        </w:rPr>
        <w:t>בין היתר</w:t>
      </w:r>
      <w:r>
        <w:rPr>
          <w:rtl w:val="true"/>
        </w:rPr>
        <w:t xml:space="preserve">, </w:t>
      </w:r>
      <w:r>
        <w:rPr>
          <w:rtl w:val="true"/>
        </w:rPr>
        <w:t>ההוראות החוק בדבר צווי הריסה מינהליים</w:t>
      </w:r>
      <w:r>
        <w:rPr>
          <w:rtl w:val="true"/>
        </w:rPr>
        <w:t xml:space="preserve">. </w:t>
      </w:r>
      <w:r>
        <w:rPr>
          <w:rtl w:val="true"/>
        </w:rPr>
        <w:t xml:space="preserve">כיום הסמכות להוציא צווים כאמור נתונה למנהל היחידה הארצית לאכיפת דיני התכנון והבניה במשרד האוצר </w:t>
      </w:r>
      <w:r>
        <w:rPr>
          <w:rtl w:val="true"/>
        </w:rPr>
        <w:t>(</w:t>
      </w:r>
      <w:r>
        <w:rPr>
          <w:rtl w:val="true"/>
        </w:rPr>
        <w:t>להלן</w:t>
      </w:r>
      <w:r>
        <w:rPr>
          <w:rtl w:val="true"/>
        </w:rPr>
        <w:t xml:space="preserve">: </w:t>
      </w:r>
      <w:r>
        <w:rPr>
          <w:rFonts w:ascii="Century" w:hAnsi="Century" w:cs="Miriam"/>
          <w:b/>
          <w:b/>
          <w:spacing w:val="0"/>
          <w:sz w:val="22"/>
          <w:sz w:val="22"/>
          <w:szCs w:val="24"/>
          <w:rtl w:val="true"/>
        </w:rPr>
        <w:t>היחידה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הארצית</w:t>
      </w:r>
      <w:r>
        <w:rPr>
          <w:rFonts w:cs="Century" w:ascii="Century" w:hAnsi="Century"/>
          <w:sz w:val="22"/>
          <w:rtl w:val="true"/>
        </w:rPr>
        <w:t>)</w:t>
      </w:r>
      <w:r>
        <w:rPr>
          <w:rtl w:val="true"/>
        </w:rPr>
        <w:t xml:space="preserve">, </w:t>
      </w:r>
      <w:r>
        <w:rPr>
          <w:rtl w:val="true"/>
        </w:rPr>
        <w:t>ליושב ראש ועדה מקומית</w:t>
      </w:r>
      <w:r>
        <w:rPr>
          <w:rtl w:val="true"/>
        </w:rPr>
        <w:t xml:space="preserve">, </w:t>
      </w:r>
      <w:r>
        <w:rPr>
          <w:rtl w:val="true"/>
        </w:rPr>
        <w:t xml:space="preserve">או למהנדס הוועדה המקומית </w:t>
      </w:r>
      <w:r>
        <w:rPr>
          <w:rtl w:val="true"/>
        </w:rPr>
        <w:t>(</w:t>
      </w:r>
      <w:r>
        <w:rPr>
          <w:rtl w:val="true"/>
        </w:rPr>
        <w:t>ראו</w:t>
      </w:r>
      <w:r>
        <w:rPr>
          <w:rtl w:val="true"/>
        </w:rPr>
        <w:t xml:space="preserve">: </w:t>
      </w:r>
      <w:hyperlink r:id="rId22">
        <w:r>
          <w:rPr>
            <w:rStyle w:val="Hyperlink"/>
            <w:color w:val="0000FF"/>
            <w:u w:val="single"/>
            <w:rtl w:val="true"/>
          </w:rPr>
          <w:t>סעיף</w:t>
        </w:r>
        <w:r>
          <w:rPr>
            <w:rStyle w:val="Hyperlink"/>
            <w:color w:val="0000FF"/>
            <w:u w:val="single"/>
            <w:rtl w:val="true"/>
          </w:rPr>
          <w:t xml:space="preserve"> </w:t>
        </w:r>
        <w:r>
          <w:rPr>
            <w:rStyle w:val="Hyperlink"/>
            <w:color w:val="0000FF"/>
            <w:u w:val="single"/>
          </w:rPr>
          <w:t>221</w:t>
        </w:r>
      </w:hyperlink>
      <w:r>
        <w:rPr>
          <w:rtl w:val="true"/>
        </w:rPr>
        <w:t xml:space="preserve"> </w:t>
      </w:r>
      <w:r>
        <w:rPr>
          <w:rtl w:val="true"/>
        </w:rPr>
        <w:t>לחוק</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המערערים הגישו לבית משפט השלום בנתניה בקשות לביטול צווי ההריסה המינהליים</w:t>
      </w:r>
      <w:r>
        <w:rPr>
          <w:rFonts w:ascii="Century" w:hAnsi="Century" w:cs="Century"/>
          <w:sz w:val="22"/>
          <w:sz w:val="22"/>
          <w:rtl w:val="true"/>
        </w:rPr>
        <w:t xml:space="preserve"> </w:t>
      </w:r>
      <w:r>
        <w:rPr>
          <w:rFonts w:cs="Century" w:ascii="Century" w:hAnsi="Century"/>
          <w:sz w:val="22"/>
          <w:rtl w:val="true"/>
        </w:rPr>
        <w:t>(</w:t>
      </w:r>
      <w:hyperlink r:id="rId23">
        <w:r>
          <w:rPr>
            <w:rStyle w:val="Hyperlink"/>
            <w:rFonts w:ascii="Century" w:hAnsi="Century" w:cs="Century"/>
            <w:color w:val="0000FF"/>
            <w:sz w:val="22"/>
            <w:sz w:val="22"/>
            <w:u w:val="single"/>
            <w:rtl w:val="true"/>
          </w:rPr>
          <w:t>בב</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נ</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9166-04-16</w:t>
        </w:r>
      </w:hyperlink>
      <w:r>
        <w:rPr>
          <w:rFonts w:cs="Century" w:ascii="Century" w:hAnsi="Century"/>
          <w:sz w:val="22"/>
          <w:rtl w:val="true"/>
        </w:rPr>
        <w:t xml:space="preserve">; </w:t>
      </w:r>
      <w:hyperlink r:id="rId24">
        <w:r>
          <w:rPr>
            <w:rStyle w:val="Hyperlink"/>
            <w:rFonts w:ascii="Century" w:hAnsi="Century" w:cs="Century"/>
            <w:color w:val="0000FF"/>
            <w:sz w:val="22"/>
            <w:sz w:val="22"/>
            <w:u w:val="single"/>
            <w:rtl w:val="true"/>
          </w:rPr>
          <w:t>בב</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נ</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16501-01-16</w:t>
        </w:r>
      </w:hyperlink>
      <w:r>
        <w:rPr>
          <w:rFonts w:cs="Century" w:ascii="Century" w:hAnsi="Century"/>
          <w:sz w:val="22"/>
          <w:rtl w:val="true"/>
        </w:rPr>
        <w:t xml:space="preserve">; </w:t>
      </w:r>
      <w:hyperlink r:id="rId25">
        <w:r>
          <w:rPr>
            <w:rStyle w:val="Hyperlink"/>
            <w:rFonts w:ascii="Century" w:hAnsi="Century" w:cs="Century"/>
            <w:color w:val="0000FF"/>
            <w:sz w:val="22"/>
            <w:sz w:val="22"/>
            <w:u w:val="single"/>
            <w:rtl w:val="true"/>
          </w:rPr>
          <w:t>בב</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נ</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16501-04-16</w:t>
        </w:r>
      </w:hyperlink>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28.9.2016</w:t>
      </w:r>
      <w:r>
        <w:rPr>
          <w:rFonts w:cs="Century" w:ascii="Century" w:hAnsi="Century"/>
          <w:sz w:val="22"/>
          <w:rtl w:val="true"/>
        </w:rPr>
        <w:t xml:space="preserve"> </w:t>
      </w:r>
      <w:r>
        <w:rPr>
          <w:rFonts w:ascii="Century" w:hAnsi="Century" w:cs="Century"/>
          <w:sz w:val="22"/>
          <w:sz w:val="22"/>
          <w:rtl w:val="true"/>
        </w:rPr>
        <w:t xml:space="preserve">הורה בית המשפט קמא </w:t>
      </w:r>
      <w:r>
        <w:rPr>
          <w:rFonts w:cs="Century" w:ascii="Century" w:hAnsi="Century"/>
          <w:sz w:val="22"/>
          <w:rtl w:val="true"/>
        </w:rPr>
        <w:t>(</w:t>
      </w:r>
      <w:r>
        <w:rPr>
          <w:rFonts w:ascii="Century" w:hAnsi="Century" w:cs="Century"/>
          <w:sz w:val="22"/>
          <w:sz w:val="22"/>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ברנד</w:t>
      </w:r>
      <w:r>
        <w:rPr>
          <w:rFonts w:cs="Century" w:ascii="Century" w:hAnsi="Century"/>
          <w:sz w:val="22"/>
          <w:rtl w:val="true"/>
        </w:rPr>
        <w:t xml:space="preserve">), </w:t>
      </w:r>
      <w:r>
        <w:rPr>
          <w:rFonts w:ascii="Century" w:hAnsi="Century" w:cs="Century"/>
          <w:sz w:val="22"/>
          <w:sz w:val="22"/>
          <w:rtl w:val="true"/>
        </w:rPr>
        <w:t>בהסכמת המערערים</w:t>
      </w:r>
      <w:r>
        <w:rPr>
          <w:rFonts w:cs="Century" w:ascii="Century" w:hAnsi="Century"/>
          <w:sz w:val="22"/>
          <w:rtl w:val="true"/>
        </w:rPr>
        <w:t xml:space="preserve">, </w:t>
      </w:r>
      <w:r>
        <w:rPr>
          <w:rFonts w:ascii="Century" w:hAnsi="Century" w:cs="Century"/>
          <w:sz w:val="22"/>
          <w:sz w:val="22"/>
          <w:rtl w:val="true"/>
        </w:rPr>
        <w:t>כי בקשות אלה תידחנה</w:t>
      </w:r>
      <w:r>
        <w:rPr>
          <w:rFonts w:cs="Century" w:ascii="Century" w:hAnsi="Century"/>
          <w:sz w:val="22"/>
          <w:rtl w:val="true"/>
        </w:rPr>
        <w:t xml:space="preserve">, </w:t>
      </w:r>
      <w:r>
        <w:rPr>
          <w:rFonts w:ascii="Century" w:hAnsi="Century" w:cs="Century"/>
          <w:sz w:val="22"/>
          <w:sz w:val="22"/>
          <w:rtl w:val="true"/>
        </w:rPr>
        <w:t xml:space="preserve">אך כניסתם לתוקף של הצווים תעוכב עד לסוף שנת </w:t>
      </w:r>
      <w:r>
        <w:rPr>
          <w:rFonts w:cs="Century" w:ascii="Century" w:hAnsi="Century"/>
          <w:sz w:val="22"/>
        </w:rPr>
        <w:t>2016</w:t>
      </w:r>
      <w:r>
        <w:rPr>
          <w:rFonts w:cs="Century" w:ascii="Century" w:hAnsi="Century"/>
          <w:sz w:val="22"/>
          <w:rtl w:val="true"/>
        </w:rPr>
        <w:t xml:space="preserve">. </w:t>
      </w:r>
      <w:r>
        <w:rPr>
          <w:rFonts w:ascii="Century" w:hAnsi="Century" w:cs="Century"/>
          <w:sz w:val="22"/>
          <w:sz w:val="22"/>
          <w:rtl w:val="true"/>
        </w:rPr>
        <w:t>עיכוב כניסתם לתוקף של הצווים נמשך מעת לעת</w:t>
      </w:r>
      <w:r>
        <w:rPr>
          <w:rFonts w:cs="Century" w:ascii="Century" w:hAnsi="Century"/>
          <w:sz w:val="22"/>
          <w:rtl w:val="true"/>
        </w:rPr>
        <w:t xml:space="preserve">, </w:t>
      </w:r>
      <w:r>
        <w:rPr>
          <w:rFonts w:ascii="Century" w:hAnsi="Century" w:cs="Century"/>
          <w:sz w:val="22"/>
          <w:sz w:val="22"/>
          <w:rtl w:val="true"/>
        </w:rPr>
        <w:t>בין היתר נוכח הליכים תכנוניים בעניינם של המבנים</w:t>
      </w:r>
      <w:r>
        <w:rPr>
          <w:rFonts w:cs="Century" w:ascii="Century" w:hAnsi="Century"/>
          <w:sz w:val="22"/>
          <w:rtl w:val="true"/>
        </w:rPr>
        <w:t xml:space="preserve">. </w:t>
      </w:r>
      <w:r>
        <w:rPr>
          <w:rFonts w:ascii="Century" w:hAnsi="Century" w:cs="Century"/>
          <w:sz w:val="22"/>
          <w:sz w:val="22"/>
          <w:rtl w:val="true"/>
        </w:rPr>
        <w:t>לבסוף</w:t>
      </w:r>
      <w:r>
        <w:rPr>
          <w:rFonts w:cs="Century" w:ascii="Century" w:hAnsi="Century"/>
          <w:sz w:val="22"/>
          <w:rtl w:val="true"/>
        </w:rPr>
        <w:t xml:space="preserve">, </w:t>
      </w:r>
      <w:r>
        <w:rPr>
          <w:rFonts w:ascii="Century" w:hAnsi="Century" w:cs="Century"/>
          <w:sz w:val="22"/>
          <w:sz w:val="22"/>
          <w:rtl w:val="true"/>
        </w:rPr>
        <w:t xml:space="preserve">בהחלטה מיום </w:t>
      </w:r>
      <w:r>
        <w:rPr>
          <w:rFonts w:cs="Century" w:ascii="Century" w:hAnsi="Century"/>
          <w:sz w:val="22"/>
        </w:rPr>
        <w:t>21.3.2018</w:t>
      </w:r>
      <w:r>
        <w:rPr>
          <w:rFonts w:cs="Century" w:ascii="Century" w:hAnsi="Century"/>
          <w:sz w:val="22"/>
          <w:rtl w:val="true"/>
        </w:rPr>
        <w:t xml:space="preserve"> </w:t>
      </w:r>
      <w:r>
        <w:rPr>
          <w:rFonts w:ascii="Century" w:hAnsi="Century" w:cs="Century"/>
          <w:sz w:val="22"/>
          <w:sz w:val="22"/>
          <w:rtl w:val="true"/>
        </w:rPr>
        <w:t xml:space="preserve">קבע </w:t>
      </w:r>
      <w:r>
        <w:rPr>
          <w:rtl w:val="true"/>
        </w:rPr>
        <w:t xml:space="preserve">בית המשפט קמא </w:t>
      </w:r>
      <w:r>
        <w:rPr>
          <w:rtl w:val="true"/>
        </w:rPr>
        <w:t>(</w:t>
      </w:r>
      <w:r>
        <w:rPr>
          <w:rtl w:val="true"/>
        </w:rPr>
        <w:t xml:space="preserve">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כרייף</w:t>
      </w:r>
      <w:r>
        <w:rPr>
          <w:rFonts w:cs="Century" w:ascii="Century" w:hAnsi="Century"/>
          <w:sz w:val="22"/>
          <w:rtl w:val="true"/>
        </w:rPr>
        <w:t xml:space="preserve">) </w:t>
      </w:r>
      <w:r>
        <w:rPr>
          <w:rFonts w:ascii="Century" w:hAnsi="Century" w:cs="Century"/>
          <w:sz w:val="22"/>
          <w:sz w:val="22"/>
          <w:rtl w:val="true"/>
        </w:rPr>
        <w:t xml:space="preserve">כי הצווים יכנסו לתוקפם ביום </w:t>
      </w:r>
      <w:r>
        <w:rPr>
          <w:rFonts w:cs="Century" w:ascii="Century" w:hAnsi="Century"/>
          <w:sz w:val="22"/>
        </w:rPr>
        <w:t>1.6.2018</w:t>
      </w:r>
      <w:r>
        <w:rPr>
          <w:rFonts w:cs="Century" w:ascii="Century" w:hAnsi="Century"/>
          <w:sz w:val="22"/>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ביום </w:t>
      </w:r>
      <w:r>
        <w:rPr/>
        <w:t>27.6.2018</w:t>
      </w:r>
      <w:r>
        <w:rPr>
          <w:rtl w:val="true"/>
        </w:rPr>
        <w:t xml:space="preserve"> </w:t>
      </w:r>
      <w:r>
        <w:rPr>
          <w:rtl w:val="true"/>
        </w:rPr>
        <w:t xml:space="preserve">הגישה היחידה הארצית בקשות להארכת מועד לביצוע צווי ההריסה </w:t>
      </w:r>
      <w:r>
        <w:rPr>
          <w:rtl w:val="true"/>
        </w:rPr>
        <w:t>(</w:t>
      </w:r>
      <w:hyperlink r:id="rId26">
        <w:r>
          <w:rPr>
            <w:rStyle w:val="Hyperlink"/>
            <w:color w:val="0000FF"/>
            <w:u w:val="single"/>
            <w:rtl w:val="true"/>
          </w:rPr>
          <w:t>בב</w:t>
        </w:r>
        <w:r>
          <w:rPr>
            <w:rStyle w:val="Hyperlink"/>
            <w:color w:val="0000FF"/>
            <w:u w:val="single"/>
            <w:rtl w:val="true"/>
          </w:rPr>
          <w:t>"</w:t>
        </w:r>
        <w:r>
          <w:rPr>
            <w:rStyle w:val="Hyperlink"/>
            <w:color w:val="0000FF"/>
            <w:u w:val="single"/>
            <w:rtl w:val="true"/>
          </w:rPr>
          <w:t>נ</w:t>
        </w:r>
        <w:r>
          <w:rPr>
            <w:rStyle w:val="Hyperlink"/>
            <w:color w:val="0000FF"/>
            <w:u w:val="single"/>
            <w:rtl w:val="true"/>
          </w:rPr>
          <w:t xml:space="preserve"> </w:t>
        </w:r>
        <w:r>
          <w:rPr>
            <w:rStyle w:val="Hyperlink"/>
            <w:color w:val="0000FF"/>
            <w:u w:val="single"/>
          </w:rPr>
          <w:t>62861-06-18</w:t>
        </w:r>
      </w:hyperlink>
      <w:r>
        <w:rPr>
          <w:rtl w:val="true"/>
        </w:rPr>
        <w:t xml:space="preserve">; </w:t>
      </w:r>
      <w:hyperlink r:id="rId27">
        <w:r>
          <w:rPr>
            <w:rStyle w:val="Hyperlink"/>
            <w:color w:val="0000FF"/>
            <w:u w:val="single"/>
            <w:rtl w:val="true"/>
          </w:rPr>
          <w:t>בב</w:t>
        </w:r>
        <w:r>
          <w:rPr>
            <w:rStyle w:val="Hyperlink"/>
            <w:color w:val="0000FF"/>
            <w:u w:val="single"/>
            <w:rtl w:val="true"/>
          </w:rPr>
          <w:t>"</w:t>
        </w:r>
        <w:r>
          <w:rPr>
            <w:rStyle w:val="Hyperlink"/>
            <w:color w:val="0000FF"/>
            <w:u w:val="single"/>
            <w:rtl w:val="true"/>
          </w:rPr>
          <w:t>נ</w:t>
        </w:r>
        <w:r>
          <w:rPr>
            <w:rStyle w:val="Hyperlink"/>
            <w:color w:val="0000FF"/>
            <w:u w:val="single"/>
            <w:rtl w:val="true"/>
          </w:rPr>
          <w:t xml:space="preserve"> </w:t>
        </w:r>
        <w:r>
          <w:rPr>
            <w:rStyle w:val="Hyperlink"/>
            <w:color w:val="0000FF"/>
            <w:u w:val="single"/>
          </w:rPr>
          <w:t>62863-06-18</w:t>
        </w:r>
      </w:hyperlink>
      <w:r>
        <w:rPr>
          <w:rtl w:val="true"/>
        </w:rPr>
        <w:t xml:space="preserve">; </w:t>
      </w:r>
      <w:hyperlink r:id="rId28">
        <w:r>
          <w:rPr>
            <w:rStyle w:val="Hyperlink"/>
            <w:color w:val="0000FF"/>
            <w:u w:val="single"/>
            <w:rtl w:val="true"/>
          </w:rPr>
          <w:t>בב</w:t>
        </w:r>
        <w:r>
          <w:rPr>
            <w:rStyle w:val="Hyperlink"/>
            <w:color w:val="0000FF"/>
            <w:u w:val="single"/>
            <w:rtl w:val="true"/>
          </w:rPr>
          <w:t>"</w:t>
        </w:r>
        <w:r>
          <w:rPr>
            <w:rStyle w:val="Hyperlink"/>
            <w:color w:val="0000FF"/>
            <w:u w:val="single"/>
            <w:rtl w:val="true"/>
          </w:rPr>
          <w:t>נ</w:t>
        </w:r>
        <w:r>
          <w:rPr>
            <w:rStyle w:val="Hyperlink"/>
            <w:color w:val="0000FF"/>
            <w:u w:val="single"/>
            <w:rtl w:val="true"/>
          </w:rPr>
          <w:t xml:space="preserve"> </w:t>
        </w:r>
        <w:r>
          <w:rPr>
            <w:rStyle w:val="Hyperlink"/>
            <w:color w:val="0000FF"/>
            <w:u w:val="single"/>
          </w:rPr>
          <w:t>62868-06-18</w:t>
        </w:r>
      </w:hyperlink>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w:t>
      </w:r>
      <w:r>
        <w:rPr>
          <w:rtl w:val="true"/>
        </w:rPr>
        <w:t xml:space="preserve">. </w:t>
      </w:r>
      <w:r>
        <w:rPr>
          <w:rtl w:val="true"/>
        </w:rPr>
        <w:t xml:space="preserve">ביום </w:t>
      </w:r>
      <w:r>
        <w:rPr/>
        <w:t>21.8.2018</w:t>
      </w:r>
      <w:r>
        <w:rPr>
          <w:rtl w:val="true"/>
        </w:rPr>
        <w:t xml:space="preserve"> </w:t>
      </w:r>
      <w:r>
        <w:rPr>
          <w:rtl w:val="true"/>
        </w:rPr>
        <w:t xml:space="preserve">התקבלו הבקשות </w:t>
      </w:r>
      <w:r>
        <w:rPr>
          <w:rtl w:val="true"/>
        </w:rPr>
        <w:t>(</w:t>
      </w:r>
      <w:r>
        <w:rPr>
          <w:rtl w:val="true"/>
        </w:rPr>
        <w:t xml:space="preserve">על ידי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כרייף</w:t>
      </w:r>
      <w:r>
        <w:rPr>
          <w:rFonts w:cs="Century" w:ascii="Century" w:hAnsi="Century"/>
          <w:sz w:val="22"/>
          <w:rtl w:val="true"/>
        </w:rPr>
        <w:t>)</w:t>
      </w:r>
      <w:r>
        <w:rPr>
          <w:rtl w:val="true"/>
        </w:rPr>
        <w:t xml:space="preserve">, </w:t>
      </w:r>
      <w:r>
        <w:rPr>
          <w:rtl w:val="true"/>
        </w:rPr>
        <w:t xml:space="preserve">וניתנה בידי היחידה הארצית ארכה בת </w:t>
      </w:r>
      <w:r>
        <w:rPr/>
        <w:t>90</w:t>
      </w:r>
      <w:r>
        <w:rPr>
          <w:rtl w:val="true"/>
        </w:rPr>
        <w:t xml:space="preserve"> </w:t>
      </w:r>
      <w:r>
        <w:rPr>
          <w:rtl w:val="true"/>
        </w:rPr>
        <w:t>יום לביצוע הצווים</w:t>
      </w:r>
      <w:r>
        <w:rPr>
          <w:rtl w:val="true"/>
        </w:rPr>
        <w:t xml:space="preserve">. </w:t>
      </w:r>
      <w:r>
        <w:rPr>
          <w:rtl w:val="true"/>
        </w:rPr>
        <w:t xml:space="preserve">ארכה נוספת בת </w:t>
      </w:r>
      <w:r>
        <w:rPr/>
        <w:t>90</w:t>
      </w:r>
      <w:r>
        <w:rPr>
          <w:rtl w:val="true"/>
        </w:rPr>
        <w:t xml:space="preserve"> </w:t>
      </w:r>
      <w:r>
        <w:rPr>
          <w:rtl w:val="true"/>
        </w:rPr>
        <w:t xml:space="preserve">יום ניתנה על ידי בית המשפט </w:t>
      </w:r>
      <w:r>
        <w:rPr>
          <w:rtl w:val="true"/>
        </w:rPr>
        <w:t>(</w:t>
      </w:r>
      <w:r>
        <w:rPr>
          <w:rtl w:val="true"/>
        </w:rPr>
        <w:t xml:space="preserve">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כרייף</w:t>
      </w:r>
      <w:r>
        <w:rPr>
          <w:rFonts w:cs="Century" w:ascii="Century" w:hAnsi="Century"/>
          <w:sz w:val="22"/>
          <w:rtl w:val="true"/>
        </w:rPr>
        <w:t>)</w:t>
      </w:r>
      <w:r>
        <w:rPr>
          <w:rtl w:val="true"/>
        </w:rPr>
        <w:t xml:space="preserve"> </w:t>
      </w:r>
      <w:r>
        <w:rPr>
          <w:rtl w:val="true"/>
        </w:rPr>
        <w:t xml:space="preserve">בהחלטתו מיום </w:t>
      </w:r>
      <w:r>
        <w:rPr/>
        <w:t>6.12.2018</w:t>
      </w:r>
      <w:r>
        <w:rPr>
          <w:rtl w:val="true"/>
        </w:rPr>
        <w:t xml:space="preserve"> </w:t>
      </w:r>
      <w:r>
        <w:rPr>
          <w:rtl w:val="true"/>
        </w:rPr>
        <w:t>תוך שצוין כי מדובר בארכה אחרונה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ביום </w:t>
      </w:r>
      <w:r>
        <w:rPr/>
        <w:t>1.2.2019</w:t>
      </w:r>
      <w:r>
        <w:rPr>
          <w:rtl w:val="true"/>
        </w:rPr>
        <w:t xml:space="preserve"> </w:t>
      </w:r>
      <w:r>
        <w:rPr>
          <w:rtl w:val="true"/>
        </w:rPr>
        <w:t>הגישו המערערים</w:t>
      </w:r>
      <w:r>
        <w:rPr>
          <w:rtl w:val="true"/>
        </w:rPr>
        <w:t xml:space="preserve">, </w:t>
      </w:r>
      <w:r>
        <w:rPr>
          <w:rtl w:val="true"/>
        </w:rPr>
        <w:t>יחד עם עיריית קלנסואה</w:t>
      </w:r>
      <w:r>
        <w:rPr>
          <w:rtl w:val="true"/>
        </w:rPr>
        <w:t xml:space="preserve">, </w:t>
      </w:r>
      <w:r>
        <w:rPr>
          <w:rtl w:val="true"/>
        </w:rPr>
        <w:t>עתירה מינהלית לבית המשפט המחוזי מרכז</w:t>
      </w:r>
      <w:r>
        <w:rPr>
          <w:rtl w:val="true"/>
        </w:rPr>
        <w:t>-</w:t>
      </w:r>
      <w:r>
        <w:rPr>
          <w:rtl w:val="true"/>
        </w:rPr>
        <w:t>לוד</w:t>
      </w:r>
      <w:r>
        <w:rPr>
          <w:rtl w:val="true"/>
        </w:rPr>
        <w:t xml:space="preserve">, </w:t>
      </w:r>
      <w:r>
        <w:rPr>
          <w:rtl w:val="true"/>
        </w:rPr>
        <w:t>בה הועלו טענות תכנוניות הנוגעות</w:t>
      </w:r>
      <w:r>
        <w:rPr>
          <w:rtl w:val="true"/>
        </w:rPr>
        <w:t xml:space="preserve">, </w:t>
      </w:r>
      <w:r>
        <w:rPr>
          <w:rtl w:val="true"/>
        </w:rPr>
        <w:t>בין היתר</w:t>
      </w:r>
      <w:r>
        <w:rPr>
          <w:rtl w:val="true"/>
        </w:rPr>
        <w:t xml:space="preserve">, </w:t>
      </w:r>
      <w:r>
        <w:rPr>
          <w:rtl w:val="true"/>
        </w:rPr>
        <w:t xml:space="preserve">למבנים שנגדם הוצאו צווי ההריסה המינהליים </w:t>
      </w:r>
      <w:r>
        <w:rPr>
          <w:rtl w:val="true"/>
        </w:rPr>
        <w:t>(</w:t>
      </w:r>
      <w:hyperlink r:id="rId29">
        <w:r>
          <w:rPr>
            <w:rStyle w:val="Hyperlink"/>
            <w:color w:val="0000FF"/>
            <w:u w:val="single"/>
            <w:rtl w:val="true"/>
          </w:rPr>
          <w:t>עת</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Pr>
          <w:t>562-02-19</w:t>
        </w:r>
      </w:hyperlink>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להלן</w:t>
      </w:r>
      <w:r>
        <w:rPr>
          <w:rtl w:val="true"/>
        </w:rPr>
        <w:t xml:space="preserve">: </w:t>
      </w:r>
      <w:r>
        <w:rPr>
          <w:rFonts w:ascii="Century" w:hAnsi="Century" w:cs="Miriam"/>
          <w:b/>
          <w:b/>
          <w:spacing w:val="0"/>
          <w:sz w:val="22"/>
          <w:sz w:val="22"/>
          <w:szCs w:val="24"/>
          <w:rtl w:val="true"/>
        </w:rPr>
        <w:t>העתירה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המינהלית</w:t>
      </w:r>
      <w:r>
        <w:rPr>
          <w:rFonts w:cs="Century" w:ascii="Century" w:hAnsi="Century"/>
          <w:sz w:val="22"/>
          <w:rtl w:val="true"/>
        </w:rPr>
        <w:t>)</w:t>
      </w:r>
      <w:r>
        <w:rPr>
          <w:rtl w:val="true"/>
        </w:rPr>
        <w:t xml:space="preserve">. </w:t>
      </w:r>
      <w:r>
        <w:rPr>
          <w:rtl w:val="true"/>
        </w:rPr>
        <w:t>לצד העתירה</w:t>
      </w:r>
      <w:r>
        <w:rPr>
          <w:rtl w:val="true"/>
        </w:rPr>
        <w:t xml:space="preserve">, </w:t>
      </w:r>
      <w:r>
        <w:rPr>
          <w:rtl w:val="true"/>
        </w:rPr>
        <w:t>הגישו המערערים בקשה למתן צו ביניים וצו ארעי אשר ימנע את מימוש הצווים</w:t>
      </w:r>
      <w:r>
        <w:rPr>
          <w:rtl w:val="true"/>
        </w:rPr>
        <w:t xml:space="preserve">, </w:t>
      </w:r>
      <w:r>
        <w:rPr>
          <w:rtl w:val="true"/>
        </w:rPr>
        <w:t xml:space="preserve">אשר לפי הנטען מועד מימושם נקבע ליום </w:t>
      </w:r>
      <w:r>
        <w:rPr/>
        <w:t>2.2.2019</w:t>
      </w:r>
      <w:r>
        <w:rPr>
          <w:rtl w:val="true"/>
        </w:rPr>
        <w:t xml:space="preserve">, </w:t>
      </w:r>
      <w:r>
        <w:rPr>
          <w:rtl w:val="true"/>
        </w:rPr>
        <w:t xml:space="preserve">אך לאחר הוצאת צו ארעי האוסר על מימוש צווי ההריסה עד לדיון בבקשה התקיים בבקשה דיון ביום </w:t>
      </w:r>
      <w:r>
        <w:rPr/>
        <w:t>4.3.2019</w:t>
      </w:r>
      <w:r>
        <w:rPr>
          <w:rtl w:val="true"/>
        </w:rPr>
        <w:t xml:space="preserve"> </w:t>
      </w:r>
      <w:r>
        <w:rPr>
          <w:rtl w:val="true"/>
        </w:rPr>
        <w:t>ובו הוסכם כי הבקשה תימחק וכי הצו הארעי יבוטל</w:t>
      </w:r>
      <w:r>
        <w:rPr>
          <w:rtl w:val="true"/>
        </w:rPr>
        <w:t xml:space="preserve">, </w:t>
      </w:r>
      <w:r>
        <w:rPr>
          <w:rtl w:val="true"/>
        </w:rPr>
        <w:t xml:space="preserve">תוך שצווי ההריסה לא יבוצעו עד לתאריך </w:t>
      </w:r>
      <w:r>
        <w:rPr/>
        <w:t>20.3.2019</w:t>
      </w:r>
      <w:r>
        <w:rPr>
          <w:rtl w:val="true"/>
        </w:rPr>
        <w:t xml:space="preserve">. </w:t>
      </w:r>
      <w:r>
        <w:rPr>
          <w:rtl w:val="true"/>
        </w:rPr>
        <w:t xml:space="preserve">עוד הוחלט כי </w:t>
      </w:r>
      <w:r>
        <w:rPr>
          <w:rtl w:val="true"/>
        </w:rPr>
        <w:t>"</w:t>
      </w:r>
      <w:r>
        <w:rPr>
          <w:rFonts w:ascii="Century" w:hAnsi="Century" w:cs="Miriam"/>
          <w:b/>
          <w:b/>
          <w:spacing w:val="0"/>
          <w:sz w:val="22"/>
          <w:sz w:val="22"/>
          <w:szCs w:val="24"/>
          <w:rtl w:val="true"/>
        </w:rPr>
        <w:t>במסגרת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בעתירה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תישמע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לצווי</w:t>
      </w:r>
      <w:r>
        <w:rPr>
          <w:rFonts w:ascii="Century" w:hAnsi="Century" w:cs="Miriam"/>
          <w:b/>
          <w:b/>
          <w:spacing w:val="0"/>
          <w:sz w:val="22"/>
          <w:sz w:val="22"/>
          <w:szCs w:val="24"/>
          <w:rtl w:val="true"/>
        </w:rPr>
        <w:t>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ואכיפתם</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Century"/>
          <w:sz w:val="22"/>
        </w:rPr>
      </w:pPr>
      <w:r>
        <w:rPr/>
        <w:t>5</w:t>
      </w:r>
      <w:r>
        <w:rPr>
          <w:rtl w:val="true"/>
        </w:rPr>
        <w:t>.</w:t>
      </w:r>
      <w:r>
        <w:rPr>
          <w:rtl w:val="true"/>
        </w:rPr>
        <w:tab/>
      </w:r>
      <w:r>
        <w:rPr>
          <w:rtl w:val="true"/>
        </w:rPr>
        <w:t xml:space="preserve">ביום </w:t>
      </w:r>
      <w:r>
        <w:rPr/>
        <w:t>28.2.2019</w:t>
      </w:r>
      <w:r>
        <w:rPr>
          <w:rtl w:val="true"/>
        </w:rPr>
        <w:t xml:space="preserve"> </w:t>
      </w:r>
      <w:r>
        <w:rPr>
          <w:rtl w:val="true"/>
        </w:rPr>
        <w:t>הגישה היחידה הארצית לבית משפט השלום בקשה נוספת</w:t>
      </w:r>
      <w:r>
        <w:rPr>
          <w:rtl w:val="true"/>
        </w:rPr>
        <w:t xml:space="preserve">, </w:t>
      </w:r>
      <w:r>
        <w:rPr>
          <w:rtl w:val="true"/>
        </w:rPr>
        <w:t>שלישית במספר</w:t>
      </w:r>
      <w:r>
        <w:rPr>
          <w:rtl w:val="true"/>
        </w:rPr>
        <w:t xml:space="preserve">, </w:t>
      </w:r>
      <w:r>
        <w:rPr>
          <w:rtl w:val="true"/>
        </w:rPr>
        <w:t>להארכת המועד לביצוע הצווים</w:t>
      </w:r>
      <w:r>
        <w:rPr>
          <w:rtl w:val="true"/>
        </w:rPr>
        <w:t xml:space="preserve">, </w:t>
      </w:r>
      <w:r>
        <w:rPr>
          <w:rtl w:val="true"/>
        </w:rPr>
        <w:t>וזאת בעקבות הצו הארעי שניתן בעתירה המינהלית</w:t>
      </w:r>
      <w:r>
        <w:rPr>
          <w:rtl w:val="true"/>
        </w:rPr>
        <w:t xml:space="preserve">. </w:t>
      </w:r>
      <w:r>
        <w:rPr>
          <w:rtl w:val="true"/>
        </w:rPr>
        <w:t>נוכח פקיעתם הצפויה של הצווים</w:t>
      </w:r>
      <w:r>
        <w:rPr>
          <w:rtl w:val="true"/>
        </w:rPr>
        <w:t xml:space="preserve">, </w:t>
      </w:r>
      <w:r>
        <w:rPr>
          <w:rtl w:val="true"/>
        </w:rPr>
        <w:t xml:space="preserve">הורה בית המשפט קמא </w:t>
      </w:r>
      <w:r>
        <w:rPr>
          <w:rtl w:val="true"/>
        </w:rPr>
        <w:t>(</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ברנד</w:t>
      </w:r>
      <w:r>
        <w:rPr>
          <w:rtl w:val="true"/>
        </w:rPr>
        <w:t xml:space="preserve">) </w:t>
      </w:r>
      <w:r>
        <w:rPr>
          <w:rtl w:val="true"/>
        </w:rPr>
        <w:t>על הארכתם עד למתן החלטה בבקשה</w:t>
      </w:r>
      <w:r>
        <w:rPr>
          <w:rtl w:val="true"/>
        </w:rPr>
        <w:t xml:space="preserve">, </w:t>
      </w:r>
      <w:r>
        <w:rPr>
          <w:rtl w:val="true"/>
        </w:rPr>
        <w:t>והורה למערערים להגיש את תגובתם לבקשה</w:t>
      </w:r>
      <w:r>
        <w:rPr>
          <w:rtl w:val="true"/>
        </w:rPr>
        <w:t xml:space="preserve">. </w:t>
      </w:r>
      <w:r>
        <w:rPr>
          <w:rtl w:val="true"/>
        </w:rPr>
        <w:t>תגובה כאמור אכן הוגשה</w:t>
      </w:r>
      <w:r>
        <w:rPr>
          <w:rtl w:val="true"/>
        </w:rPr>
        <w:t xml:space="preserve">, </w:t>
      </w:r>
      <w:r>
        <w:rPr>
          <w:rtl w:val="true"/>
        </w:rPr>
        <w:t>לאחר ארכה</w:t>
      </w:r>
      <w:r>
        <w:rPr>
          <w:rtl w:val="true"/>
        </w:rPr>
        <w:t xml:space="preserve">, </w:t>
      </w:r>
      <w:r>
        <w:rPr>
          <w:rtl w:val="true"/>
        </w:rPr>
        <w:t xml:space="preserve">ביום </w:t>
      </w:r>
      <w:r>
        <w:rPr/>
        <w:t>13.3.2019</w:t>
      </w:r>
      <w:r>
        <w:rPr>
          <w:rtl w:val="true"/>
        </w:rPr>
        <w:t xml:space="preserve">, </w:t>
      </w:r>
      <w:r>
        <w:rPr>
          <w:rtl w:val="true"/>
        </w:rPr>
        <w:t xml:space="preserve">וביום </w:t>
      </w:r>
      <w:r>
        <w:rPr/>
        <w:t>14.3.2019</w:t>
      </w:r>
      <w:r>
        <w:rPr>
          <w:rtl w:val="true"/>
        </w:rPr>
        <w:t xml:space="preserve"> </w:t>
      </w:r>
      <w:r>
        <w:rPr>
          <w:rtl w:val="true"/>
        </w:rPr>
        <w:t xml:space="preserve">התקבלה הבקשה תוך שצוין כי </w:t>
      </w:r>
      <w:r>
        <w:rPr>
          <w:rtl w:val="true"/>
        </w:rPr>
        <w:t>"</w:t>
      </w:r>
      <w:r>
        <w:rPr>
          <w:rFonts w:ascii="Century" w:hAnsi="Century" w:cs="Miriam"/>
          <w:b/>
          <w:b/>
          <w:spacing w:val="0"/>
          <w:sz w:val="22"/>
          <w:sz w:val="22"/>
          <w:szCs w:val="24"/>
          <w:rtl w:val="true"/>
        </w:rPr>
        <w:t>הדעת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שהביא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למניעת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שנקבע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יתבסס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בבקשתו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לקיומה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המועד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וכמובן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תקעקע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היכולת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מנהליים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צדדים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יעתרו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ערכאה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לעיכוב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הצווים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יביאו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אוטומטי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לביטולם</w:t>
      </w:r>
      <w:r>
        <w:rPr>
          <w:rFonts w:cs="Century" w:ascii="Century" w:hAnsi="Century"/>
          <w:sz w:val="22"/>
          <w:rtl w:val="true"/>
        </w:rPr>
        <w:t xml:space="preserve">". </w:t>
      </w:r>
      <w:r>
        <w:rPr>
          <w:rFonts w:ascii="Century" w:hAnsi="Century" w:cs="Century"/>
          <w:sz w:val="22"/>
          <w:sz w:val="22"/>
          <w:rtl w:val="true"/>
        </w:rPr>
        <w:t xml:space="preserve">אשר לקביעה בהחלטה מיום </w:t>
      </w:r>
      <w:r>
        <w:rPr>
          <w:rFonts w:cs="Century" w:ascii="Century" w:hAnsi="Century"/>
          <w:sz w:val="22"/>
        </w:rPr>
        <w:t>6.12.2018</w:t>
      </w:r>
      <w:r>
        <w:rPr>
          <w:rFonts w:cs="Century" w:ascii="Century" w:hAnsi="Century"/>
          <w:sz w:val="22"/>
          <w:rtl w:val="true"/>
        </w:rPr>
        <w:t xml:space="preserve"> </w:t>
      </w:r>
      <w:r>
        <w:rPr>
          <w:rFonts w:ascii="Century" w:hAnsi="Century" w:cs="Century"/>
          <w:sz w:val="22"/>
          <w:sz w:val="22"/>
          <w:rtl w:val="true"/>
        </w:rPr>
        <w:t>לפיה מדובר בארכה אחרונה</w:t>
      </w:r>
      <w:r>
        <w:rPr>
          <w:rFonts w:cs="Century" w:ascii="Century" w:hAnsi="Century"/>
          <w:sz w:val="22"/>
          <w:rtl w:val="true"/>
        </w:rPr>
        <w:t xml:space="preserve">, </w:t>
      </w:r>
      <w:r>
        <w:rPr>
          <w:rFonts w:ascii="Century" w:hAnsi="Century" w:cs="Century"/>
          <w:sz w:val="22"/>
          <w:sz w:val="22"/>
          <w:rtl w:val="true"/>
        </w:rPr>
        <w:t xml:space="preserve">צוין כי </w:t>
      </w:r>
      <w:r>
        <w:rPr>
          <w:rFonts w:cs="Century" w:ascii="Century" w:hAnsi="Century"/>
          <w:sz w:val="22"/>
          <w:rtl w:val="true"/>
        </w:rPr>
        <w:t>"</w:t>
      </w:r>
      <w:r>
        <w:rPr>
          <w:rFonts w:ascii="Century" w:hAnsi="Century" w:cs="Miriam"/>
          <w:b/>
          <w:b/>
          <w:spacing w:val="0"/>
          <w:sz w:val="22"/>
          <w:sz w:val="22"/>
          <w:szCs w:val="24"/>
          <w:rtl w:val="true"/>
        </w:rPr>
        <w:t>ברור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בארכה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6.12.18</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למנוע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שמקורן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הנובעות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רשויות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המדינה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המסייעות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בפעילות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האכיפה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לאפשר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למבקש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באמצעות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עיכוב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ביזמתו</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pPr>
      <w:r>
        <w:rPr/>
        <w:t>6</w:t>
      </w:r>
      <w:r>
        <w:rPr>
          <w:rtl w:val="true"/>
        </w:rPr>
        <w:t>.</w:t>
      </w:r>
      <w:r>
        <w:rPr>
          <w:rtl w:val="true"/>
        </w:rPr>
        <w:tab/>
      </w:r>
      <w:r>
        <w:rPr>
          <w:rtl w:val="true"/>
        </w:rPr>
        <w:t xml:space="preserve">ביום </w:t>
      </w:r>
      <w:r>
        <w:rPr/>
        <w:t>24.3.2019</w:t>
      </w:r>
      <w:r>
        <w:rPr>
          <w:rtl w:val="true"/>
        </w:rPr>
        <w:t xml:space="preserve"> </w:t>
      </w:r>
      <w:r>
        <w:rPr>
          <w:rtl w:val="true"/>
        </w:rPr>
        <w:t xml:space="preserve">הגישו המערערים ערעור על החלטת בית המשפט קמא מיום </w:t>
      </w:r>
      <w:r>
        <w:rPr/>
        <w:t>14.3.2019</w:t>
      </w:r>
      <w:r>
        <w:rPr>
          <w:rtl w:val="true"/>
        </w:rPr>
        <w:t xml:space="preserve"> </w:t>
      </w:r>
      <w:r>
        <w:rPr>
          <w:rtl w:val="true"/>
        </w:rPr>
        <w:t>לבית המשפט המחוזי מרכז</w:t>
      </w:r>
      <w:r>
        <w:rPr>
          <w:rtl w:val="true"/>
        </w:rPr>
        <w:t>-</w:t>
      </w:r>
      <w:r>
        <w:rPr>
          <w:rtl w:val="true"/>
        </w:rPr>
        <w:t xml:space="preserve">לוד </w:t>
      </w:r>
      <w:r>
        <w:rPr>
          <w:rtl w:val="true"/>
        </w:rPr>
        <w:t>(</w:t>
      </w:r>
      <w:r>
        <w:rPr>
          <w:rtl w:val="true"/>
        </w:rPr>
        <w:t>עפ</w:t>
      </w:r>
      <w:r>
        <w:rPr>
          <w:rtl w:val="true"/>
        </w:rPr>
        <w:t>"</w:t>
      </w:r>
      <w:r>
        <w:rPr>
          <w:rtl w:val="true"/>
        </w:rPr>
        <w:t>א</w:t>
      </w:r>
      <w:r>
        <w:rPr>
          <w:rtl w:val="true"/>
        </w:rPr>
        <w:t xml:space="preserve"> </w:t>
      </w:r>
      <w:r>
        <w:rPr/>
        <w:t>53806-03-19</w:t>
      </w:r>
      <w:r>
        <w:rPr>
          <w:rtl w:val="true"/>
        </w:rPr>
        <w:t xml:space="preserve">), </w:t>
      </w:r>
      <w:r>
        <w:rPr>
          <w:rtl w:val="true"/>
        </w:rPr>
        <w:t>ובו טענו לראשונה כי בית המשפט קמא היה במצב של ניגוד עניינים אשר חייב אותו שלא לדון בבקשת היחידה הארצית להארכת המועד לביצוע הצווים</w:t>
      </w:r>
      <w:r>
        <w:rPr>
          <w:rtl w:val="true"/>
        </w:rPr>
        <w:t xml:space="preserve">, </w:t>
      </w:r>
      <w:r>
        <w:rPr>
          <w:rtl w:val="true"/>
        </w:rPr>
        <w:t>שכן אשתו משמשת כיום כיושבת ראש הוועדה המחוזית</w:t>
      </w:r>
      <w:r>
        <w:rPr>
          <w:rtl w:val="true"/>
        </w:rPr>
        <w:t xml:space="preserve">. </w:t>
      </w:r>
      <w:r>
        <w:rPr>
          <w:rtl w:val="true"/>
        </w:rPr>
        <w:t xml:space="preserve">ביום </w:t>
      </w:r>
      <w:r>
        <w:rPr/>
        <w:t>11.6.2019</w:t>
      </w:r>
      <w:r>
        <w:rPr>
          <w:rtl w:val="true"/>
        </w:rPr>
        <w:t xml:space="preserve"> </w:t>
      </w:r>
      <w:r>
        <w:rPr>
          <w:rtl w:val="true"/>
        </w:rPr>
        <w:t>התקיים דיון בערעור</w:t>
      </w:r>
      <w:r>
        <w:rPr>
          <w:rtl w:val="true"/>
        </w:rPr>
        <w:t xml:space="preserve">, </w:t>
      </w:r>
      <w:r>
        <w:rPr>
          <w:rtl w:val="true"/>
        </w:rPr>
        <w:t xml:space="preserve">בתומו נקבע כי יש באפשרות המערערים להגיש בקשה לפסילת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ברנד</w:t>
      </w:r>
      <w:r>
        <w:rPr>
          <w:rFonts w:cs="Century" w:ascii="Century" w:hAnsi="Century"/>
          <w:sz w:val="22"/>
          <w:rtl w:val="true"/>
        </w:rPr>
        <w:t xml:space="preserve">, </w:t>
      </w:r>
      <w:r>
        <w:rPr>
          <w:rFonts w:ascii="Century" w:hAnsi="Century" w:cs="Century"/>
          <w:sz w:val="22"/>
          <w:sz w:val="22"/>
          <w:rtl w:val="true"/>
        </w:rPr>
        <w:t>וכי ככל שזו תתקבל</w:t>
      </w:r>
      <w:r>
        <w:rPr>
          <w:rFonts w:cs="Century" w:ascii="Century" w:hAnsi="Century"/>
          <w:sz w:val="22"/>
          <w:rtl w:val="true"/>
        </w:rPr>
        <w:t xml:space="preserve">, </w:t>
      </w:r>
      <w:r>
        <w:rPr>
          <w:rFonts w:ascii="Century" w:hAnsi="Century" w:cs="Century"/>
          <w:sz w:val="22"/>
          <w:sz w:val="22"/>
          <w:rtl w:val="true"/>
        </w:rPr>
        <w:t xml:space="preserve">תבוטל ההחלטה מיום </w:t>
      </w:r>
      <w:r>
        <w:rPr>
          <w:rFonts w:cs="Century" w:ascii="Century" w:hAnsi="Century"/>
          <w:sz w:val="22"/>
        </w:rPr>
        <w:t>14.3.2019</w:t>
      </w:r>
      <w:r>
        <w:rPr>
          <w:rFonts w:cs="Century" w:ascii="Century" w:hAnsi="Century"/>
          <w:sz w:val="22"/>
          <w:rtl w:val="true"/>
        </w:rPr>
        <w:t xml:space="preserve">. </w:t>
      </w:r>
      <w:r>
        <w:rPr>
          <w:rFonts w:ascii="Century" w:hAnsi="Century" w:cs="Century"/>
          <w:sz w:val="22"/>
          <w:sz w:val="22"/>
          <w:rtl w:val="true"/>
        </w:rPr>
        <w:t>עוד נקבע כי צווי ההריסה יעוכבו עד למתן החלטה בבקשת הפסלות</w:t>
      </w:r>
      <w:r>
        <w:rPr>
          <w:rFonts w:cs="Century" w:ascii="Century" w:hAnsi="Century"/>
          <w:sz w:val="22"/>
          <w:rtl w:val="true"/>
        </w:rPr>
        <w:t xml:space="preserve">. </w:t>
      </w:r>
    </w:p>
    <w:p>
      <w:pPr>
        <w:pStyle w:val="Ruller4"/>
        <w:ind w:end="0"/>
        <w:jc w:val="both"/>
        <w:rPr/>
      </w:pPr>
      <w:r>
        <w:rPr>
          <w:rtl w:val="true"/>
        </w:rPr>
      </w:r>
    </w:p>
    <w:p>
      <w:pPr>
        <w:pStyle w:val="Ruller41"/>
        <w:numPr>
          <w:ilvl w:val="0"/>
          <w:numId w:val="2"/>
        </w:numPr>
        <w:ind w:hanging="0" w:start="0" w:end="0"/>
        <w:jc w:val="both"/>
        <w:rPr>
          <w:rFonts w:ascii="Century" w:hAnsi="Century" w:cs="Century"/>
        </w:rPr>
      </w:pPr>
      <w:r>
        <w:rPr>
          <w:rtl w:val="true"/>
        </w:rPr>
        <w:t xml:space="preserve">ביום </w:t>
      </w:r>
      <w:r>
        <w:rPr/>
        <w:t>11.7.2019</w:t>
      </w:r>
      <w:r>
        <w:rPr>
          <w:rtl w:val="true"/>
        </w:rPr>
        <w:t xml:space="preserve"> </w:t>
      </w:r>
      <w:r>
        <w:rPr>
          <w:rtl w:val="true"/>
        </w:rPr>
        <w:t>הגישו המערערים את בקשת הפסלות</w:t>
      </w:r>
      <w:r>
        <w:rPr>
          <w:rtl w:val="true"/>
        </w:rPr>
        <w:t xml:space="preserve">. </w:t>
      </w:r>
      <w:r>
        <w:rPr>
          <w:rtl w:val="true"/>
        </w:rPr>
        <w:t>טענתם המרכזית הייתה כי נוכח העובדה שהוועדה המחוזית דנה בתכנית להכשרת הבניה בקלנסואה</w:t>
      </w:r>
      <w:r>
        <w:rPr>
          <w:rtl w:val="true"/>
        </w:rPr>
        <w:t xml:space="preserve">, </w:t>
      </w:r>
      <w:r>
        <w:rPr>
          <w:rtl w:val="true"/>
        </w:rPr>
        <w:t>לרבות הבנייה מושא צווי ההריסה</w:t>
      </w:r>
      <w:r>
        <w:rPr>
          <w:rtl w:val="true"/>
        </w:rPr>
        <w:t xml:space="preserve">, </w:t>
      </w:r>
      <w:r>
        <w:rPr>
          <w:rtl w:val="true"/>
        </w:rPr>
        <w:t>היה על בית המשפט קמא לגלות את דבר הקרבה המשפחתית בינו ובין יושבת ראש הוועדה ולאפשר לצדדים לטעון בעניין</w:t>
      </w:r>
      <w:r>
        <w:rPr>
          <w:rtl w:val="true"/>
        </w:rPr>
        <w:t xml:space="preserve">. </w:t>
      </w:r>
      <w:r>
        <w:rPr>
          <w:rtl w:val="true"/>
        </w:rPr>
        <w:t>עוד נטען כי העתירה המינהלית כללה טענות נגד הוועדה המחוזית והעומדת בראשה</w:t>
      </w:r>
      <w:r>
        <w:rPr>
          <w:rtl w:val="true"/>
        </w:rPr>
        <w:t xml:space="preserve">, </w:t>
      </w:r>
      <w:r>
        <w:rPr>
          <w:rtl w:val="true"/>
        </w:rPr>
        <w:t>וכי בנסיבות אלה</w:t>
      </w:r>
      <w:r>
        <w:rPr>
          <w:rtl w:val="true"/>
        </w:rPr>
        <w:t xml:space="preserve">, </w:t>
      </w:r>
      <w:r>
        <w:rPr>
          <w:rtl w:val="true"/>
        </w:rPr>
        <w:t>קם חשש ממשי למשוא פנים אשר מחייב את פסילתו של המותב</w:t>
      </w:r>
      <w:r>
        <w:rPr>
          <w:rtl w:val="true"/>
        </w:rPr>
        <w:t xml:space="preserve">, </w:t>
      </w:r>
      <w:r>
        <w:rPr>
          <w:rtl w:val="true"/>
        </w:rPr>
        <w:t xml:space="preserve">בייחוד נוכח הוראת </w:t>
      </w:r>
      <w:hyperlink r:id="rId30">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Pr>
          <w:t>1</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3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ד</w:t>
      </w:r>
      <w:r>
        <w:rPr>
          <w:rtl w:val="true"/>
        </w:rPr>
        <w:t>-</w:t>
      </w:r>
      <w:r>
        <w:rPr/>
        <w:t>1984</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tl w:val="true"/>
        </w:rPr>
        <w:t xml:space="preserve">) </w:t>
      </w:r>
      <w:r>
        <w:rPr>
          <w:rtl w:val="true"/>
        </w:rPr>
        <w:t xml:space="preserve">הקובעת כי שופט לא ישב בדין במקרים שבהם </w:t>
      </w:r>
      <w:r>
        <w:rPr>
          <w:rtl w:val="true"/>
        </w:rPr>
        <w:t>"</w:t>
      </w:r>
      <w:r>
        <w:rPr>
          <w:rFonts w:ascii="Century" w:hAnsi="Century" w:cs="Miriam"/>
          <w:b/>
          <w:b/>
          <w:spacing w:val="0"/>
          <w:szCs w:val="24"/>
          <w:rtl w:val="true"/>
        </w:rPr>
        <w:t>צד</w:t>
      </w:r>
      <w:r>
        <w:rPr>
          <w:rFonts w:ascii="Century" w:hAnsi="Century" w:eastAsia="Century" w:cs="Century"/>
          <w:b/>
          <w:b/>
          <w:spacing w:val="0"/>
          <w:szCs w:val="24"/>
          <w:rtl w:val="true"/>
        </w:rPr>
        <w:t xml:space="preserve"> </w:t>
      </w:r>
      <w:r>
        <w:rPr>
          <w:rFonts w:ascii="Century" w:hAnsi="Century" w:cs="Miriam"/>
          <w:b/>
          <w:b/>
          <w:spacing w:val="0"/>
          <w:szCs w:val="24"/>
          <w:rtl w:val="true"/>
        </w:rPr>
        <w:t>להליך</w:t>
      </w:r>
      <w:r>
        <w:rPr>
          <w:rFonts w:cs="Miriam" w:ascii="Century" w:hAnsi="Century"/>
          <w:b/>
          <w:spacing w:val="0"/>
          <w:szCs w:val="24"/>
          <w:rtl w:val="true"/>
        </w:rPr>
        <w:t xml:space="preserve">, </w:t>
      </w:r>
      <w:r>
        <w:rPr>
          <w:rFonts w:ascii="Century" w:hAnsi="Century" w:cs="Miriam"/>
          <w:b/>
          <w:b/>
          <w:spacing w:val="0"/>
          <w:szCs w:val="24"/>
          <w:rtl w:val="true"/>
        </w:rPr>
        <w:t>בא</w:t>
      </w:r>
      <w:r>
        <w:rPr>
          <w:rFonts w:ascii="Century" w:hAnsi="Century" w:eastAsia="Century" w:cs="Century"/>
          <w:b/>
          <w:b/>
          <w:spacing w:val="0"/>
          <w:szCs w:val="24"/>
          <w:rtl w:val="true"/>
        </w:rPr>
        <w:t xml:space="preserve"> </w:t>
      </w:r>
      <w:r>
        <w:rPr>
          <w:rFonts w:ascii="Century" w:hAnsi="Century" w:cs="Miriam"/>
          <w:b/>
          <w:b/>
          <w:spacing w:val="0"/>
          <w:szCs w:val="24"/>
          <w:rtl w:val="true"/>
        </w:rPr>
        <w:t>כוחו</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מרכזי</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משפחה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השופט</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שקיימת</w:t>
      </w:r>
      <w:r>
        <w:rPr>
          <w:rFonts w:ascii="Century" w:hAnsi="Century" w:eastAsia="Century" w:cs="Century"/>
          <w:b/>
          <w:b/>
          <w:spacing w:val="0"/>
          <w:szCs w:val="24"/>
          <w:rtl w:val="true"/>
        </w:rPr>
        <w:t xml:space="preserve"> </w:t>
      </w:r>
      <w:r>
        <w:rPr>
          <w:rFonts w:ascii="Century" w:hAnsi="Century" w:cs="Miriam"/>
          <w:b/>
          <w:b/>
          <w:spacing w:val="0"/>
          <w:szCs w:val="24"/>
          <w:rtl w:val="true"/>
        </w:rPr>
        <w:t>ביניהם</w:t>
      </w:r>
      <w:r>
        <w:rPr>
          <w:rFonts w:ascii="Century" w:hAnsi="Century" w:eastAsia="Century" w:cs="Century"/>
          <w:b/>
          <w:b/>
          <w:spacing w:val="0"/>
          <w:szCs w:val="24"/>
          <w:rtl w:val="true"/>
        </w:rPr>
        <w:t xml:space="preserve"> </w:t>
      </w:r>
      <w:r>
        <w:rPr>
          <w:rFonts w:ascii="Century" w:hAnsi="Century" w:cs="Miriam"/>
          <w:b/>
          <w:b/>
          <w:spacing w:val="0"/>
          <w:szCs w:val="24"/>
          <w:rtl w:val="true"/>
        </w:rPr>
        <w:t>קרבה</w:t>
      </w:r>
      <w:r>
        <w:rPr>
          <w:rFonts w:ascii="Century" w:hAnsi="Century" w:eastAsia="Century" w:cs="Century"/>
          <w:b/>
          <w:b/>
          <w:spacing w:val="0"/>
          <w:szCs w:val="24"/>
          <w:rtl w:val="true"/>
        </w:rPr>
        <w:t xml:space="preserve"> </w:t>
      </w:r>
      <w:r>
        <w:rPr>
          <w:rFonts w:ascii="Century" w:hAnsi="Century" w:cs="Miriam"/>
          <w:b/>
          <w:b/>
          <w:spacing w:val="0"/>
          <w:szCs w:val="24"/>
          <w:rtl w:val="true"/>
        </w:rPr>
        <w:t>ממשית</w:t>
      </w:r>
      <w:r>
        <w:rPr>
          <w:rFonts w:ascii="Century" w:hAnsi="Century" w:eastAsia="Century" w:cs="Century"/>
          <w:b/>
          <w:b/>
          <w:spacing w:val="0"/>
          <w:szCs w:val="24"/>
          <w:rtl w:val="true"/>
        </w:rPr>
        <w:t xml:space="preserve"> </w:t>
      </w:r>
      <w:r>
        <w:rPr>
          <w:rFonts w:ascii="Century" w:hAnsi="Century" w:cs="Miriam"/>
          <w:b/>
          <w:b/>
          <w:spacing w:val="0"/>
          <w:szCs w:val="24"/>
          <w:rtl w:val="true"/>
        </w:rPr>
        <w:t>אחרת</w:t>
      </w:r>
      <w:r>
        <w:rPr>
          <w:rFonts w:cs="Century" w:ascii="Century" w:hAnsi="Century"/>
          <w:rtl w:val="true"/>
        </w:rPr>
        <w:t xml:space="preserve">". </w:t>
      </w:r>
      <w:r>
        <w:rPr>
          <w:rFonts w:ascii="Century" w:hAnsi="Century" w:cs="Century"/>
          <w:rtl w:val="true"/>
        </w:rPr>
        <w:t>אשר למועד הגשת הבקשה</w:t>
      </w:r>
      <w:r>
        <w:rPr>
          <w:rFonts w:cs="Century" w:ascii="Century" w:hAnsi="Century"/>
          <w:rtl w:val="true"/>
        </w:rPr>
        <w:t xml:space="preserve">, </w:t>
      </w:r>
      <w:r>
        <w:rPr>
          <w:rFonts w:ascii="Century" w:hAnsi="Century" w:cs="Century"/>
          <w:rtl w:val="true"/>
        </w:rPr>
        <w:t xml:space="preserve">טענו המערערים כי לא היו מודעים לכך שהמותב החליף את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כרייף</w:t>
      </w:r>
      <w:r>
        <w:rPr>
          <w:rFonts w:ascii="Century" w:hAnsi="Century" w:eastAsia="Century" w:cs="Century"/>
          <w:b/>
          <w:b/>
          <w:spacing w:val="0"/>
          <w:sz w:val="22"/>
          <w:sz w:val="22"/>
          <w:szCs w:val="24"/>
          <w:rtl w:val="true"/>
        </w:rPr>
        <w:t xml:space="preserve"> </w:t>
      </w:r>
      <w:r>
        <w:rPr>
          <w:rFonts w:ascii="Century" w:hAnsi="Century" w:cs="Century"/>
          <w:sz w:val="22"/>
          <w:sz w:val="22"/>
          <w:rtl w:val="true"/>
        </w:rPr>
        <w:t>בהליך</w:t>
      </w:r>
      <w:r>
        <w:rPr>
          <w:rFonts w:cs="Century" w:ascii="Century" w:hAnsi="Century"/>
          <w:sz w:val="22"/>
          <w:rtl w:val="true"/>
        </w:rPr>
        <w:t xml:space="preserve">, </w:t>
      </w:r>
      <w:r>
        <w:rPr>
          <w:rFonts w:ascii="Century" w:hAnsi="Century" w:cs="Century"/>
          <w:sz w:val="22"/>
          <w:sz w:val="22"/>
          <w:rtl w:val="true"/>
        </w:rPr>
        <w:t>ועל כן לא הגישו את בקשתם בטרם ניתנה ההחלטה בבקשת היחידה הארצית</w:t>
      </w:r>
      <w:r>
        <w:rPr>
          <w:rFonts w:cs="Century" w:ascii="Century" w:hAnsi="Century"/>
          <w:sz w:val="22"/>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 xml:space="preserve">ביום </w:t>
      </w:r>
      <w:r>
        <w:rPr/>
        <w:t>15.8.2019</w:t>
      </w:r>
      <w:r>
        <w:rPr>
          <w:rtl w:val="true"/>
        </w:rPr>
        <w:t xml:space="preserve">, </w:t>
      </w:r>
      <w:r>
        <w:rPr>
          <w:rtl w:val="true"/>
        </w:rPr>
        <w:t>לאחר קבלת עמדת היחידה הארצית</w:t>
      </w:r>
      <w:r>
        <w:rPr>
          <w:rtl w:val="true"/>
        </w:rPr>
        <w:t xml:space="preserve">, </w:t>
      </w:r>
      <w:r>
        <w:rPr>
          <w:rtl w:val="true"/>
        </w:rPr>
        <w:t>אשר התנגדה לבקשה</w:t>
      </w:r>
      <w:r>
        <w:rPr>
          <w:rtl w:val="true"/>
        </w:rPr>
        <w:t xml:space="preserve">, </w:t>
      </w:r>
      <w:r>
        <w:rPr>
          <w:rtl w:val="true"/>
        </w:rPr>
        <w:t>ותשובת המערערים לתגובה זו</w:t>
      </w:r>
      <w:r>
        <w:rPr>
          <w:rtl w:val="true"/>
        </w:rPr>
        <w:t xml:space="preserve">, </w:t>
      </w:r>
      <w:r>
        <w:rPr>
          <w:rtl w:val="true"/>
        </w:rPr>
        <w:t>דחה בית המשפט קמא את בקשת הפסילה</w:t>
      </w:r>
      <w:r>
        <w:rPr>
          <w:rtl w:val="true"/>
        </w:rPr>
        <w:t xml:space="preserve">. </w:t>
      </w:r>
      <w:r>
        <w:rPr>
          <w:rtl w:val="true"/>
        </w:rPr>
        <w:t>נקבע כי הבקשה לא הוגשה בהזדמנות הראשונה להעלותה</w:t>
      </w:r>
      <w:r>
        <w:rPr>
          <w:rtl w:val="true"/>
        </w:rPr>
        <w:t xml:space="preserve">, </w:t>
      </w:r>
      <w:r>
        <w:rPr>
          <w:rtl w:val="true"/>
        </w:rPr>
        <w:t xml:space="preserve">שכן הגם שהחלטות קודמות ניתנו על ידי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כרייף</w:t>
      </w:r>
      <w:r>
        <w:rPr>
          <w:rFonts w:cs="Century" w:ascii="Century" w:hAnsi="Century"/>
          <w:sz w:val="22"/>
          <w:rtl w:val="true"/>
        </w:rPr>
        <w:t xml:space="preserve">, </w:t>
      </w:r>
      <w:r>
        <w:rPr>
          <w:rFonts w:ascii="Century" w:hAnsi="Century" w:cs="Century"/>
          <w:sz w:val="22"/>
          <w:sz w:val="22"/>
          <w:rtl w:val="true"/>
        </w:rPr>
        <w:t xml:space="preserve">החל מיום </w:t>
      </w:r>
      <w:r>
        <w:rPr>
          <w:rFonts w:cs="Century" w:ascii="Century" w:hAnsi="Century"/>
          <w:sz w:val="22"/>
        </w:rPr>
        <w:t>28.2.2019</w:t>
      </w:r>
      <w:r>
        <w:rPr>
          <w:rFonts w:cs="Century" w:ascii="Century" w:hAnsi="Century"/>
          <w:sz w:val="22"/>
          <w:rtl w:val="true"/>
        </w:rPr>
        <w:t xml:space="preserve"> </w:t>
      </w:r>
      <w:r>
        <w:rPr>
          <w:rFonts w:ascii="Century" w:hAnsi="Century" w:cs="Century"/>
          <w:sz w:val="22"/>
          <w:sz w:val="22"/>
          <w:rtl w:val="true"/>
        </w:rPr>
        <w:t>ניתנו מספר החלטות על ידי המותב הנוכחי</w:t>
      </w:r>
      <w:r>
        <w:rPr>
          <w:rFonts w:cs="Century" w:ascii="Century" w:hAnsi="Century"/>
          <w:sz w:val="22"/>
          <w:rtl w:val="true"/>
        </w:rPr>
        <w:t xml:space="preserve">, </w:t>
      </w:r>
      <w:r>
        <w:rPr>
          <w:rFonts w:ascii="Century" w:hAnsi="Century" w:cs="Century"/>
          <w:sz w:val="22"/>
          <w:sz w:val="22"/>
          <w:rtl w:val="true"/>
        </w:rPr>
        <w:t>לרבות בבקשת ארכה שהגישו המערערים</w:t>
      </w:r>
      <w:r>
        <w:rPr>
          <w:rFonts w:cs="Century" w:ascii="Century" w:hAnsi="Century"/>
          <w:sz w:val="22"/>
          <w:rtl w:val="true"/>
        </w:rPr>
        <w:t xml:space="preserve">. </w:t>
      </w:r>
      <w:r>
        <w:rPr>
          <w:rFonts w:ascii="Century" w:hAnsi="Century" w:cs="Century"/>
          <w:sz w:val="22"/>
          <w:sz w:val="22"/>
          <w:rtl w:val="true"/>
        </w:rPr>
        <w:t>חרף האמור</w:t>
      </w:r>
      <w:r>
        <w:rPr>
          <w:rFonts w:cs="Century" w:ascii="Century" w:hAnsi="Century"/>
          <w:sz w:val="22"/>
          <w:rtl w:val="true"/>
        </w:rPr>
        <w:t xml:space="preserve">, </w:t>
      </w:r>
      <w:r>
        <w:rPr>
          <w:rFonts w:ascii="Century" w:hAnsi="Century" w:cs="Century"/>
          <w:sz w:val="22"/>
          <w:sz w:val="22"/>
          <w:rtl w:val="true"/>
        </w:rPr>
        <w:t>טענת הפסלות הועלתה לראשונה על ידי המערערים במסגרת הערעור לבית המשפט המחוזי</w:t>
      </w:r>
      <w:r>
        <w:rPr>
          <w:rFonts w:cs="Century" w:ascii="Century" w:hAnsi="Century"/>
          <w:sz w:val="22"/>
          <w:rtl w:val="true"/>
        </w:rPr>
        <w:t xml:space="preserve">. </w:t>
      </w:r>
      <w:r>
        <w:rPr>
          <w:rFonts w:ascii="Century" w:hAnsi="Century" w:cs="Century"/>
          <w:sz w:val="22"/>
          <w:sz w:val="22"/>
          <w:rtl w:val="true"/>
        </w:rPr>
        <w:t>עוד צוין כי בניגוד לטענת בא</w:t>
      </w:r>
      <w:r>
        <w:rPr>
          <w:rFonts w:cs="Century" w:ascii="Century" w:hAnsi="Century"/>
          <w:sz w:val="22"/>
          <w:rtl w:val="true"/>
        </w:rPr>
        <w:t>-</w:t>
      </w:r>
      <w:r>
        <w:rPr>
          <w:rFonts w:ascii="Century" w:hAnsi="Century" w:cs="Century"/>
          <w:sz w:val="22"/>
          <w:sz w:val="22"/>
          <w:rtl w:val="true"/>
        </w:rPr>
        <w:t>כוח המערערים</w:t>
      </w:r>
      <w:r>
        <w:rPr>
          <w:rFonts w:cs="Century" w:ascii="Century" w:hAnsi="Century"/>
          <w:sz w:val="22"/>
          <w:rtl w:val="true"/>
        </w:rPr>
        <w:t xml:space="preserve">, </w:t>
      </w:r>
      <w:r>
        <w:rPr>
          <w:rFonts w:ascii="Century" w:hAnsi="Century" w:cs="Century"/>
          <w:sz w:val="22"/>
          <w:sz w:val="22"/>
          <w:rtl w:val="true"/>
        </w:rPr>
        <w:t>בהתאם לדבריו בפני בית המשפט המחוזי הוא היה מודע זה מכבר לקשר המשפחתי שבין המותב ויושבת ראש הוועדה המחוזית</w:t>
      </w:r>
      <w:r>
        <w:rPr>
          <w:rFonts w:cs="Century" w:ascii="Century" w:hAnsi="Century"/>
          <w:sz w:val="22"/>
          <w:rtl w:val="true"/>
        </w:rPr>
        <w:t xml:space="preserve">. </w:t>
      </w:r>
      <w:r>
        <w:rPr>
          <w:rFonts w:ascii="Century" w:hAnsi="Century" w:cs="Century"/>
          <w:sz w:val="22"/>
          <w:sz w:val="22"/>
          <w:rtl w:val="true"/>
        </w:rPr>
        <w:t>בהקשר זה צוין כי במהלך דיון בהליך פלילי שהתנהל בעניין רוצחו של אבי אשתו</w:t>
      </w:r>
      <w:r>
        <w:rPr>
          <w:rFonts w:cs="Century" w:ascii="Century" w:hAnsi="Century"/>
          <w:sz w:val="22"/>
          <w:rtl w:val="true"/>
        </w:rPr>
        <w:t xml:space="preserve">, </w:t>
      </w:r>
      <w:r>
        <w:rPr>
          <w:rFonts w:ascii="Century" w:hAnsi="Century" w:cs="Century"/>
          <w:sz w:val="22"/>
          <w:sz w:val="22"/>
          <w:rtl w:val="true"/>
        </w:rPr>
        <w:t>ראובן שמרלינג ז</w:t>
      </w:r>
      <w:r>
        <w:rPr>
          <w:rFonts w:cs="Century" w:ascii="Century" w:hAnsi="Century"/>
          <w:sz w:val="22"/>
          <w:rtl w:val="true"/>
        </w:rPr>
        <w:t>"</w:t>
      </w:r>
      <w:r>
        <w:rPr>
          <w:rFonts w:ascii="Century" w:hAnsi="Century" w:cs="Century"/>
          <w:sz w:val="22"/>
          <w:sz w:val="22"/>
          <w:rtl w:val="true"/>
        </w:rPr>
        <w:t>ל</w:t>
      </w:r>
      <w:r>
        <w:rPr>
          <w:rFonts w:cs="Century" w:ascii="Century" w:hAnsi="Century"/>
          <w:sz w:val="22"/>
          <w:rtl w:val="true"/>
        </w:rPr>
        <w:t xml:space="preserve">, </w:t>
      </w:r>
      <w:r>
        <w:rPr>
          <w:rFonts w:ascii="Century" w:hAnsi="Century" w:cs="Century"/>
          <w:sz w:val="22"/>
          <w:sz w:val="22"/>
          <w:rtl w:val="true"/>
        </w:rPr>
        <w:t>פנה בא</w:t>
      </w:r>
      <w:r>
        <w:rPr>
          <w:rFonts w:cs="Century" w:ascii="Century" w:hAnsi="Century"/>
          <w:sz w:val="22"/>
          <w:rtl w:val="true"/>
        </w:rPr>
        <w:t>-</w:t>
      </w:r>
      <w:r>
        <w:rPr>
          <w:rFonts w:ascii="Century" w:hAnsi="Century" w:cs="Century"/>
          <w:sz w:val="22"/>
          <w:sz w:val="22"/>
          <w:rtl w:val="true"/>
        </w:rPr>
        <w:t>כוח המערערים אליה וביקש למסור את תנחומיו לה ולמותב</w:t>
      </w:r>
      <w:r>
        <w:rPr>
          <w:rFonts w:cs="Century" w:ascii="Century" w:hAnsi="Century"/>
          <w:sz w:val="22"/>
          <w:rtl w:val="true"/>
        </w:rPr>
        <w:t xml:space="preserve">, </w:t>
      </w:r>
      <w:r>
        <w:rPr>
          <w:rFonts w:ascii="Century" w:hAnsi="Century" w:cs="Century"/>
          <w:sz w:val="22"/>
          <w:sz w:val="22"/>
          <w:rtl w:val="true"/>
        </w:rPr>
        <w:t xml:space="preserve">וכי הליך זה הסתיים בחודש יולי </w:t>
      </w:r>
      <w:r>
        <w:rPr>
          <w:rFonts w:cs="Century" w:ascii="Century" w:hAnsi="Century"/>
          <w:sz w:val="22"/>
        </w:rPr>
        <w:t>2018</w:t>
      </w:r>
      <w:r>
        <w:rPr>
          <w:rFonts w:cs="Century" w:ascii="Century" w:hAnsi="Century"/>
          <w:sz w:val="22"/>
          <w:rtl w:val="true"/>
        </w:rPr>
        <w:t xml:space="preserve">, </w:t>
      </w:r>
      <w:r>
        <w:rPr>
          <w:rFonts w:ascii="Century" w:hAnsi="Century" w:cs="Century"/>
          <w:sz w:val="22"/>
          <w:sz w:val="22"/>
          <w:rtl w:val="true"/>
        </w:rPr>
        <w:t>למעלה מחצי שנה בטרם שניתנה החלטתו הראשונה בהליכים שבפניו</w:t>
      </w:r>
      <w:r>
        <w:rPr>
          <w:rFonts w:cs="Century" w:ascii="Century" w:hAnsi="Century"/>
          <w:sz w:val="22"/>
          <w:rtl w:val="true"/>
        </w:rPr>
        <w:t xml:space="preserve">. </w:t>
      </w:r>
      <w:r>
        <w:rPr>
          <w:rtl w:val="true"/>
        </w:rPr>
        <w:t>בנסיבות אלה נקבע כי די בעובדה שטענת הפסלות לא הועלתה בהזדמנות הראשונה כדי לדחות את הבקשה</w:t>
      </w:r>
      <w:r>
        <w:rPr>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לגופם של דברים נקבע כי הוועדה המחוזית או העומדת בראשה אינם צד להליכים המתנהלים בנוגע לצווים</w:t>
      </w:r>
      <w:r>
        <w:rPr>
          <w:rFonts w:cs="Century" w:ascii="Century" w:hAnsi="Century"/>
          <w:sz w:val="22"/>
          <w:rtl w:val="true"/>
        </w:rPr>
        <w:t xml:space="preserve">, </w:t>
      </w:r>
      <w:r>
        <w:rPr>
          <w:rFonts w:ascii="Century" w:hAnsi="Century" w:cs="Century"/>
          <w:sz w:val="22"/>
          <w:sz w:val="22"/>
          <w:rtl w:val="true"/>
        </w:rPr>
        <w:t>וכי גורמים אלה כלל אינם עוסקים באכיפה בהקשר זה</w:t>
      </w:r>
      <w:r>
        <w:rPr>
          <w:rFonts w:cs="Century" w:ascii="Century" w:hAnsi="Century"/>
          <w:sz w:val="22"/>
          <w:rtl w:val="true"/>
        </w:rPr>
        <w:t xml:space="preserve">. </w:t>
      </w:r>
      <w:r>
        <w:rPr>
          <w:rFonts w:ascii="Century" w:hAnsi="Century" w:cs="Century"/>
          <w:sz w:val="22"/>
          <w:sz w:val="22"/>
          <w:rtl w:val="true"/>
        </w:rPr>
        <w:t>עוד נקבע כי אין לתוצאת הבקשה להארכת תוקף הצווים כל זיקה או נגיעה אישית אל המותב או אל אשתו וכי העתירה המינהלית עוסקת בנושאים שונים לחלוטין מן ההליכים המתנהלים בפני המותב</w:t>
      </w:r>
      <w:r>
        <w:rPr>
          <w:rFonts w:cs="Century" w:ascii="Century" w:hAnsi="Century"/>
          <w:sz w:val="22"/>
          <w:rtl w:val="true"/>
        </w:rPr>
        <w:t xml:space="preserve">. </w:t>
      </w:r>
      <w:r>
        <w:rPr>
          <w:rFonts w:ascii="Century" w:hAnsi="Century" w:cs="Century"/>
          <w:sz w:val="22"/>
          <w:sz w:val="22"/>
          <w:rtl w:val="true"/>
        </w:rPr>
        <w:t xml:space="preserve">לאור כל האמור נקבע כי לא מתקיימת עילת הפסלות </w:t>
      </w:r>
      <w:hyperlink r:id="rId32">
        <w:r>
          <w:rPr>
            <w:rStyle w:val="Hyperlink"/>
            <w:rFonts w:ascii="Century" w:hAnsi="Century" w:cs="Century"/>
            <w:color w:val="0000FF"/>
            <w:sz w:val="22"/>
            <w:sz w:val="22"/>
            <w:u w:val="single"/>
            <w:rtl w:val="true"/>
          </w:rPr>
          <w:t>שבסעיף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77</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 ואף לא עילת הפסלות הכללית שעניינה קיומו של חשש ממשאי אובייקטיבי למשוא פנים</w:t>
      </w:r>
      <w:r>
        <w:rPr>
          <w:rFonts w:cs="Century" w:ascii="Century" w:hAnsi="Century"/>
          <w:sz w:val="22"/>
          <w:rtl w:val="true"/>
        </w:rPr>
        <w:t xml:space="preserve">. </w:t>
      </w:r>
      <w:r>
        <w:rPr>
          <w:rFonts w:ascii="Century" w:hAnsi="Century" w:cs="Century"/>
          <w:sz w:val="22"/>
          <w:sz w:val="22"/>
          <w:rtl w:val="true"/>
        </w:rPr>
        <w:t>לבסוף צוין כי בנסיבות העניין אף לא היה צורך בגילוי הקשר המשפחתי בין המותב ויושבת ראש הוועדה המחוזית</w:t>
      </w:r>
      <w:r>
        <w:rPr>
          <w:rtl w:val="true"/>
        </w:rPr>
        <w:t xml:space="preserve">, </w:t>
      </w:r>
      <w:r>
        <w:rPr>
          <w:rtl w:val="true"/>
        </w:rPr>
        <w:t>שכן המותב היה מודע לכך שבא</w:t>
      </w:r>
      <w:r>
        <w:rPr>
          <w:rtl w:val="true"/>
        </w:rPr>
        <w:t>-</w:t>
      </w:r>
      <w:r>
        <w:rPr>
          <w:rtl w:val="true"/>
        </w:rPr>
        <w:t>כוח המערערים ער לקשר המשפחתי האמור וכי בנסיבות העניין הדבר אינו מהווה פגיעה במראית פני הצדק אשר עשוי להוליך במקרים חריגים לפסילתו של שופט</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מכאן הערעור דנן</w:t>
      </w:r>
      <w:r>
        <w:rPr>
          <w:rtl w:val="true"/>
        </w:rPr>
        <w:t xml:space="preserve">, </w:t>
      </w:r>
      <w:r>
        <w:rPr>
          <w:rtl w:val="true"/>
        </w:rPr>
        <w:t>בו שבים המערערים על טענותיהם ומוסיפים כי יושבת ראש הוועדה המחוזית מעורבת בהליכים להכשרת המבנים מושא הצווים</w:t>
      </w:r>
      <w:r>
        <w:rPr>
          <w:rtl w:val="true"/>
        </w:rPr>
        <w:t xml:space="preserve">, </w:t>
      </w:r>
      <w:r>
        <w:rPr>
          <w:rtl w:val="true"/>
        </w:rPr>
        <w:t>ולשיטתם היא אחראית על ביצוע הצווים ותוקפם</w:t>
      </w:r>
      <w:r>
        <w:rPr>
          <w:rtl w:val="true"/>
        </w:rPr>
        <w:t xml:space="preserve">, </w:t>
      </w:r>
      <w:r>
        <w:rPr>
          <w:rtl w:val="true"/>
        </w:rPr>
        <w:t>בשל העובדה שאלה הוצאו בטרם חקיקתו של תיקון מס</w:t>
      </w:r>
      <w:r>
        <w:rPr>
          <w:rtl w:val="true"/>
        </w:rPr>
        <w:t xml:space="preserve">' </w:t>
      </w:r>
      <w:r>
        <w:rPr/>
        <w:t>116</w:t>
      </w:r>
      <w:r>
        <w:rPr>
          <w:rtl w:val="true"/>
        </w:rPr>
        <w:t xml:space="preserve"> </w:t>
      </w:r>
      <w:r>
        <w:rPr>
          <w:rtl w:val="true"/>
        </w:rPr>
        <w:t>לחוק</w:t>
      </w:r>
      <w:r>
        <w:rPr>
          <w:rtl w:val="true"/>
        </w:rPr>
        <w:t xml:space="preserve">. </w:t>
      </w:r>
      <w:r>
        <w:rPr>
          <w:rtl w:val="true"/>
        </w:rPr>
        <w:t>נסיבות אלה מצביעות</w:t>
      </w:r>
      <w:r>
        <w:rPr>
          <w:rtl w:val="true"/>
        </w:rPr>
        <w:t xml:space="preserve">, </w:t>
      </w:r>
      <w:r>
        <w:rPr>
          <w:rtl w:val="true"/>
        </w:rPr>
        <w:t>אליבא דמערערים</w:t>
      </w:r>
      <w:r>
        <w:rPr>
          <w:rtl w:val="true"/>
        </w:rPr>
        <w:t xml:space="preserve">, </w:t>
      </w:r>
      <w:r>
        <w:rPr>
          <w:rtl w:val="true"/>
        </w:rPr>
        <w:t>על קיומו של חשש ממשי למשוא פנים וכן על כך שמראית פני הצדק מצדיקה אף היא את פסילת המותב</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דין הערעור להידחות</w:t>
      </w:r>
      <w:r>
        <w:rPr>
          <w:rtl w:val="true"/>
        </w:rPr>
        <w:t xml:space="preserve">. </w:t>
      </w:r>
      <w:r>
        <w:rPr>
          <w:rtl w:val="true"/>
        </w:rPr>
        <w:t xml:space="preserve">המבחן לפסילת שופט מלשבת בדין הוא זה הקבוע </w:t>
      </w:r>
      <w:hyperlink r:id="rId33">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ולפיו יש לבחון האם קיימות נסיבות שיש בהן כדי ליצור חשש ממשי למשוא פנים מצד המותב </w:t>
      </w:r>
      <w:r>
        <w:rPr>
          <w:rtl w:val="true"/>
        </w:rPr>
        <w:t>(</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4587/19</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4</w:t>
      </w:r>
      <w:r>
        <w:rPr>
          <w:rFonts w:cs="Century" w:ascii="Century" w:hAnsi="Century"/>
          <w:sz w:val="22"/>
          <w:rtl w:val="true"/>
        </w:rPr>
        <w:t xml:space="preserve"> (</w:t>
      </w:r>
      <w:r>
        <w:rPr>
          <w:rFonts w:cs="Century" w:ascii="Century" w:hAnsi="Century"/>
          <w:sz w:val="22"/>
        </w:rPr>
        <w:t>9.9.2019</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cs="Century" w:ascii="Century" w:hAnsi="Century"/>
          <w:sz w:val="22"/>
          <w:rtl w:val="true"/>
        </w:rPr>
        <w:t xml:space="preserve">). </w:t>
      </w:r>
      <w:r>
        <w:rPr>
          <w:rFonts w:ascii="Century" w:hAnsi="Century" w:cs="Century"/>
          <w:sz w:val="22"/>
          <w:sz w:val="22"/>
          <w:rtl w:val="true"/>
        </w:rPr>
        <w:t>איני סבורה כי עלה בידי המערערים להוכיח כי במקרה דנן אכן קיים חשש כאמור</w:t>
      </w:r>
      <w:r>
        <w:rPr>
          <w:rFonts w:cs="Century" w:ascii="Century" w:hAnsi="Century"/>
          <w:sz w:val="22"/>
          <w:rtl w:val="true"/>
        </w:rPr>
        <w:t xml:space="preserve">, </w:t>
      </w:r>
      <w:r>
        <w:rPr>
          <w:rFonts w:ascii="Century" w:hAnsi="Century" w:cs="Century"/>
          <w:sz w:val="22"/>
          <w:sz w:val="22"/>
          <w:rtl w:val="true"/>
        </w:rPr>
        <w:t xml:space="preserve">או כי מתקיימת העילה הספציפית </w:t>
      </w:r>
      <w:hyperlink r:id="rId36">
        <w:r>
          <w:rPr>
            <w:rStyle w:val="Hyperlink"/>
            <w:rFonts w:ascii="Century" w:hAnsi="Century" w:cs="Century"/>
            <w:color w:val="0000FF"/>
            <w:sz w:val="22"/>
            <w:sz w:val="22"/>
            <w:u w:val="single"/>
            <w:rtl w:val="true"/>
          </w:rPr>
          <w:t>שבסעיף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77</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37">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בתי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המשפט</w:t>
        </w:r>
      </w:hyperlink>
      <w:r>
        <w:rPr>
          <w:rFonts w:cs="Century" w:ascii="Century" w:hAnsi="Century"/>
          <w:sz w:val="22"/>
          <w:rtl w:val="true"/>
        </w:rPr>
        <w:t xml:space="preserve">, </w:t>
      </w:r>
      <w:r>
        <w:rPr>
          <w:rFonts w:ascii="Century" w:hAnsi="Century" w:cs="Century"/>
          <w:sz w:val="22"/>
          <w:sz w:val="22"/>
          <w:rtl w:val="true"/>
        </w:rPr>
        <w:t xml:space="preserve">הקובעת כי שופט לא ישב בדין אם </w:t>
      </w:r>
      <w:r>
        <w:rPr>
          <w:rFonts w:cs="Century" w:ascii="Century" w:hAnsi="Century"/>
          <w:sz w:val="22"/>
          <w:rtl w:val="true"/>
        </w:rPr>
        <w:t>"</w:t>
      </w:r>
      <w:r>
        <w:rPr>
          <w:rFonts w:ascii="Century" w:hAnsi="Century" w:cs="Miriam"/>
          <w:b/>
          <w:b/>
          <w:spacing w:val="0"/>
          <w:sz w:val="22"/>
          <w:sz w:val="22"/>
          <w:szCs w:val="24"/>
          <w:rtl w:val="true"/>
        </w:rPr>
        <w:t>צד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להליך</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מרכזי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שקיימת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ביניהם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קרבה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cs="Century" w:ascii="Century" w:hAnsi="Century"/>
          <w:sz w:val="22"/>
          <w:rtl w:val="true"/>
        </w:rPr>
        <w:t xml:space="preserve">". </w:t>
      </w:r>
      <w:r>
        <w:rPr>
          <w:rFonts w:ascii="Century" w:hAnsi="Century" w:cs="Century"/>
          <w:sz w:val="22"/>
          <w:sz w:val="22"/>
          <w:rtl w:val="true"/>
        </w:rPr>
        <w:t>אמנם</w:t>
      </w:r>
      <w:r>
        <w:rPr>
          <w:rFonts w:cs="Century" w:ascii="Century" w:hAnsi="Century"/>
          <w:sz w:val="22"/>
          <w:rtl w:val="true"/>
        </w:rPr>
        <w:t xml:space="preserve">, </w:t>
      </w:r>
      <w:r>
        <w:rPr>
          <w:rFonts w:ascii="Century" w:hAnsi="Century" w:cs="Century"/>
          <w:sz w:val="22"/>
          <w:sz w:val="22"/>
          <w:rtl w:val="true"/>
        </w:rPr>
        <w:t>בראשית הדרך הוצאו הצווים על ידי מי שכיהן אז כיושב ראש הוועדה המחוזית</w:t>
      </w:r>
      <w:r>
        <w:rPr>
          <w:rFonts w:cs="Century" w:ascii="Century" w:hAnsi="Century"/>
          <w:sz w:val="22"/>
          <w:rtl w:val="true"/>
        </w:rPr>
        <w:t xml:space="preserve">. </w:t>
      </w:r>
      <w:r>
        <w:rPr>
          <w:rFonts w:ascii="Century" w:hAnsi="Century" w:cs="Century"/>
          <w:sz w:val="22"/>
          <w:sz w:val="22"/>
          <w:rtl w:val="true"/>
        </w:rPr>
        <w:t>ואולם</w:t>
      </w:r>
      <w:r>
        <w:rPr>
          <w:rFonts w:cs="Century" w:ascii="Century" w:hAnsi="Century"/>
          <w:sz w:val="22"/>
          <w:rtl w:val="true"/>
        </w:rPr>
        <w:t xml:space="preserve">, </w:t>
      </w:r>
      <w:r>
        <w:rPr>
          <w:rFonts w:ascii="Century" w:hAnsi="Century" w:cs="Century"/>
          <w:sz w:val="22"/>
          <w:sz w:val="22"/>
          <w:rtl w:val="true"/>
        </w:rPr>
        <w:t>ההליכים הנוכחיים בפני בית המשפט קמא הוגשו על ידי היחידה הארצית</w:t>
      </w:r>
      <w:r>
        <w:rPr>
          <w:rFonts w:cs="Century" w:ascii="Century" w:hAnsi="Century"/>
          <w:sz w:val="22"/>
          <w:rtl w:val="true"/>
        </w:rPr>
        <w:t xml:space="preserve">, </w:t>
      </w:r>
      <w:r>
        <w:rPr>
          <w:rFonts w:ascii="Century" w:hAnsi="Century" w:cs="Century"/>
          <w:sz w:val="22"/>
          <w:sz w:val="22"/>
          <w:rtl w:val="true"/>
        </w:rPr>
        <w:t xml:space="preserve">בלא שנטען </w:t>
      </w:r>
      <w:r>
        <w:rPr>
          <w:rFonts w:ascii="Century" w:hAnsi="Century" w:cs="Century"/>
          <w:sz w:val="22"/>
          <w:sz w:val="22"/>
          <w:rtl w:val="true"/>
        </w:rPr>
        <w:t>על ידי מי מהצדדים</w:t>
      </w:r>
      <w:r>
        <w:rPr>
          <w:rFonts w:ascii="Century" w:hAnsi="Century" w:cs="Century"/>
          <w:sz w:val="22"/>
          <w:sz w:val="22"/>
          <w:rtl w:val="true"/>
        </w:rPr>
        <w:t xml:space="preserve"> למעורבות כלשהי של הוועדה המחוזית או העומדת בראשה</w:t>
      </w:r>
      <w:r>
        <w:rPr>
          <w:rFonts w:cs="Century" w:ascii="Century" w:hAnsi="Century"/>
          <w:sz w:val="22"/>
          <w:rtl w:val="true"/>
        </w:rPr>
        <w:t xml:space="preserve">. </w:t>
      </w:r>
      <w:r>
        <w:rPr>
          <w:rFonts w:ascii="Century" w:hAnsi="Century" w:cs="Century"/>
          <w:sz w:val="22"/>
          <w:sz w:val="22"/>
          <w:rtl w:val="true"/>
        </w:rPr>
        <w:t>בנסיבות אלה</w:t>
      </w:r>
      <w:r>
        <w:rPr>
          <w:rFonts w:cs="Century" w:ascii="Century" w:hAnsi="Century"/>
          <w:sz w:val="22"/>
          <w:rtl w:val="true"/>
        </w:rPr>
        <w:t xml:space="preserve">, </w:t>
      </w:r>
      <w:r>
        <w:rPr>
          <w:rFonts w:ascii="Century" w:hAnsi="Century" w:cs="Century"/>
          <w:sz w:val="22"/>
          <w:sz w:val="22"/>
          <w:rtl w:val="true"/>
        </w:rPr>
        <w:t xml:space="preserve">אין לומר כי על </w:t>
      </w:r>
      <w:r>
        <w:rPr>
          <w:rtl w:val="true"/>
        </w:rPr>
        <w:t xml:space="preserve">המקרה דנן חלה הוראת </w:t>
      </w:r>
      <w:hyperlink r:id="rId38">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Pr>
          <w:t>1</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וכי על המותב היה לפסול עצמו בשל כך</w:t>
      </w:r>
      <w:r>
        <w:rPr>
          <w:rtl w:val="true"/>
        </w:rPr>
        <w:t xml:space="preserve">. </w:t>
      </w:r>
      <w:r>
        <w:rPr>
          <w:rtl w:val="true"/>
        </w:rPr>
        <w:t>אשר לעתירה המנהלית</w:t>
      </w:r>
      <w:r>
        <w:rPr>
          <w:rtl w:val="true"/>
        </w:rPr>
        <w:t xml:space="preserve">. </w:t>
      </w:r>
      <w:r>
        <w:rPr>
          <w:rtl w:val="true"/>
        </w:rPr>
        <w:t>עתירה זו עוסקת בטענות המערערים בנוגע להליכים תכנוניים הנוגעים לעיר קלנסואה</w:t>
      </w:r>
      <w:r>
        <w:rPr>
          <w:rtl w:val="true"/>
        </w:rPr>
        <w:t xml:space="preserve">, </w:t>
      </w:r>
      <w:r>
        <w:rPr>
          <w:rtl w:val="true"/>
        </w:rPr>
        <w:t>אשר בה מעורבת הוועדה המחוזית וברי כי לו היו טענות שכאלה מונחות בפני המותב</w:t>
      </w:r>
      <w:r>
        <w:rPr>
          <w:rtl w:val="true"/>
        </w:rPr>
        <w:t xml:space="preserve">, </w:t>
      </w:r>
      <w:r>
        <w:rPr>
          <w:rtl w:val="true"/>
        </w:rPr>
        <w:t>היה בהן כדי להצדיק את פסילתו בשל קרבתו המשפחתית ליושבת ראש הוועדה</w:t>
      </w:r>
      <w:r>
        <w:rPr>
          <w:rtl w:val="true"/>
        </w:rPr>
        <w:t xml:space="preserve">. </w:t>
      </w:r>
      <w:r>
        <w:rPr>
          <w:rtl w:val="true"/>
        </w:rPr>
        <w:t xml:space="preserve">אך העתירה המינהלית מתנהלת בפני השופט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דותן</w:t>
      </w:r>
      <w:r>
        <w:rPr>
          <w:rFonts w:ascii="Century" w:hAnsi="Century" w:eastAsia="Century" w:cs="Century"/>
          <w:b/>
          <w:b/>
          <w:spacing w:val="0"/>
          <w:sz w:val="22"/>
          <w:sz w:val="22"/>
          <w:szCs w:val="24"/>
          <w:rtl w:val="true"/>
        </w:rPr>
        <w:t xml:space="preserve"> </w:t>
      </w:r>
      <w:r>
        <w:rPr>
          <w:rtl w:val="true"/>
        </w:rPr>
        <w:t>בבית המשפט המחוזי מרכז</w:t>
      </w:r>
      <w:r>
        <w:rPr>
          <w:rtl w:val="true"/>
        </w:rPr>
        <w:t>-</w:t>
      </w:r>
      <w:r>
        <w:rPr>
          <w:rtl w:val="true"/>
        </w:rPr>
        <w:t>לוד</w:t>
      </w:r>
      <w:r>
        <w:rPr>
          <w:rtl w:val="true"/>
        </w:rPr>
        <w:t xml:space="preserve">, </w:t>
      </w:r>
      <w:r>
        <w:rPr>
          <w:rtl w:val="true"/>
        </w:rPr>
        <w:t>וכפי שציין בית המשפט קמא בהחלטתו</w:t>
      </w:r>
      <w:r>
        <w:rPr>
          <w:rtl w:val="true"/>
        </w:rPr>
        <w:t xml:space="preserve">, </w:t>
      </w:r>
      <w:r>
        <w:rPr>
          <w:rtl w:val="true"/>
        </w:rPr>
        <w:t xml:space="preserve">הסעד שהתבקש במסגרתה אינו נוגע כלל ועיקר לצווים ואף נקבע במפורש במסגרת </w:t>
      </w:r>
      <w:r>
        <w:rPr>
          <w:rFonts w:ascii="Century" w:hAnsi="Century" w:cs="Century"/>
          <w:sz w:val="22"/>
          <w:sz w:val="22"/>
          <w:rtl w:val="true"/>
        </w:rPr>
        <w:t>ההחלטה שניתנה לאחר הדיון שהתקיים בבקשת המערערים למתן צו ביניים</w:t>
      </w:r>
      <w:r>
        <w:rPr>
          <w:rFonts w:cs="Century" w:ascii="Century" w:hAnsi="Century"/>
          <w:sz w:val="22"/>
          <w:rtl w:val="true"/>
        </w:rPr>
        <w:t xml:space="preserve">, </w:t>
      </w:r>
      <w:r>
        <w:rPr>
          <w:rFonts w:ascii="Century" w:hAnsi="Century" w:cs="Century"/>
          <w:sz w:val="22"/>
          <w:sz w:val="22"/>
          <w:rtl w:val="true"/>
        </w:rPr>
        <w:t>כי הצווים לא ידונו במסגרת העתירה</w:t>
      </w:r>
      <w:r>
        <w:rPr>
          <w:rFonts w:cs="Century" w:ascii="Century" w:hAnsi="Century"/>
          <w:sz w:val="22"/>
          <w:rtl w:val="true"/>
        </w:rPr>
        <w:t xml:space="preserve">. </w:t>
      </w:r>
      <w:r>
        <w:rPr>
          <w:rFonts w:ascii="Century" w:hAnsi="Century" w:cs="Century"/>
          <w:sz w:val="22"/>
          <w:sz w:val="22"/>
          <w:rtl w:val="true"/>
        </w:rPr>
        <w:t>על כן</w:t>
      </w:r>
      <w:r>
        <w:rPr>
          <w:rFonts w:cs="Century" w:ascii="Century" w:hAnsi="Century"/>
          <w:sz w:val="22"/>
          <w:rtl w:val="true"/>
        </w:rPr>
        <w:t xml:space="preserve">, </w:t>
      </w:r>
      <w:r>
        <w:rPr>
          <w:rFonts w:ascii="Century" w:hAnsi="Century" w:cs="Century"/>
          <w:sz w:val="22"/>
          <w:sz w:val="22"/>
          <w:rtl w:val="true"/>
        </w:rPr>
        <w:t>אין קשר בין העתירה המינהלית ובין ההליכים המתנהלים בפני המותב והיא אינה מצדיקה את פסילת המותב באשר היא אינה מקימה חשש ממשי למשוא פנים</w:t>
      </w:r>
      <w:r>
        <w:rPr>
          <w:rFonts w:cs="Century" w:ascii="Century" w:hAnsi="Century"/>
          <w:sz w:val="22"/>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לכל אלה יש להוסיף את השיהוי </w:t>
      </w:r>
      <w:r>
        <w:rPr>
          <w:rtl w:val="true"/>
        </w:rPr>
        <w:t>שדבק בהעלאת טענת הפסלות במקרה דנן עליו עמד בצדק בית המשפט קמא</w:t>
      </w:r>
      <w:r>
        <w:rPr>
          <w:rtl w:val="true"/>
        </w:rPr>
        <w:t>.</w:t>
      </w:r>
      <w:r>
        <w:rPr>
          <w:rtl w:val="true"/>
        </w:rPr>
        <w:t xml:space="preserve"> </w:t>
      </w:r>
      <w:r>
        <w:rPr>
          <w:rtl w:val="true"/>
        </w:rPr>
        <w:t>אכן</w:t>
      </w:r>
      <w:r>
        <w:rPr>
          <w:rtl w:val="true"/>
        </w:rPr>
        <w:t xml:space="preserve">, </w:t>
      </w:r>
      <w:r>
        <w:rPr>
          <w:rtl w:val="true"/>
        </w:rPr>
        <w:t xml:space="preserve">עוד ביום </w:t>
      </w:r>
      <w:r>
        <w:rPr/>
        <w:t>28.2.2019</w:t>
      </w:r>
      <w:r>
        <w:rPr>
          <w:rtl w:val="true"/>
        </w:rPr>
        <w:t xml:space="preserve"> </w:t>
      </w:r>
      <w:r>
        <w:rPr>
          <w:rtl w:val="true"/>
        </w:rPr>
        <w:t>ניתנה החלטת המותב אשר הורתה למערערים להגיב לבקשת היחידה הארצית</w:t>
      </w:r>
      <w:r>
        <w:rPr>
          <w:rtl w:val="true"/>
        </w:rPr>
        <w:t xml:space="preserve">. </w:t>
      </w:r>
      <w:r>
        <w:rPr>
          <w:rtl w:val="true"/>
        </w:rPr>
        <w:t>בהמשך הגישו המערערים בקשת ארכה להגשת תגובתם והחלטה בה ניתנה אף היא על ידי המותב</w:t>
      </w:r>
      <w:r>
        <w:rPr>
          <w:rtl w:val="true"/>
        </w:rPr>
        <w:t xml:space="preserve">. </w:t>
      </w:r>
      <w:r>
        <w:rPr>
          <w:rtl w:val="true"/>
        </w:rPr>
        <w:t>אין חולק כי במועד זה ידע בא</w:t>
      </w:r>
      <w:r>
        <w:rPr>
          <w:rtl w:val="true"/>
        </w:rPr>
        <w:t>-</w:t>
      </w:r>
      <w:r>
        <w:rPr>
          <w:rtl w:val="true"/>
        </w:rPr>
        <w:t>כוח המערערים על הקשר המשפחתי שבין המותב ליושבת ראש הוועדה המחוזית ובנסיבות אלה</w:t>
      </w:r>
      <w:r>
        <w:rPr>
          <w:rtl w:val="true"/>
        </w:rPr>
        <w:t xml:space="preserve">, </w:t>
      </w:r>
      <w:r>
        <w:rPr>
          <w:rtl w:val="true"/>
        </w:rPr>
        <w:t>העלאת טענת הפסלות לראשונה במסגרת הערעור על החלטת המותב</w:t>
      </w:r>
      <w:r>
        <w:rPr>
          <w:rtl w:val="true"/>
        </w:rPr>
        <w:t xml:space="preserve">, </w:t>
      </w:r>
      <w:r>
        <w:rPr>
          <w:rtl w:val="true"/>
        </w:rPr>
        <w:t>לוקה בשיהוי ואף מעלה חשש כי בפנינו ניסיון נואל לנצל לרעה את הליך הפסלות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הערעור</w:t>
      </w:r>
      <w:r>
        <w:rPr>
          <w:rFonts w:eastAsia="Arial TUR;Arial" w:cs="Arial TUR;Arial"/>
          <w:rtl w:val="true"/>
        </w:rPr>
        <w:t xml:space="preserve"> </w:t>
      </w:r>
      <w:r>
        <w:rPr>
          <w:rtl w:val="true"/>
        </w:rPr>
        <w:t>נדחה</w:t>
      </w:r>
      <w:r>
        <w:rPr>
          <w:rtl w:val="true"/>
        </w:rPr>
        <w:t xml:space="preserve">. </w:t>
      </w:r>
    </w:p>
    <w:p>
      <w:pPr>
        <w:pStyle w:val="Ruller4"/>
        <w:ind w:end="0"/>
        <w:jc w:val="both"/>
        <w:rPr/>
      </w:pPr>
      <w:r>
        <w:rPr>
          <w:rtl w:val="true"/>
        </w:rPr>
      </w:r>
    </w:p>
    <w:p>
      <w:pPr>
        <w:pStyle w:val="Ruller4"/>
        <w:ind w:end="0"/>
        <w:jc w:val="both"/>
        <w:rPr/>
      </w:pPr>
      <w:bookmarkStart w:id="15"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כ</w:t>
      </w:r>
      <w:r>
        <w:rPr>
          <w:rtl w:val="true"/>
        </w:rPr>
        <w:t>"</w:t>
      </w:r>
      <w:r>
        <w:rPr>
          <w:rtl w:val="true"/>
        </w:rPr>
        <w:t>ד</w:t>
      </w:r>
      <w:r>
        <w:rPr>
          <w:rFonts w:eastAsia="Arial TUR;Arial" w:cs="Arial TUR;Arial"/>
          <w:rtl w:val="true"/>
        </w:rPr>
        <w:t xml:space="preserve"> </w:t>
      </w:r>
      <w:r>
        <w:rPr>
          <w:rtl w:val="true"/>
        </w:rPr>
        <w:t>באלול</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24.9.2019</w:t>
      </w:r>
      <w:r>
        <w:rPr>
          <w:rtl w:val="true"/>
        </w:rPr>
        <w:t xml:space="preserve">). </w:t>
      </w:r>
      <w:bookmarkEnd w:id="15"/>
      <w:r>
        <w:rPr>
          <w:rtl w:val="true"/>
        </w:rPr>
        <w:tab/>
      </w:r>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ind w:end="0"/>
              <w:jc w:val="both"/>
              <w:rPr>
                <w:color w:val="FFFFFF"/>
                <w:sz w:val="2"/>
                <w:szCs w:val="2"/>
              </w:rPr>
            </w:pPr>
            <w:r>
              <w:rPr>
                <w:color w:val="FFFFFF"/>
                <w:sz w:val="2"/>
                <w:szCs w:val="2"/>
              </w:rPr>
              <w:t>54678313</w:t>
            </w:r>
          </w:p>
        </w:tc>
        <w:tc>
          <w:tcPr>
            <w:tcW w:w="2787" w:type="dxa"/>
            <w:tcBorders/>
          </w:tcPr>
          <w:p>
            <w:pPr>
              <w:pStyle w:val="Ruller4"/>
              <w:snapToGrid w:val="false"/>
              <w:ind w:end="0"/>
              <w:jc w:val="center"/>
              <w:rPr>
                <w:color w:val="FFFFFF"/>
                <w:sz w:val="2"/>
                <w:szCs w:val="2"/>
              </w:rPr>
            </w:pPr>
            <w:r>
              <w:rPr>
                <w:color w:val="FFFFFF"/>
                <w:sz w:val="2"/>
                <w:szCs w:val="2"/>
                <w:rtl w:val="true"/>
              </w:rPr>
            </w:r>
          </w:p>
        </w:tc>
        <w:tc>
          <w:tcPr>
            <w:tcW w:w="2790" w:type="dxa"/>
            <w:tcBorders/>
          </w:tcPr>
          <w:p>
            <w:pPr>
              <w:pStyle w:val="Ruller4"/>
              <w:ind w:end="0"/>
              <w:jc w:val="center"/>
              <w:rPr/>
            </w:pPr>
            <w:r>
              <w:rPr>
                <w:rFonts w:eastAsia="Arial TUR;Arial" w:cs="Arial TUR;Arial"/>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19057870</w:t>
      </w:r>
      <w:r>
        <w:rPr>
          <w:sz w:val="16"/>
          <w:rtl w:val="true"/>
        </w:rPr>
        <w:t>_</w:t>
      </w:r>
      <w:r>
        <w:rPr>
          <w:sz w:val="16"/>
        </w:rPr>
        <w:t>V02.docx</w:t>
      </w:r>
      <w:r>
        <w:rPr>
          <w:sz w:val="16"/>
          <w:rtl w:val="true"/>
        </w:rPr>
        <w:t xml:space="preserve">   </w:t>
      </w:r>
      <w:r>
        <w:rPr>
          <w:sz w:val="16"/>
          <w:sz w:val="16"/>
          <w:rtl w:val="true"/>
        </w:rPr>
        <w:t>גק</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39">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ה א</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חיות </w:t>
      </w:r>
      <w:r>
        <w:rPr>
          <w:rFonts w:cs="David;Times New Roman" w:ascii="David;Times New Roman" w:hAnsi="David;Times New Roman"/>
          <w:color w:val="000000"/>
          <w:szCs w:val="22"/>
        </w:rPr>
        <w:t>54678313-5787/19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0">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1"/>
      <w:footerReference w:type="default" r:id="rId42"/>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5787/19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חמודה עבד אל חכים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יו</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ר הועדה המחוזית לתכנון ולבנייה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7"/>
      <w:numFmt w:val="decimal"/>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4338030" TargetMode="External"/><Relationship Id="rId3" Type="http://schemas.openxmlformats.org/officeDocument/2006/relationships/hyperlink" Target="http://www.nevo.co.il/law/91073" TargetMode="External"/><Relationship Id="rId4" Type="http://schemas.openxmlformats.org/officeDocument/2006/relationships/hyperlink" Target="http://www.nevo.co.il/law/91073/221" TargetMode="External"/><Relationship Id="rId5" Type="http://schemas.openxmlformats.org/officeDocument/2006/relationships/hyperlink" Target="http://www.nevo.co.il/law/91073/238a" TargetMode="External"/><Relationship Id="rId6" Type="http://schemas.openxmlformats.org/officeDocument/2006/relationships/hyperlink" Target="http://www.nevo.co.il/law/91073/jC" TargetMode="External"/><Relationship Id="rId7" Type="http://schemas.openxmlformats.org/officeDocument/2006/relationships/hyperlink" Target="http://www.nevo.co.il/law/74849" TargetMode="External"/><Relationship Id="rId8" Type="http://schemas.openxmlformats.org/officeDocument/2006/relationships/hyperlink" Target="http://www.nevo.co.il/law/74849/77a.a" TargetMode="External"/><Relationship Id="rId9" Type="http://schemas.openxmlformats.org/officeDocument/2006/relationships/hyperlink" Target="http://www.nevo.co.il/law/74849/77a.a1.1" TargetMode="External"/><Relationship Id="rId10" Type="http://schemas.openxmlformats.org/officeDocument/2006/relationships/hyperlink" Target="http://www.nevo.co.il/law/74849/77a.a1.1" TargetMode="External"/><Relationship Id="rId11" Type="http://schemas.openxmlformats.org/officeDocument/2006/relationships/hyperlink" Target="http://www.nevo.co.il/law/74849" TargetMode="External"/><Relationship Id="rId12" Type="http://schemas.openxmlformats.org/officeDocument/2006/relationships/hyperlink" Target="http://www.nevo.co.il/law/74849/77a.a" TargetMode="External"/><Relationship Id="rId13" Type="http://schemas.openxmlformats.org/officeDocument/2006/relationships/hyperlink" Target="http://www.nevo.co.il/law/74849" TargetMode="External"/><Relationship Id="rId14" Type="http://schemas.openxmlformats.org/officeDocument/2006/relationships/hyperlink" Target="http://www.nevo.co.il/law/74849/77a.a1.1" TargetMode="External"/><Relationship Id="rId15" Type="http://schemas.openxmlformats.org/officeDocument/2006/relationships/hyperlink" Target="http://www.nevo.co.il/law/74849" TargetMode="External"/><Relationship Id="rId16" Type="http://schemas.openxmlformats.org/officeDocument/2006/relationships/hyperlink" Target="http://www.nevo.co.il/law/74849/77a.a1.1" TargetMode="External"/><Relationship Id="rId17" Type="http://schemas.openxmlformats.org/officeDocument/2006/relationships/hyperlink" Target="http://www.nevo.co.il/case/24338030" TargetMode="External"/><Relationship Id="rId18" Type="http://schemas.openxmlformats.org/officeDocument/2006/relationships/hyperlink" Target="http://www.nevo.co.il/law/91073/238a" TargetMode="External"/><Relationship Id="rId19" Type="http://schemas.openxmlformats.org/officeDocument/2006/relationships/hyperlink" Target="http://www.nevo.co.il/law/91073" TargetMode="External"/><Relationship Id="rId20" Type="http://schemas.openxmlformats.org/officeDocument/2006/relationships/hyperlink" Target="http://www.nevo.co.il/law/91073/jC" TargetMode="External"/><Relationship Id="rId21" Type="http://schemas.openxmlformats.org/officeDocument/2006/relationships/hyperlink" Target="http://www.nevo.co.il/law/91073" TargetMode="External"/><Relationship Id="rId22" Type="http://schemas.openxmlformats.org/officeDocument/2006/relationships/hyperlink" Target="http://www.nevo.co.il/law/91073/221" TargetMode="External"/><Relationship Id="rId23" Type="http://schemas.openxmlformats.org/officeDocument/2006/relationships/hyperlink" Target="http://www.nevo.co.il/case/21278264" TargetMode="External"/><Relationship Id="rId24" Type="http://schemas.openxmlformats.org/officeDocument/2006/relationships/hyperlink" Target="http://www.nevo.co.il/case/20869099" TargetMode="External"/><Relationship Id="rId25" Type="http://schemas.openxmlformats.org/officeDocument/2006/relationships/hyperlink" Target="http://www.nevo.co.il/case/21287068" TargetMode="External"/><Relationship Id="rId26" Type="http://schemas.openxmlformats.org/officeDocument/2006/relationships/hyperlink" Target="http://www.nevo.co.il/case/24338030" TargetMode="External"/><Relationship Id="rId27" Type="http://schemas.openxmlformats.org/officeDocument/2006/relationships/hyperlink" Target="http://www.nevo.co.il/case/24338018" TargetMode="External"/><Relationship Id="rId28" Type="http://schemas.openxmlformats.org/officeDocument/2006/relationships/hyperlink" Target="http://www.nevo.co.il/case/24338028" TargetMode="External"/><Relationship Id="rId29" Type="http://schemas.openxmlformats.org/officeDocument/2006/relationships/hyperlink" Target="http://www.nevo.co.il/case/25390147" TargetMode="External"/><Relationship Id="rId30" Type="http://schemas.openxmlformats.org/officeDocument/2006/relationships/hyperlink" Target="http://www.nevo.co.il/law/74849/77a.a1.1" TargetMode="External"/><Relationship Id="rId31" Type="http://schemas.openxmlformats.org/officeDocument/2006/relationships/hyperlink" Target="http://www.nevo.co.il/law/74849" TargetMode="External"/><Relationship Id="rId32" Type="http://schemas.openxmlformats.org/officeDocument/2006/relationships/hyperlink" Target="http://www.nevo.co.il/law/74849/77a.a1.1" TargetMode="External"/><Relationship Id="rId33" Type="http://schemas.openxmlformats.org/officeDocument/2006/relationships/hyperlink" Target="http://www.nevo.co.il/law/74849/77a.a" TargetMode="External"/><Relationship Id="rId34" Type="http://schemas.openxmlformats.org/officeDocument/2006/relationships/hyperlink" Target="http://www.nevo.co.il/law/74849" TargetMode="External"/><Relationship Id="rId35" Type="http://schemas.openxmlformats.org/officeDocument/2006/relationships/hyperlink" Target="http://www.nevo.co.il/case/25845382" TargetMode="External"/><Relationship Id="rId36" Type="http://schemas.openxmlformats.org/officeDocument/2006/relationships/hyperlink" Target="http://www.nevo.co.il/law/74849/77a.a1.1" TargetMode="External"/><Relationship Id="rId37" Type="http://schemas.openxmlformats.org/officeDocument/2006/relationships/hyperlink" Target="http://www.nevo.co.il/law/74849" TargetMode="External"/><Relationship Id="rId38" Type="http://schemas.openxmlformats.org/officeDocument/2006/relationships/hyperlink" Target="http://www.nevo.co.il/law/74849/77a.a1.1" TargetMode="External"/><Relationship Id="rId39" Type="http://schemas.openxmlformats.org/officeDocument/2006/relationships/hyperlink" Target="http://supreme.court.gov.il/" TargetMode="External"/><Relationship Id="rId40" Type="http://schemas.openxmlformats.org/officeDocument/2006/relationships/hyperlink" Target="http://www.nevo.co.il/advertisements/nevo-100.doc"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2019-09-25T07:50:00Z</dcterms:created>
  <dc:creator>h4</dc:creator>
  <dc:description/>
  <cp:keywords/>
  <dc:language>en-IL</dc:language>
  <cp:lastModifiedBy>orly</cp:lastModifiedBy>
  <cp:lastPrinted>2019-09-24T16:03:00Z</cp:lastPrinted>
  <dcterms:modified xsi:type="dcterms:W3CDTF">2019-09-25T09:57:00Z</dcterms:modified>
  <cp:revision>5</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חמודה עבד אל חכים;מוחמד עודי;מוחמד ואויה</vt:lpwstr>
  </property>
  <property fmtid="{D5CDD505-2E9C-101B-9397-08002B2CF9AE}" pid="3" name="APPELLANT1">
    <vt:lpwstr/>
  </property>
  <property fmtid="{D5CDD505-2E9C-101B-9397-08002B2CF9AE}" pid="4" name="APPELLANT2">
    <vt:lpwstr/>
  </property>
  <property fmtid="{D5CDD505-2E9C-101B-9397-08002B2CF9AE}" pid="5" name="APPELLEE">
    <vt:lpwstr>יו#ר הועדה המחוזית לתכנון ולבנייה;אלי ברנד</vt:lpwstr>
  </property>
  <property fmtid="{D5CDD505-2E9C-101B-9397-08002B2CF9AE}" pid="6" name="APPELLEE1">
    <vt:lpwstr/>
  </property>
  <property fmtid="{D5CDD505-2E9C-101B-9397-08002B2CF9AE}" pid="7" name="APPELLEE2">
    <vt:lpwstr/>
  </property>
  <property fmtid="{D5CDD505-2E9C-101B-9397-08002B2CF9AE}" pid="8" name="CASESLISTTMP1">
    <vt:lpwstr>24338030:3;21278264;20869099;21287068;24338018;24338028;25390147;25845382</vt:lpwstr>
  </property>
  <property fmtid="{D5CDD505-2E9C-101B-9397-08002B2CF9AE}" pid="9" name="CITY">
    <vt:lpwstr/>
  </property>
  <property fmtid="{D5CDD505-2E9C-101B-9397-08002B2CF9AE}" pid="10" name="DATE">
    <vt:lpwstr>20190924</vt:lpwstr>
  </property>
  <property fmtid="{D5CDD505-2E9C-101B-9397-08002B2CF9AE}" pid="11" name="DELEMATA">
    <vt:lpwstr/>
  </property>
  <property fmtid="{D5CDD505-2E9C-101B-9397-08002B2CF9AE}" pid="12" name="ISABSTRACT">
    <vt:lpwstr>Y</vt:lpwstr>
  </property>
  <property fmtid="{D5CDD505-2E9C-101B-9397-08002B2CF9AE}" pid="13" name="JUDGE">
    <vt:lpwstr>א' חיות</vt:lpwstr>
  </property>
  <property fmtid="{D5CDD505-2E9C-101B-9397-08002B2CF9AE}" pid="14" name="LAWLISTTMP1">
    <vt:lpwstr>91073/238a;jC;221</vt:lpwstr>
  </property>
  <property fmtid="{D5CDD505-2E9C-101B-9397-08002B2CF9AE}" pid="15" name="LAWLISTTMP2">
    <vt:lpwstr>74849/077a.a1.1:4;077a.a</vt:lpwstr>
  </property>
  <property fmtid="{D5CDD505-2E9C-101B-9397-08002B2CF9AE}" pid="16" name="LAWYER">
    <vt:lpwstr>עלא תלאווי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בתי-משפט</vt:lpwstr>
  </property>
  <property fmtid="{D5CDD505-2E9C-101B-9397-08002B2CF9AE}" pid="28" name="NOSE110">
    <vt:lpwstr/>
  </property>
  <property fmtid="{D5CDD505-2E9C-101B-9397-08002B2CF9AE}" pid="29" name="NOSE12">
    <vt:lpwstr>בתי-משפט</vt:lpwstr>
  </property>
  <property fmtid="{D5CDD505-2E9C-101B-9397-08002B2CF9AE}" pid="30" name="NOSE13">
    <vt:lpwstr>בתי-משפט</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14;14;14</vt:lpwstr>
  </property>
  <property fmtid="{D5CDD505-2E9C-101B-9397-08002B2CF9AE}" pid="38" name="NOSE21">
    <vt:lpwstr>פסלות שופט</vt:lpwstr>
  </property>
  <property fmtid="{D5CDD505-2E9C-101B-9397-08002B2CF9AE}" pid="39" name="NOSE210">
    <vt:lpwstr/>
  </property>
  <property fmtid="{D5CDD505-2E9C-101B-9397-08002B2CF9AE}" pid="40" name="NOSE22">
    <vt:lpwstr>פסלות שופט</vt:lpwstr>
  </property>
  <property fmtid="{D5CDD505-2E9C-101B-9397-08002B2CF9AE}" pid="41" name="NOSE23">
    <vt:lpwstr>שופטים</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336;336;341</vt:lpwstr>
  </property>
  <property fmtid="{D5CDD505-2E9C-101B-9397-08002B2CF9AE}" pid="49" name="NOSE31">
    <vt:lpwstr>חשש ממשי למשוא פנים</vt:lpwstr>
  </property>
  <property fmtid="{D5CDD505-2E9C-101B-9397-08002B2CF9AE}" pid="50" name="NOSE310">
    <vt:lpwstr/>
  </property>
  <property fmtid="{D5CDD505-2E9C-101B-9397-08002B2CF9AE}" pid="51" name="NOSE32">
    <vt:lpwstr>עילות הפסלות</vt:lpwstr>
  </property>
  <property fmtid="{D5CDD505-2E9C-101B-9397-08002B2CF9AE}" pid="52" name="NOSE33">
    <vt:lpwstr>פסילה</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17095;17180;2803</vt:lpwstr>
  </property>
  <property fmtid="{D5CDD505-2E9C-101B-9397-08002B2CF9AE}" pid="60" name="PADIDATE">
    <vt:lpwstr>20190925</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5787</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410120190924</vt:lpwstr>
  </property>
  <property fmtid="{D5CDD505-2E9C-101B-9397-08002B2CF9AE}" pid="70" name="TYPE_N_DATE">
    <vt:lpwstr>41020190924</vt:lpwstr>
  </property>
  <property fmtid="{D5CDD505-2E9C-101B-9397-08002B2CF9AE}" pid="71" name="VOLUME">
    <vt:lpwstr/>
  </property>
  <property fmtid="{D5CDD505-2E9C-101B-9397-08002B2CF9AE}" pid="72" name="WORDNUMPAGES">
    <vt:lpwstr>7</vt:lpwstr>
  </property>
</Properties>
</file>