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5787/20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דאוד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35602-06-20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12.7.2020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באלול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31.8.2020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ראפת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רוסי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אבגז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1961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15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החלטתו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לדחות את בקשת המערער להארכת מועד להגשת ערעור על גז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 היא מפורטת ומנומקת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ומעוגנת היטב בכללים שנקבעו בפסיקה באשר לבקשה להארכת מועד להגשת ערעור בהליך 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גם ככל שאכן נפלה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כנטען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בכך שהושתו עליו עונשי פסילה המונעים את הסמכתו כקצין בטיחות בדרכים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ספק כי האשם לכך מונח לפתחו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היה גם מיוצג לכל אורך ההליכים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הארכת מועד – להגשת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בה נדחתה בקשת המערער מיום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15.6.2020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להארכת מועד להגשת ערעור על גז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שלום מיום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7.1.2020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רקע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לפי הודאתו בעבירות נהיגה במהירות בלתי סבירה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נהיגה ללא ביטוח ונהיגה בהיותו בלתי מורשה לנהוג בסוג הרכב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לתעבורה ביטל את הרשעתו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תוך שהוא משית עליו עונשים של פסילה בפועל מנהיגה לתקופה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יום ברכב מנועי 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גלגלי ופסילה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ביצוע עבודות של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 וקנס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לנוכח קיומן של נסיבות אישיות קשות בעניינו של המערער ובמיוחד הפגיעה הקשה שתיגרם לו עקב הרשעתו בעבירות בהן הוא מואשם אשר תמנע את קבלתו ללימודים לתפקיד של קצין בטיחות בדרכים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19.2.2020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הגיש המערער לבימ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השלום לתעבורה בקשה לביטול עונשי הפסילה בפועל 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שהושתו עליו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מן הטעם שעונשים אלו מונעים ממנו לקבל תעודת הסמכה כקצין בטיחות בדרכים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הבקשה נדחתה תוך שנקבע כי עסקינן בפסק דין חלוט עליו יש להשיג בדרך הקבועה בחוק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ערעור על החלטה זו נדחה ביום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7.5.2020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שנקבע בין היתר כי תקיפת עונשי הפסילה אפשרית רק על ידי הגשת 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רק ביום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15.6.2020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הגיש המערער לביהמ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בקשה להארכת מועד להגשת 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השופט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מזוז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החלטתו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היא מפורטת ומנומקת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ומעוגנת היטב בכללים שנקבעו בפסיקה באשר לבקשה להארכת מועד להגשת ערעור בהליך 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הארכת מועד בהליך פלילי תינתן מקום שבעל הדין שאיחר בהגשת הערעור הצביע על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טעם ממשי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המניח את הדעת לאיחור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להביא בחשבון מספר שיקולים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המרכזיים שבהם הם הסיבה לאיחור וסיכויי הערעור לגופו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יילקחו בחשבון שיקולים נוספים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וביניהם משך האיחור בהגשת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האינטרס הציבורי בהכרעה בהליך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וחשיבות הזכויות העלולות להיפגע מאי מתן הארכה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אלה נבחנו כולם בהחלטתו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ונקבע בצדק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אלו מובילים למסקנה כי אין מקום לאשר את הבקשה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ראוי להזכיר כי מלכתחילה נקט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לתעבורה בגישה מקלה עם המערער כאשר נמנע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באופן חריג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מלהרשיעו בדין למרות העבירות החמורות שביצע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גם ככל שאכן נפלה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כנטען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בכך שהושתו עליו עונשי פסילה המונעים את הסמכתו כקצין בטיחות בדרכים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ספק כי האשם לכך מונח לפתחו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היה גם מיוצג לכל אורך ההליכים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bookmarkStart w:id="16" w:name="Start_Write"/>
      <w:bookmarkEnd w:id="16"/>
      <w:r>
        <w:rPr>
          <w:rFonts w:ascii="Century" w:hAnsi="Century" w:cs="Century"/>
          <w:sz w:val="22"/>
          <w:sz w:val="22"/>
          <w:rtl w:val="true"/>
        </w:rPr>
        <w:t xml:space="preserve">ערעור על החלטתו של בית המשפט המחוזי בחיפה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דאוד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12.7.2020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35602-06-20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בה נדחתה בקשת המערער להארכת מועד להגשת ערעור על גזר דינו של בית משפט השלום לתעבורה בחיפה ב</w:t>
      </w:r>
      <w:hyperlink r:id="rId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10220-09-17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7.1.2020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19.3.2019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 המערער לפי הודאתו בעבירות נהיגה במהירות בלתי סבירה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נהיגה ללא ביטוח ונהיגה בהיותו בלתי מורשה לנהוג בסוג הרכב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לאחר שביום </w:t>
      </w:r>
      <w:r>
        <w:rPr>
          <w:rFonts w:cs="Century" w:ascii="Century" w:hAnsi="Century"/>
          <w:sz w:val="22"/>
        </w:rPr>
        <w:t>23.6.2017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נתפס בעודו נוהג באופנוע במהירות מפורזת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ללא רישיון וללא ביטוח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7.1.2020</w:t>
      </w:r>
      <w:r>
        <w:rPr>
          <w:rtl w:val="true"/>
        </w:rPr>
        <w:t xml:space="preserve"> </w:t>
      </w:r>
      <w:r>
        <w:rPr>
          <w:rtl w:val="true"/>
        </w:rPr>
        <w:t>נגזר דינו של המערער</w:t>
      </w:r>
      <w:r>
        <w:rPr>
          <w:rtl w:val="true"/>
        </w:rPr>
        <w:t xml:space="preserve">. </w:t>
      </w:r>
      <w:r>
        <w:rPr>
          <w:rtl w:val="true"/>
        </w:rPr>
        <w:t>בית משפט השלום לתעבורה אימץ את המלצת שירות המבחן וביטל את הרשעתו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משית עליו עונשים של פסילה בפועל לתקופה של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 מנהיגה ברכב מנועי דו</w:t>
      </w:r>
      <w:r>
        <w:rPr>
          <w:rtl w:val="true"/>
        </w:rPr>
        <w:t>-</w:t>
      </w:r>
      <w:r>
        <w:rPr>
          <w:rtl w:val="true"/>
        </w:rPr>
        <w:t>גלגלי ופסילה על</w:t>
      </w:r>
      <w:r>
        <w:rPr>
          <w:rtl w:val="true"/>
        </w:rPr>
        <w:t>-</w:t>
      </w:r>
      <w:r>
        <w:rPr>
          <w:rtl w:val="true"/>
        </w:rPr>
        <w:t xml:space="preserve">תנאי מלקבל ולהחזיק רישיון נהיגה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חודשים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וכן ביצוע עבודות שירות לתועלת הציבור בהיקף של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 xml:space="preserve">שעות וקנס בסך </w:t>
      </w:r>
      <w:r>
        <w:rPr/>
        <w:t>1,500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קיומן של נסיבות אישיות קשות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בפן הכלכלי והמשפחתי</w:t>
      </w:r>
      <w:r>
        <w:rPr>
          <w:rtl w:val="true"/>
        </w:rPr>
        <w:t xml:space="preserve">; </w:t>
      </w:r>
      <w:r>
        <w:rPr>
          <w:rtl w:val="true"/>
        </w:rPr>
        <w:t>הודאת המערער בעובדות כתב האישום ונטילת אחריות מלאה</w:t>
      </w:r>
      <w:r>
        <w:rPr>
          <w:rtl w:val="true"/>
        </w:rPr>
        <w:t xml:space="preserve">; </w:t>
      </w:r>
      <w:r>
        <w:rPr>
          <w:rtl w:val="true"/>
        </w:rPr>
        <w:t>מידת מסוכנותו הקלה</w:t>
      </w:r>
      <w:r>
        <w:rPr>
          <w:rtl w:val="true"/>
        </w:rPr>
        <w:t xml:space="preserve">; </w:t>
      </w:r>
      <w:r>
        <w:rPr>
          <w:rtl w:val="true"/>
        </w:rPr>
        <w:t>היות המערער אדם נורמטיבי</w:t>
      </w:r>
      <w:r>
        <w:rPr>
          <w:rtl w:val="true"/>
        </w:rPr>
        <w:t xml:space="preserve">; </w:t>
      </w:r>
      <w:r>
        <w:rPr>
          <w:rtl w:val="true"/>
        </w:rPr>
        <w:t>המלצת שירות המבחן</w:t>
      </w:r>
      <w:r>
        <w:rPr>
          <w:rtl w:val="true"/>
        </w:rPr>
        <w:t xml:space="preserve">; </w:t>
      </w:r>
      <w:r>
        <w:rPr>
          <w:rtl w:val="true"/>
        </w:rPr>
        <w:t>ובמיוחד הפגיעה הקשה שתיגרם לו עקב הרשעתו בעבירות בהן הוא מואשם אשר תמנע את קבלתו ללימודים לתפקיד של קצין בטיחות בדרכים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19.2.2020</w:t>
      </w:r>
      <w:r>
        <w:rPr>
          <w:rtl w:val="true"/>
        </w:rPr>
        <w:t xml:space="preserve"> </w:t>
      </w:r>
      <w:r>
        <w:rPr>
          <w:rtl w:val="true"/>
        </w:rPr>
        <w:t>הגיש המערער לבית משפט השלום לתעבורה בקשה לביטול עונשי הפסילה בפועל ועל</w:t>
      </w:r>
      <w:r>
        <w:rPr>
          <w:rtl w:val="true"/>
        </w:rPr>
        <w:t>-</w:t>
      </w:r>
      <w:r>
        <w:rPr>
          <w:rtl w:val="true"/>
        </w:rPr>
        <w:t>תנאי שהושתו עליו</w:t>
      </w:r>
      <w:r>
        <w:rPr>
          <w:rtl w:val="true"/>
        </w:rPr>
        <w:t xml:space="preserve">, </w:t>
      </w:r>
      <w:r>
        <w:rPr>
          <w:rtl w:val="true"/>
        </w:rPr>
        <w:t xml:space="preserve">מן הטעם שבהתאם לאמור </w:t>
      </w:r>
      <w:hyperlink r:id="rId7">
        <w:r>
          <w:rPr>
            <w:rStyle w:val="Hyperlink"/>
            <w:rtl w:val="true"/>
          </w:rPr>
          <w:t>בתקנה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עונשים אלו מונעים ממנו לקבל תעודת הסמכה כקצין בטיחות בדרכים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26.2.2020</w:t>
      </w:r>
      <w:r>
        <w:rPr>
          <w:rtl w:val="true"/>
        </w:rPr>
        <w:t xml:space="preserve"> </w:t>
      </w:r>
      <w:r>
        <w:rPr>
          <w:rtl w:val="true"/>
        </w:rPr>
        <w:t>דחה בית משפט את בקשת המערער</w:t>
      </w:r>
      <w:r>
        <w:rPr>
          <w:rtl w:val="true"/>
        </w:rPr>
        <w:t xml:space="preserve">, </w:t>
      </w:r>
      <w:r>
        <w:rPr>
          <w:rtl w:val="true"/>
        </w:rPr>
        <w:t>בקבעו כי עסקינן בפסק דין חלוט עליו יש להשיג בדרך הקבועה בחוק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גם בשלב זה לא הגיש המערער בקשה להארכת מועד להגשת ערעור על 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אלא הגיש ביום </w:t>
      </w:r>
      <w:r>
        <w:rPr/>
        <w:t>19.3.2020</w:t>
      </w:r>
      <w:r>
        <w:rPr>
          <w:rtl w:val="true"/>
        </w:rPr>
        <w:t xml:space="preserve"> </w:t>
      </w:r>
      <w:r>
        <w:rPr>
          <w:rtl w:val="true"/>
        </w:rPr>
        <w:t xml:space="preserve">ערעור על החלטתו האמורה של בית משפט לתעבורה מיום </w:t>
      </w:r>
      <w:r>
        <w:rPr/>
        <w:t>26.2.2020</w:t>
      </w:r>
      <w:r>
        <w:rPr>
          <w:rtl w:val="true"/>
        </w:rPr>
        <w:t xml:space="preserve"> </w:t>
      </w:r>
      <w:r>
        <w:rPr>
          <w:rtl w:val="true"/>
        </w:rPr>
        <w:t>לדחות את בקשתו לביטול עונשי הפסילה בפועל ועל</w:t>
      </w:r>
      <w:r>
        <w:rPr>
          <w:rtl w:val="true"/>
        </w:rPr>
        <w:t>-</w:t>
      </w:r>
      <w:r>
        <w:rPr>
          <w:rtl w:val="true"/>
        </w:rPr>
        <w:t>תנאי שהושתו עליו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7.5.2020</w:t>
      </w:r>
      <w:r>
        <w:rPr>
          <w:rtl w:val="true"/>
        </w:rPr>
        <w:t xml:space="preserve"> </w:t>
      </w:r>
      <w:r>
        <w:rPr>
          <w:rtl w:val="true"/>
        </w:rPr>
        <w:t>דחה בית המשפט המחוזי את הערעור</w:t>
      </w:r>
      <w:r>
        <w:rPr>
          <w:rtl w:val="true"/>
        </w:rPr>
        <w:t xml:space="preserve">, </w:t>
      </w:r>
      <w:r>
        <w:rPr>
          <w:rtl w:val="true"/>
        </w:rPr>
        <w:t>תוך שנקבע בין היתר כי תקיפת עונשי הפסילה שהושתו עליו בגזר הדין אפשרית רק על ידי הגשת ערעור על גזר הדין</w:t>
      </w:r>
      <w:r>
        <w:rPr>
          <w:rtl w:val="true"/>
        </w:rPr>
        <w:t xml:space="preserve">, </w:t>
      </w:r>
      <w:r>
        <w:rPr>
          <w:rtl w:val="true"/>
        </w:rPr>
        <w:t>ומשהמערער נמנע מלעשות כן אין לו להלין אלא על 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15.6.2020</w:t>
      </w:r>
      <w:r>
        <w:rPr>
          <w:rtl w:val="true"/>
        </w:rPr>
        <w:t xml:space="preserve"> </w:t>
      </w:r>
      <w:r>
        <w:rPr>
          <w:rtl w:val="true"/>
        </w:rPr>
        <w:t xml:space="preserve">הגיש המערער לבית המשפט המחוזי בקשה להארכת מועד להגשת ערעור על גזר דינו של בית משפט השלום לתעבורה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35602-06-20</w:t>
        </w:r>
      </w:hyperlink>
      <w:r>
        <w:rPr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בבקשה נטען כי הערעור לא הוגש במועדו בשל טעותו של עורך דינו הקודם של המערער</w:t>
      </w:r>
      <w:r>
        <w:rPr>
          <w:rtl w:val="true"/>
        </w:rPr>
        <w:t xml:space="preserve">, </w:t>
      </w:r>
      <w:r>
        <w:rPr>
          <w:rtl w:val="true"/>
        </w:rPr>
        <w:t>וכי העובדה שהטלת עונשי הפסילה חוסמת את אפשרותו לקבל תעודת הסמכה כקצין בטיחות בדרכים</w:t>
      </w:r>
      <w:r>
        <w:rPr>
          <w:rtl w:val="true"/>
        </w:rPr>
        <w:t xml:space="preserve">, </w:t>
      </w:r>
      <w:r>
        <w:rPr>
          <w:rtl w:val="true"/>
        </w:rPr>
        <w:t>נודעה למערער רק לאחר מתן גזר הדין</w:t>
      </w:r>
      <w:r>
        <w:rPr>
          <w:rtl w:val="true"/>
        </w:rPr>
        <w:t xml:space="preserve">. </w:t>
      </w:r>
      <w:r>
        <w:rPr>
          <w:rtl w:val="true"/>
        </w:rPr>
        <w:t>נוכח נימוקים אלו סבר המערער כי בנסיבות מקרה דנן עיקרון סופיות הדיון נסוג לטובת מימוש זכות הגישה לערכאות ומתוך שיקולי צדק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 xml:space="preserve">בהחלטתו מיום </w:t>
      </w:r>
      <w:r>
        <w:rPr/>
        <w:t>12.7.2020</w:t>
      </w:r>
      <w:r>
        <w:rPr>
          <w:rtl w:val="true"/>
        </w:rPr>
        <w:t xml:space="preserve">, </w:t>
      </w:r>
      <w:r>
        <w:rPr>
          <w:rtl w:val="true"/>
        </w:rPr>
        <w:t>מושא הערעור שלפניי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בקשת המערער</w:t>
      </w:r>
      <w:r>
        <w:rPr>
          <w:rtl w:val="true"/>
        </w:rPr>
        <w:t xml:space="preserve">, </w:t>
      </w:r>
      <w:r>
        <w:rPr>
          <w:rtl w:val="true"/>
        </w:rPr>
        <w:t>לאחר שבחן את מכלול השיקולים הרלבנטיים להגשת בקשה כאמור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ציין כי בהתאם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בדונו בבקשה להארכת מועד להגשת ערעור </w:t>
      </w:r>
      <w:r>
        <w:rPr>
          <w:rFonts w:ascii="Arial" w:hAnsi="Arial" w:cs="Arial"/>
          <w:rtl w:val="true"/>
        </w:rPr>
        <w:t xml:space="preserve">על בית המשפט לבחון את </w:t>
      </w:r>
      <w:r>
        <w:rPr>
          <w:rFonts w:ascii="Arial" w:hAnsi="Arial" w:cs="Arial"/>
          <w:rtl w:val="true"/>
        </w:rPr>
        <w:t xml:space="preserve"> הנימוקים לאיחור בהגשת הערעור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פרק הזמן שחלף מאז המועד האחרון להגשת הערעור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השאלה האם המערער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>מיוצג באמצעות עורך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הסיכויים הלכאוריים לכך שהערעור יתקבל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את</w:t>
      </w:r>
      <w:r>
        <w:rPr>
          <w:rFonts w:ascii="Arial" w:hAnsi="Arial" w:cs="Arial"/>
          <w:rtl w:val="true"/>
        </w:rPr>
        <w:t xml:space="preserve"> האינטרס הציבורי בהכרעה בהליך וחשיבות הזכויות העלולות להיפגע אם לא תינתן ארכה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נקבע כי בענייננו הבקשה הוגשה באיחור משמעותי של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המחייב נימוקים כבדי משקל לשם היענות לה</w:t>
      </w:r>
      <w:r>
        <w:rPr>
          <w:rtl w:val="true"/>
        </w:rPr>
        <w:t xml:space="preserve">, </w:t>
      </w:r>
      <w:r>
        <w:rPr>
          <w:rtl w:val="true"/>
        </w:rPr>
        <w:t>וכי המערער היה מיוצג על ידי עורך דין לכל אורך ההליך בבית המשפט לתעבורה</w:t>
      </w:r>
      <w:r>
        <w:rPr>
          <w:rtl w:val="true"/>
        </w:rPr>
        <w:t xml:space="preserve">, </w:t>
      </w:r>
      <w:r>
        <w:rPr>
          <w:rtl w:val="true"/>
        </w:rPr>
        <w:t>וממילא אין הוא יכול להיבנות מטענה בדבר טעות של בא</w:t>
      </w:r>
      <w:r>
        <w:rPr>
          <w:rtl w:val="true"/>
        </w:rPr>
        <w:t>-</w:t>
      </w:r>
      <w:r>
        <w:rPr>
          <w:rtl w:val="true"/>
        </w:rPr>
        <w:t>כוחו הקודם</w:t>
      </w:r>
      <w:r>
        <w:rPr>
          <w:rtl w:val="true"/>
        </w:rPr>
        <w:t xml:space="preserve">, </w:t>
      </w:r>
      <w:r>
        <w:rPr>
          <w:rtl w:val="true"/>
        </w:rPr>
        <w:t>שעה שהמצב אליו נקלע ושאותו מנסה הוא לשנות נוצר כתוצאה ממחדליו שלו עצמו</w:t>
      </w:r>
      <w:r>
        <w:rPr>
          <w:rtl w:val="true"/>
        </w:rPr>
        <w:t xml:space="preserve">. </w:t>
      </w:r>
      <w:r>
        <w:rPr>
          <w:rtl w:val="true"/>
        </w:rPr>
        <w:t>כן צוין כי בשים לב לחשיבות שמייחס המערער להסמכתו כקצין בטיחות</w:t>
      </w:r>
      <w:r>
        <w:rPr>
          <w:rtl w:val="true"/>
        </w:rPr>
        <w:t xml:space="preserve">, </w:t>
      </w:r>
      <w:r>
        <w:rPr>
          <w:rtl w:val="true"/>
        </w:rPr>
        <w:t>היה זה מאחריותו לבחון לעומק את התנאים והדרישות הקבועים ב</w:t>
      </w:r>
      <w:hyperlink r:id="rId1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אשר מצויים בדבר חקיקה מפורש וניתנים לגילוי בנקל</w:t>
      </w:r>
      <w:r>
        <w:rPr>
          <w:rtl w:val="true"/>
        </w:rPr>
        <w:t xml:space="preserve">, </w:t>
      </w:r>
      <w:r>
        <w:rPr>
          <w:rtl w:val="true"/>
        </w:rPr>
        <w:t>ולהעמידם באופן שלם ומדויק בפני בית המשפט במסגרת טיעוניו לעונש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tl w:val="true"/>
        </w:rPr>
        <w:t>סיכויי הערעור נקבע כי אף לו היה הערעור מוגש במועדו לא היה מקום להתערב בגזר הדין</w:t>
      </w:r>
      <w:r>
        <w:rPr>
          <w:rtl w:val="true"/>
        </w:rPr>
        <w:t xml:space="preserve">, </w:t>
      </w:r>
      <w:r>
        <w:rPr>
          <w:rtl w:val="true"/>
        </w:rPr>
        <w:t>בשים לב להלכה לפיה ערכאת הערעור תתערב בחומרת העונש רק במקרים חריגים של טעות מהותית בגזר הדין או כאשר קיימת סטייה קיצונית ממדיניות הענישה הנוהגת והראויה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שעה שבית משפט השלום לתעבורה שקל את מכלול השיקולים הרלבנטיים ואף נתן משקל משמעותי לשיקולים העומדים לזכות המערער ולנסיבותיו האישיות</w:t>
      </w:r>
      <w:r>
        <w:rPr>
          <w:rtl w:val="true"/>
        </w:rPr>
        <w:t xml:space="preserve">, </w:t>
      </w:r>
      <w:r>
        <w:rPr>
          <w:rtl w:val="true"/>
        </w:rPr>
        <w:t>תוך הליכת כברת דרך לקראת המערער והתחשבות מפורשת ברצונו ללמוד לימודי קצין בטיחות</w:t>
      </w:r>
      <w:r>
        <w:rPr>
          <w:rtl w:val="true"/>
        </w:rPr>
        <w:t xml:space="preserve">, </w:t>
      </w:r>
      <w:r>
        <w:rPr>
          <w:rtl w:val="true"/>
        </w:rPr>
        <w:t>אשר הובילה להימנעות מהרשעתו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שלפניי</w:t>
      </w:r>
      <w:r>
        <w:rPr>
          <w:rtl w:val="true"/>
        </w:rPr>
        <w:t xml:space="preserve">, </w:t>
      </w:r>
      <w:r>
        <w:rPr>
          <w:rtl w:val="true"/>
        </w:rPr>
        <w:t>בו נטען כי סיכויי הערעור גבוהים ביותר</w:t>
      </w:r>
      <w:r>
        <w:rPr>
          <w:rtl w:val="true"/>
        </w:rPr>
        <w:t xml:space="preserve">, </w:t>
      </w:r>
      <w:r>
        <w:rPr>
          <w:rtl w:val="true"/>
        </w:rPr>
        <w:t>שכן לו הייתה ניתנת למערער הזדמנות להעלות מלכתחילה את טענותיו להימנעות מפסילה כאמור</w:t>
      </w:r>
      <w:r>
        <w:rPr>
          <w:rtl w:val="true"/>
        </w:rPr>
        <w:t xml:space="preserve">, </w:t>
      </w:r>
      <w:r>
        <w:rPr>
          <w:rtl w:val="true"/>
        </w:rPr>
        <w:t>היו הן מתקבלות לנוכח גישתו של בית משפט השלום לתעבורה</w:t>
      </w:r>
      <w:r>
        <w:rPr>
          <w:rtl w:val="true"/>
        </w:rPr>
        <w:t xml:space="preserve">, </w:t>
      </w:r>
      <w:r>
        <w:rPr>
          <w:rtl w:val="true"/>
        </w:rPr>
        <w:t>אשר נמנע באופן חריג מהרשעת המערער על מנת לאפשר את לימודיו</w:t>
      </w:r>
      <w:r>
        <w:rPr>
          <w:rtl w:val="true"/>
        </w:rPr>
        <w:t xml:space="preserve">. </w:t>
      </w:r>
      <w:r>
        <w:rPr>
          <w:rtl w:val="true"/>
        </w:rPr>
        <w:t>עוד נטען כי חלפה אך תקופה קצרה בלבד מהמועד האחרון להגשת ערעור</w:t>
      </w:r>
      <w:r>
        <w:rPr>
          <w:rtl w:val="true"/>
        </w:rPr>
        <w:t xml:space="preserve">, </w:t>
      </w:r>
      <w:r>
        <w:rPr>
          <w:rtl w:val="true"/>
        </w:rPr>
        <w:t>וכי לא היה מקום להטיל את האחריות לאיחור לפתחו של המערער</w:t>
      </w:r>
      <w:r>
        <w:rPr>
          <w:rtl w:val="true"/>
        </w:rPr>
        <w:t xml:space="preserve">, </w:t>
      </w:r>
      <w:r>
        <w:rPr>
          <w:rtl w:val="true"/>
        </w:rPr>
        <w:t>בשים לב לכך שהן בית המשפט לתעבורה והן המערער עצמו לא היו מודעים לכך כי השתת עונשי הפסילה תסכל את קבלת המערער ללימודיו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בתגובתה לערעור סומכת המדינה את ידיה על החלטתו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דחה באופן מפורט ומנומק את כלל טענותיו של המערער</w:t>
      </w:r>
      <w:r>
        <w:rPr>
          <w:rtl w:val="true"/>
        </w:rPr>
        <w:t xml:space="preserve">, </w:t>
      </w:r>
      <w:r>
        <w:rPr>
          <w:rtl w:val="true"/>
        </w:rPr>
        <w:t>לרבות קביעה כי לא היה מקום להתערב בגזר הדין גם לו היה הערעור מוגש במועד</w:t>
      </w:r>
      <w:r>
        <w:rPr>
          <w:rtl w:val="true"/>
        </w:rPr>
        <w:t xml:space="preserve">, </w:t>
      </w:r>
      <w:r>
        <w:rPr>
          <w:rtl w:val="true"/>
        </w:rPr>
        <w:t>ומשכך אין מקום להחזיר את התיק לבית המשפט המחוזי לשם דיון בטענות אלו בפעם השלישית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לפני חזרו באי כוח הצדדים על עיקרי טענותיהם בהודעת הערעור ובתגובה לערעור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לא מצאתי כל עילה המצדיקה התערבות בהחלטתו של בית המשפט קמא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כי בחינת הבקשה להארכת מועד בהתאם לאמות המידה החלות על בקשות כאלה מובילה למסקנה כי אין מקום לאשר את הבקשה</w:t>
      </w:r>
      <w:r>
        <w:rPr>
          <w:rtl w:val="true"/>
        </w:rPr>
        <w:t xml:space="preserve">. </w:t>
      </w:r>
      <w:r>
        <w:rPr>
          <w:rtl w:val="true"/>
        </w:rPr>
        <w:t>החלטתו של בית המשפט היא מפורטת ומנומקת</w:t>
      </w:r>
      <w:r>
        <w:rPr>
          <w:rtl w:val="true"/>
        </w:rPr>
        <w:t xml:space="preserve">, </w:t>
      </w:r>
      <w:r>
        <w:rPr>
          <w:rtl w:val="true"/>
        </w:rPr>
        <w:t>ומעוגנת היטב בכללים שנקבעו בפסיקה באשר לבקשה להארכת מועד להגשת ערעור בהליך פלילי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הארכת מועד בהליך פלילי תינתן מקום שבעל הדין שאיחר בהגשת הערעור הצביע על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טעם ממשי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המניח את הדעת לאיחור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במסגרת 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 להביא בחשבון מספר שיקולים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כאשר המרכזיים שבהם הם </w:t>
      </w:r>
      <w:r>
        <w:rPr>
          <w:rFonts w:ascii="Century" w:hAnsi="Century" w:cs="Century"/>
          <w:sz w:val="22"/>
          <w:sz w:val="22"/>
          <w:rtl w:val="true"/>
        </w:rPr>
        <w:t>הסיבה לאיחור וסיכויי הערעור לגופו</w:t>
      </w:r>
      <w:r>
        <w:rPr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8197/13</w:t>
        </w:r>
      </w:hyperlink>
      <w:r>
        <w:rPr>
          <w:rFonts w:cs="Miriam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אמסלם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8.1.2014</w:t>
      </w:r>
      <w:r>
        <w:rPr>
          <w:sz w:val="28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660/16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2016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כן יילקחו בחשבון שיקולים נוספים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וביניהם משך האיחור בהגשת הערעור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האינטרס הציבורי בהכרעה בהליך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וחשיבות הזכויות העלולות להיפגע מאי מתן הארכה</w:t>
      </w:r>
      <w:r>
        <w:rPr>
          <w:rtl w:val="true"/>
        </w:rPr>
        <w:t xml:space="preserve">. </w:t>
      </w:r>
      <w:r>
        <w:rPr>
          <w:rtl w:val="true"/>
        </w:rPr>
        <w:t>שיקולים אלה נבחנו כולם בהחלטתו של בית המשפט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מלהרשיעו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 הערעור 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31.8.2020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20057870</w:t>
      </w:r>
      <w:r>
        <w:rPr>
          <w:sz w:val="16"/>
          <w:rtl w:val="true"/>
        </w:rPr>
        <w:t>_</w:t>
      </w:r>
      <w:r>
        <w:rPr>
          <w:sz w:val="16"/>
        </w:rPr>
        <w:t>B02.docx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54678313-5787/20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803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5787/20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אמיר מזרחי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758237" TargetMode="External"/><Relationship Id="rId3" Type="http://schemas.openxmlformats.org/officeDocument/2006/relationships/hyperlink" Target="http://www.nevo.co.il/law/74274" TargetMode="External"/><Relationship Id="rId4" Type="http://schemas.openxmlformats.org/officeDocument/2006/relationships/hyperlink" Target="http://www.nevo.co.il/law/74274/15b" TargetMode="External"/><Relationship Id="rId5" Type="http://schemas.openxmlformats.org/officeDocument/2006/relationships/hyperlink" Target="http://www.nevo.co.il/case/26758237" TargetMode="External"/><Relationship Id="rId6" Type="http://schemas.openxmlformats.org/officeDocument/2006/relationships/hyperlink" Target="http://www.nevo.co.il/case/22990725" TargetMode="External"/><Relationship Id="rId7" Type="http://schemas.openxmlformats.org/officeDocument/2006/relationships/hyperlink" Target="http://www.nevo.co.il/law/74274/15b" TargetMode="External"/><Relationship Id="rId8" Type="http://schemas.openxmlformats.org/officeDocument/2006/relationships/hyperlink" Target="http://www.nevo.co.il/law/74274" TargetMode="External"/><Relationship Id="rId9" Type="http://schemas.openxmlformats.org/officeDocument/2006/relationships/hyperlink" Target="http://www.nevo.co.il/case/26758237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case/10502197" TargetMode="External"/><Relationship Id="rId12" Type="http://schemas.openxmlformats.org/officeDocument/2006/relationships/hyperlink" Target="http://www.nevo.co.il/case/20920012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2020-09-01T10:33:00Z</dcterms:created>
  <dc:creator>h4</dc:creator>
  <dc:description/>
  <cp:keywords/>
  <dc:language>en-IL</dc:language>
  <cp:lastModifiedBy>orly</cp:lastModifiedBy>
  <cp:lastPrinted>2020-08-31T13:51:00Z</cp:lastPrinted>
  <dcterms:modified xsi:type="dcterms:W3CDTF">2020-09-01T10:33:00Z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אמיר מזרחי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26758237:3;22990725;10502197;20920012</vt:lpwstr>
  </property>
  <property fmtid="{D5CDD505-2E9C-101B-9397-08002B2CF9AE}" pid="9" name="CITY">
    <vt:lpwstr/>
  </property>
  <property fmtid="{D5CDD505-2E9C-101B-9397-08002B2CF9AE}" pid="10" name="DATE">
    <vt:lpwstr>20200831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</vt:lpwstr>
  </property>
  <property fmtid="{D5CDD505-2E9C-101B-9397-08002B2CF9AE}" pid="14" name="LAWLISTTMP1">
    <vt:lpwstr>74274/015b</vt:lpwstr>
  </property>
  <property fmtid="{D5CDD505-2E9C-101B-9397-08002B2CF9AE}" pid="15" name="LAWYER">
    <vt:lpwstr>בת שבע אבגז;ראפת אסדי;דרור רוסי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</vt:lpwstr>
  </property>
  <property fmtid="{D5CDD505-2E9C-101B-9397-08002B2CF9AE}" pid="37" name="NOSE21">
    <vt:lpwstr>הארכת מועד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454</vt:lpwstr>
  </property>
  <property fmtid="{D5CDD505-2E9C-101B-9397-08002B2CF9AE}" pid="48" name="NOSE31">
    <vt:lpwstr>להגשת ערעור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3590</vt:lpwstr>
  </property>
  <property fmtid="{D5CDD505-2E9C-101B-9397-08002B2CF9AE}" pid="59" name="PADIDATE">
    <vt:lpwstr>20200901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5787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410120200831</vt:lpwstr>
  </property>
  <property fmtid="{D5CDD505-2E9C-101B-9397-08002B2CF9AE}" pid="69" name="TYPE_N_DATE">
    <vt:lpwstr>41020200831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