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5795/16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שלו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34621-12-14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21.6.2016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01.01.2018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בלפור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יגאל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377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ניזוקה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וחטיפה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תואמת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שהותוותה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האינטרס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בהרתעתם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הנזקים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הנגרמים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ולנפשם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המבוצעות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המתאפיינות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תמימותו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וחולשתו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לסיפוק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יצריו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כקורבן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ילדה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להיכנס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שהסתיימה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מבודד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מגונים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מבוהלת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מפוחדת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וחסרת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מבודד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עדיפים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העבריין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פירושו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ניזוקה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התגבשה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והצלקות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והעמוקות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שהותיר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לפנינו ערעור על גזר דינו של בית המשפט המחוזי בבאר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שבע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34621-12-14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מיום </w:t>
      </w:r>
      <w:r>
        <w:rPr>
          <w:rFonts w:cs="Century" w:ascii="Century" w:hAnsi="Century"/>
        </w:rPr>
        <w:t>21.6.2016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במסגרתו הושת על המערער עונש מאסר בפועל לתקופה של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על תנאי ופיצוי כספי בסך של </w:t>
      </w:r>
      <w:r>
        <w:rPr>
          <w:rFonts w:cs="Century" w:ascii="Century" w:hAnsi="Century"/>
        </w:rPr>
        <w:t>40,000</w:t>
      </w:r>
      <w:r>
        <w:rPr>
          <w:rFonts w:cs="Century" w:ascii="Century" w:hAnsi="Century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נסוב תחילה גם על הכרעת דינו המרשיעה והמנומקת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לאחר ששמע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המערער את הערותינו והתייעץ עם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חזר בו זה מהערעור על הכרעת הדין ומיקד את טענותיו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על פי המתואר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2.12.2014</w:t>
      </w:r>
      <w:r>
        <w:rPr>
          <w:rtl w:val="true"/>
        </w:rPr>
        <w:t xml:space="preserve">, </w:t>
      </w:r>
      <w:r>
        <w:rPr>
          <w:rtl w:val="true"/>
        </w:rPr>
        <w:t>נסע המערער</w:t>
      </w:r>
      <w:r>
        <w:rPr>
          <w:rtl w:val="true"/>
        </w:rPr>
        <w:t xml:space="preserve">, </w:t>
      </w:r>
      <w:r>
        <w:rPr>
          <w:rtl w:val="true"/>
        </w:rPr>
        <w:t>שהינו נהג מונית</w:t>
      </w:r>
      <w:r>
        <w:rPr>
          <w:rtl w:val="true"/>
        </w:rPr>
        <w:t xml:space="preserve">, </w:t>
      </w:r>
      <w:r>
        <w:rPr>
          <w:rtl w:val="true"/>
        </w:rPr>
        <w:t>בתוך העיר אשדוד</w:t>
      </w:r>
      <w:r>
        <w:rPr>
          <w:rtl w:val="true"/>
        </w:rPr>
        <w:t xml:space="preserve">. </w:t>
      </w:r>
      <w:r>
        <w:rPr>
          <w:rtl w:val="true"/>
        </w:rPr>
        <w:t xml:space="preserve">בשלב מסוים הבחין בקטינה ילידת </w:t>
      </w:r>
      <w:r>
        <w:rPr/>
        <w:t>2007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הקטינה</w:t>
      </w:r>
      <w:r>
        <w:rPr>
          <w:rtl w:val="true"/>
        </w:rPr>
        <w:t xml:space="preserve">), </w:t>
      </w:r>
      <w:r>
        <w:rPr>
          <w:rtl w:val="true"/>
        </w:rPr>
        <w:t>בעודה ממתינה להסעה</w:t>
      </w:r>
      <w:r>
        <w:rPr>
          <w:rtl w:val="true"/>
        </w:rPr>
        <w:t xml:space="preserve">, </w:t>
      </w:r>
      <w:r>
        <w:rPr>
          <w:rtl w:val="true"/>
        </w:rPr>
        <w:t>סמוך לבית ספרה</w:t>
      </w:r>
      <w:r>
        <w:rPr>
          <w:rtl w:val="true"/>
        </w:rPr>
        <w:t xml:space="preserve">. </w:t>
      </w:r>
      <w:r>
        <w:rPr>
          <w:rtl w:val="true"/>
        </w:rPr>
        <w:t>המערער שכנע את הקטינה להיכנס למונית</w:t>
      </w:r>
      <w:r>
        <w:rPr>
          <w:rtl w:val="true"/>
        </w:rPr>
        <w:t xml:space="preserve">, </w:t>
      </w:r>
      <w:r>
        <w:rPr>
          <w:rtl w:val="true"/>
        </w:rPr>
        <w:t>בכוונה לחטוף אותה ולבצע בה עבירות מין</w:t>
      </w:r>
      <w:r>
        <w:rPr>
          <w:rtl w:val="true"/>
        </w:rPr>
        <w:t xml:space="preserve">. </w:t>
      </w:r>
      <w:r>
        <w:rPr>
          <w:rtl w:val="true"/>
        </w:rPr>
        <w:t>הוא החל בנסיעה לכיוון היציאה מהעיר אשדוד ונסע עד לשביל הכניסה ליער צרעה</w:t>
      </w:r>
      <w:r>
        <w:rPr>
          <w:rtl w:val="true"/>
        </w:rPr>
        <w:t xml:space="preserve">, </w:t>
      </w:r>
      <w:r>
        <w:rPr>
          <w:rtl w:val="true"/>
        </w:rPr>
        <w:t>שם עצר את המונית</w:t>
      </w:r>
      <w:r>
        <w:rPr>
          <w:rtl w:val="true"/>
        </w:rPr>
        <w:t xml:space="preserve">. </w:t>
      </w:r>
      <w:r>
        <w:rPr>
          <w:rtl w:val="true"/>
        </w:rPr>
        <w:t>לאחר עצירת המונית</w:t>
      </w:r>
      <w:r>
        <w:rPr>
          <w:rtl w:val="true"/>
        </w:rPr>
        <w:t xml:space="preserve">, </w:t>
      </w:r>
      <w:r>
        <w:rPr>
          <w:rtl w:val="true"/>
        </w:rPr>
        <w:t xml:space="preserve">ביצע המערער מעשה מגונה בקטינה </w:t>
      </w:r>
      <w:r>
        <w:rPr>
          <w:rtl w:val="true"/>
        </w:rPr>
        <w:t>–</w:t>
      </w:r>
      <w:r>
        <w:rPr>
          <w:rtl w:val="true"/>
        </w:rPr>
        <w:t xml:space="preserve"> הוא נישק אותה על פיה ונגע באיבר מינה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יצאה הקטינה מן המונית</w:t>
      </w:r>
      <w:r>
        <w:rPr>
          <w:rtl w:val="true"/>
        </w:rPr>
        <w:t xml:space="preserve">, </w:t>
      </w:r>
      <w:r>
        <w:rPr>
          <w:rtl w:val="true"/>
        </w:rPr>
        <w:t>והמערער נסע מן המקום כשהוא משאיר אותה בתוך היער</w:t>
      </w:r>
      <w:r>
        <w:rPr>
          <w:rtl w:val="true"/>
        </w:rPr>
        <w:t xml:space="preserve">. </w:t>
      </w:r>
      <w:r>
        <w:rPr>
          <w:rtl w:val="true"/>
        </w:rPr>
        <w:t>הקטינה החלה לרוץ לכיוון הכביש הראשי שליד היער</w:t>
      </w:r>
      <w:r>
        <w:rPr>
          <w:rtl w:val="true"/>
        </w:rPr>
        <w:t xml:space="preserve">, </w:t>
      </w:r>
      <w:r>
        <w:rPr>
          <w:rtl w:val="true"/>
        </w:rPr>
        <w:t>כשהיא מבוהלת ובוכה</w:t>
      </w:r>
      <w:r>
        <w:rPr>
          <w:rtl w:val="true"/>
        </w:rPr>
        <w:t xml:space="preserve">, </w:t>
      </w:r>
      <w:r>
        <w:rPr>
          <w:rtl w:val="true"/>
        </w:rPr>
        <w:t>שם נחלצה לעזרתה עוברת אורח</w:t>
      </w:r>
      <w:r>
        <w:rPr>
          <w:rtl w:val="true"/>
        </w:rPr>
        <w:t xml:space="preserve">, </w:t>
      </w:r>
      <w:r>
        <w:rPr>
          <w:rtl w:val="true"/>
        </w:rPr>
        <w:t>אספה אותה ברכבה</w:t>
      </w:r>
      <w:r>
        <w:rPr>
          <w:rtl w:val="true"/>
        </w:rPr>
        <w:t xml:space="preserve">, </w:t>
      </w:r>
      <w:r>
        <w:rPr>
          <w:rtl w:val="true"/>
        </w:rPr>
        <w:t>התקשרה לסבתה והזעיקה את המשטרה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21.3.2016</w:t>
      </w:r>
      <w:r>
        <w:rPr>
          <w:rtl w:val="true"/>
        </w:rPr>
        <w:t xml:space="preserve"> </w:t>
      </w:r>
      <w:r>
        <w:rPr>
          <w:rtl w:val="true"/>
        </w:rPr>
        <w:t xml:space="preserve">הורשע המערער בבית המשפט המחוזי בעבירת מעשה מגונה בקטינה שטרם מלאו לה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 שלא בהסכמתה החופשית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וכן בעבירת חטיפה לשם ביצוע עבירת מין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374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בצירוף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377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21.6.2016</w:t>
      </w:r>
      <w:r>
        <w:rPr>
          <w:rtl w:val="true"/>
        </w:rPr>
        <w:t xml:space="preserve"> </w:t>
      </w:r>
      <w:r>
        <w:rPr>
          <w:rtl w:val="true"/>
        </w:rPr>
        <w:t>נגזר דינו כמפורט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בגזר דינו ציין בית המשפט המחוזי כי הגם שלא התקבל תסקיר נפגע עבירה על אודות הקטינה</w:t>
      </w:r>
      <w:r>
        <w:rPr>
          <w:rtl w:val="true"/>
        </w:rPr>
        <w:t xml:space="preserve">, </w:t>
      </w:r>
      <w:r>
        <w:rPr>
          <w:rtl w:val="true"/>
        </w:rPr>
        <w:t>אמה וסבתה העידו על כך שמאז האירוע הקטינה סובלת מקשיי שינה</w:t>
      </w:r>
      <w:r>
        <w:rPr>
          <w:rtl w:val="true"/>
        </w:rPr>
        <w:t xml:space="preserve">, </w:t>
      </w:r>
      <w:r>
        <w:rPr>
          <w:rtl w:val="true"/>
        </w:rPr>
        <w:t>מחרדות וביעותי לילה</w:t>
      </w:r>
      <w:r>
        <w:rPr>
          <w:rtl w:val="true"/>
        </w:rPr>
        <w:t xml:space="preserve">, </w:t>
      </w:r>
      <w:r>
        <w:rPr>
          <w:rtl w:val="true"/>
        </w:rPr>
        <w:t>וחוששת ללכת לישון לבד או להישאר לבדה</w:t>
      </w:r>
      <w:r>
        <w:rPr>
          <w:rtl w:val="true"/>
        </w:rPr>
        <w:t xml:space="preserve">, </w:t>
      </w:r>
      <w:r>
        <w:rPr>
          <w:rtl w:val="true"/>
        </w:rPr>
        <w:t>שמא מישהו יפרוץ לחדרה ויחטוף אותה</w:t>
      </w:r>
      <w:r>
        <w:rPr>
          <w:rtl w:val="true"/>
        </w:rPr>
        <w:t xml:space="preserve">, </w:t>
      </w:r>
      <w:r>
        <w:rPr>
          <w:rtl w:val="true"/>
        </w:rPr>
        <w:t>וזאת בשונה מהתנהגותה השמחה והפעילה לפני האירוע</w:t>
      </w:r>
      <w:r>
        <w:rPr>
          <w:rtl w:val="true"/>
        </w:rPr>
        <w:t xml:space="preserve">. </w:t>
      </w:r>
      <w:r>
        <w:rPr>
          <w:rtl w:val="true"/>
        </w:rPr>
        <w:t>לאור מידת הפגיעה של מעשי המערער בערכים המוגנים ולאור רמת הענישה העולה מהפסיקה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לעבירות שביצע המערער נע בין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 הכוללת גם פיצוי ממשי לקטינה</w:t>
      </w:r>
      <w:r>
        <w:rPr>
          <w:rtl w:val="true"/>
        </w:rPr>
        <w:t xml:space="preserve">. </w:t>
      </w:r>
      <w:r>
        <w:rPr>
          <w:rtl w:val="true"/>
        </w:rPr>
        <w:t>בעת גזירת דינו של המערער בתוך מתחם העונש ההולם</w:t>
      </w:r>
      <w:r>
        <w:rPr>
          <w:rtl w:val="true"/>
        </w:rPr>
        <w:t xml:space="preserve">, </w:t>
      </w:r>
      <w:r>
        <w:rPr>
          <w:rtl w:val="true"/>
        </w:rPr>
        <w:t>הובאו בחשבון לקולא עברו הנקי ודברי אמו</w:t>
      </w:r>
      <w:r>
        <w:rPr>
          <w:rtl w:val="true"/>
        </w:rPr>
        <w:t xml:space="preserve">, </w:t>
      </w:r>
      <w:r>
        <w:rPr>
          <w:rtl w:val="true"/>
        </w:rPr>
        <w:t>שיש בהם כדי לשקף את פגיעתו של העונש בבני משפחתו</w:t>
      </w:r>
      <w:r>
        <w:rPr>
          <w:rtl w:val="true"/>
        </w:rPr>
        <w:t xml:space="preserve">, </w:t>
      </w:r>
      <w:r>
        <w:rPr>
          <w:rtl w:val="true"/>
        </w:rPr>
        <w:t xml:space="preserve">ובמידה מסוימת </w:t>
      </w:r>
      <w:r>
        <w:rPr>
          <w:rtl w:val="true"/>
        </w:rPr>
        <w:t>(</w:t>
      </w:r>
      <w:r>
        <w:rPr>
          <w:rtl w:val="true"/>
        </w:rPr>
        <w:t>שכן הדברים לא הוכחו דיים</w:t>
      </w:r>
      <w:r>
        <w:rPr>
          <w:rtl w:val="true"/>
        </w:rPr>
        <w:t xml:space="preserve">) </w:t>
      </w:r>
      <w:r>
        <w:rPr>
          <w:rtl w:val="true"/>
        </w:rPr>
        <w:t>גם הטענות בדבר קשייו במסגרת שב</w:t>
      </w:r>
      <w:r>
        <w:rPr>
          <w:rtl w:val="true"/>
        </w:rPr>
        <w:t>"</w:t>
      </w:r>
      <w:r>
        <w:rPr>
          <w:rtl w:val="true"/>
        </w:rPr>
        <w:t>ס בשל מצבו הרפואי ובשל התנכלותם של אסירים אחרים אליו</w:t>
      </w:r>
      <w:r>
        <w:rPr>
          <w:rtl w:val="true"/>
        </w:rPr>
        <w:t xml:space="preserve">. </w:t>
      </w:r>
      <w:r>
        <w:rPr>
          <w:rtl w:val="true"/>
        </w:rPr>
        <w:t>עוד צוין כי גם אם אין לזקוף לחובת המערער את כפירתו בעובדות</w:t>
      </w:r>
      <w:r>
        <w:rPr>
          <w:rtl w:val="true"/>
        </w:rPr>
        <w:t xml:space="preserve">, </w:t>
      </w:r>
      <w:r>
        <w:rPr>
          <w:rtl w:val="true"/>
        </w:rPr>
        <w:t>הרי שגם לא ניתן לזקוף לזכותו את הנסיבות הנגזרות ממתן הודאה ללא שמיעת ראיות</w:t>
      </w:r>
      <w:r>
        <w:rPr>
          <w:rtl w:val="true"/>
        </w:rPr>
        <w:t xml:space="preserve">, </w:t>
      </w:r>
      <w:r>
        <w:rPr>
          <w:rtl w:val="true"/>
        </w:rPr>
        <w:t xml:space="preserve">היינו </w:t>
      </w:r>
      <w:r>
        <w:rPr>
          <w:rtl w:val="true"/>
        </w:rPr>
        <w:t>–</w:t>
      </w:r>
      <w:r>
        <w:rPr>
          <w:rtl w:val="true"/>
        </w:rPr>
        <w:t xml:space="preserve"> נטילת אחריות</w:t>
      </w:r>
      <w:r>
        <w:rPr>
          <w:rtl w:val="true"/>
        </w:rPr>
        <w:t xml:space="preserve">, </w:t>
      </w:r>
      <w:r>
        <w:rPr>
          <w:rtl w:val="true"/>
        </w:rPr>
        <w:t>שיתוף פעולה עם רשויות החוק</w:t>
      </w:r>
      <w:r>
        <w:rPr>
          <w:rtl w:val="true"/>
        </w:rPr>
        <w:t xml:space="preserve">, </w:t>
      </w:r>
      <w:r>
        <w:rPr>
          <w:rtl w:val="true"/>
        </w:rPr>
        <w:t>חסכון בזמן שיפוטי או בצורך בהעדת נפגעת העבירה וכיוצ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נקבע כי התנהלותו של המערער במהלך המשפט ובמהלך הטיעונים לעונש העידה על היותו מרוכז בעצמו ובמחירים שהוא משלם</w:t>
      </w:r>
      <w:r>
        <w:rPr>
          <w:rtl w:val="true"/>
        </w:rPr>
        <w:t xml:space="preserve">, </w:t>
      </w:r>
      <w:r>
        <w:rPr>
          <w:rtl w:val="true"/>
        </w:rPr>
        <w:t>כמו גם על נטייתו לראות עצמו כקרבן</w:t>
      </w:r>
      <w:r>
        <w:rPr>
          <w:rtl w:val="true"/>
        </w:rPr>
        <w:t xml:space="preserve">, </w:t>
      </w:r>
      <w:r>
        <w:rPr>
          <w:rtl w:val="true"/>
        </w:rPr>
        <w:t>על התעלמותו מסבלו של האחר ועל העדר אמפתיה לקטינה</w:t>
      </w:r>
      <w:r>
        <w:rPr>
          <w:rtl w:val="true"/>
        </w:rPr>
        <w:t xml:space="preserve">. </w:t>
      </w:r>
      <w:r>
        <w:rPr>
          <w:rtl w:val="true"/>
        </w:rPr>
        <w:t>נקבע כי כל אלו מצביעים על קיומו של סיכון רב להישנות עבירות</w:t>
      </w:r>
      <w:r>
        <w:rPr>
          <w:rtl w:val="true"/>
        </w:rPr>
        <w:t xml:space="preserve">. </w:t>
      </w:r>
      <w:r>
        <w:rPr>
          <w:rtl w:val="true"/>
        </w:rPr>
        <w:t>עוד צוין כי לא נעשה כל ניסיון לשלב את המערער בהליך טיפולי וכי יש להביא בחשבון גם את הצורך בהרתעת היחיד ובהרתעת הרבים</w:t>
      </w:r>
      <w:r>
        <w:rPr>
          <w:rtl w:val="true"/>
        </w:rPr>
        <w:t xml:space="preserve">, </w:t>
      </w:r>
      <w:r>
        <w:rPr>
          <w:rtl w:val="true"/>
        </w:rPr>
        <w:t>מפני ביצוע עבירות דומות</w:t>
      </w:r>
      <w:r>
        <w:rPr>
          <w:rtl w:val="true"/>
        </w:rPr>
        <w:t xml:space="preserve">. </w:t>
      </w:r>
      <w:r>
        <w:rPr>
          <w:rtl w:val="true"/>
        </w:rPr>
        <w:t>על כן נגזר דינו לעונש המצוי בסמוך מעל אמצע המתחם כאמור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נימוקי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ותשובת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גזר הדין ציין בית המשפט המחוזי כי המערער הורשע בכך שמישש בידו את איבר מינה של הקטינה</w:t>
      </w:r>
      <w:r>
        <w:rPr>
          <w:rtl w:val="true"/>
        </w:rPr>
        <w:t>, "</w:t>
      </w:r>
      <w:r>
        <w:rPr>
          <w:rtl w:val="true"/>
        </w:rPr>
        <w:t>מעל או מתחת לתחתוניה</w:t>
      </w:r>
      <w:r>
        <w:rPr>
          <w:rtl w:val="true"/>
        </w:rPr>
        <w:t xml:space="preserve">", </w:t>
      </w:r>
      <w:r>
        <w:rPr>
          <w:rtl w:val="true"/>
        </w:rPr>
        <w:t>ועל כן בבואו לגזור את דינו של המערער</w:t>
      </w:r>
      <w:r>
        <w:rPr>
          <w:rtl w:val="true"/>
        </w:rPr>
        <w:t xml:space="preserve">, </w:t>
      </w:r>
      <w:r>
        <w:rPr>
          <w:rtl w:val="true"/>
        </w:rPr>
        <w:t>בית המשפט נדרש להניח את ההנחה המקלה עמו מבחינה עובדתית</w:t>
      </w:r>
      <w:r>
        <w:rPr>
          <w:rtl w:val="true"/>
        </w:rPr>
        <w:t xml:space="preserve">, </w:t>
      </w:r>
      <w:r>
        <w:rPr>
          <w:rtl w:val="true"/>
        </w:rPr>
        <w:t>שמישש את הקטינה מעל לתחתוניה</w:t>
      </w:r>
      <w:r>
        <w:rPr>
          <w:rtl w:val="true"/>
        </w:rPr>
        <w:t xml:space="preserve">, </w:t>
      </w:r>
      <w:r>
        <w:rPr>
          <w:rtl w:val="true"/>
        </w:rPr>
        <w:t>ולתת לכך ביטוי במסגרת כלל השיקולים בגזירת העונש</w:t>
      </w:r>
      <w:r>
        <w:rPr>
          <w:rtl w:val="true"/>
        </w:rPr>
        <w:t xml:space="preserve">. </w:t>
      </w:r>
      <w:r>
        <w:rPr>
          <w:rtl w:val="true"/>
        </w:rPr>
        <w:t>אלא שלטענת המערער לא כך נהג בית המשפט</w:t>
      </w:r>
      <w:r>
        <w:rPr>
          <w:rtl w:val="true"/>
        </w:rPr>
        <w:t xml:space="preserve">, </w:t>
      </w:r>
      <w:r>
        <w:rPr>
          <w:rtl w:val="true"/>
        </w:rPr>
        <w:t>אשר נמנע מלקבוע כי את דינו של המערער הוא גוזר בהתאם להנחה העובדתית המקלה</w:t>
      </w:r>
      <w:r>
        <w:rPr>
          <w:rtl w:val="true"/>
        </w:rPr>
        <w:t xml:space="preserve">, </w:t>
      </w:r>
      <w:r>
        <w:rPr>
          <w:rtl w:val="true"/>
        </w:rPr>
        <w:t>ואף ציין מפורשות כי איננו סבור שהמעשים המיניים שביצע המערער מצויים ברף התחתון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לצד זאת נטען כי בית המשפט המחוזי לא נתן משקל מספק לכך שלא הוגש תסקיר נפגע עבירה בעניין הקטינה</w:t>
      </w:r>
      <w:r>
        <w:rPr>
          <w:rtl w:val="true"/>
        </w:rPr>
        <w:t xml:space="preserve">, </w:t>
      </w:r>
      <w:r>
        <w:rPr>
          <w:rtl w:val="true"/>
        </w:rPr>
        <w:t>כך שלא ניתן לדעת אלו נזקים נגרמו לה כתוצאה מביצוע העבירות ועל כן מתחם הענישה שנקבע הינו מתחם המניח פגיעה קשה בהרבה מזו שהוכחה בפועל</w:t>
      </w:r>
      <w:r>
        <w:rPr>
          <w:rtl w:val="true"/>
        </w:rPr>
        <w:t xml:space="preserve">. </w:t>
      </w:r>
      <w:r>
        <w:rPr>
          <w:rtl w:val="true"/>
        </w:rPr>
        <w:t>המערער נסמך לעניין זה על פסיקות בית משפט זה במקרים חמורים יותר</w:t>
      </w:r>
      <w:r>
        <w:rPr>
          <w:rtl w:val="true"/>
        </w:rPr>
        <w:t xml:space="preserve">, </w:t>
      </w:r>
      <w:r>
        <w:rPr>
          <w:rtl w:val="true"/>
        </w:rPr>
        <w:t>בהם נגזרו עונשים זהים לעונש שנגזר על המערער</w:t>
      </w:r>
      <w:r>
        <w:rPr>
          <w:rtl w:val="true"/>
        </w:rPr>
        <w:t xml:space="preserve">, </w:t>
      </w:r>
      <w:r>
        <w:rPr>
          <w:rtl w:val="true"/>
        </w:rPr>
        <w:t>או נמוכים ממנו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באשר לשיקולים שאינם נוגעים לביצוע העבירה נטען כי ראוי היה ליתן משקל גבוה יותר לכך שהמערער נעדר עבר פלילי</w:t>
      </w:r>
      <w:r>
        <w:rPr>
          <w:rtl w:val="true"/>
        </w:rPr>
        <w:t xml:space="preserve">. </w:t>
      </w:r>
      <w:r>
        <w:rPr>
          <w:rtl w:val="true"/>
        </w:rPr>
        <w:t>לשיקול זה משקל ממשי כאשר מדובר בעבירות מין</w:t>
      </w:r>
      <w:r>
        <w:rPr>
          <w:rtl w:val="true"/>
        </w:rPr>
        <w:t xml:space="preserve">, </w:t>
      </w:r>
      <w:r>
        <w:rPr>
          <w:rtl w:val="true"/>
        </w:rPr>
        <w:t>ובמיוחד כאשר מדובר בעבירות מין בקטינים</w:t>
      </w:r>
      <w:r>
        <w:rPr>
          <w:rtl w:val="true"/>
        </w:rPr>
        <w:t xml:space="preserve">. </w:t>
      </w:r>
      <w:r>
        <w:rPr>
          <w:rtl w:val="true"/>
        </w:rPr>
        <w:t>קיים גם טעם לפגם בקביעת בית המשפט לפיה התנהלותו של המערער במהלך המשפט מעידה על קיומו של סיכון רב להישנות עבירות</w:t>
      </w:r>
      <w:r>
        <w:rPr>
          <w:rtl w:val="true"/>
        </w:rPr>
        <w:t xml:space="preserve">. </w:t>
      </w:r>
      <w:r>
        <w:rPr>
          <w:rtl w:val="true"/>
        </w:rPr>
        <w:t>קביעה זו אינה עולה בקנה אחד עם היעדר עברו הפלילי</w:t>
      </w:r>
      <w:r>
        <w:rPr>
          <w:rtl w:val="true"/>
        </w:rPr>
        <w:t xml:space="preserve">, </w:t>
      </w:r>
      <w:r>
        <w:rPr>
          <w:rtl w:val="true"/>
        </w:rPr>
        <w:t>מה גם שהערכת מסוכנותו של אדם הינה תחום המופקד בידי מומחים מקצועיים</w:t>
      </w:r>
      <w:r>
        <w:rPr>
          <w:rtl w:val="true"/>
        </w:rPr>
        <w:t xml:space="preserve">, </w:t>
      </w:r>
      <w:r>
        <w:rPr>
          <w:rtl w:val="true"/>
        </w:rPr>
        <w:t>המסתמכים בעבודתם על בדיקות ואבחונים</w:t>
      </w:r>
      <w:r>
        <w:rPr>
          <w:rtl w:val="true"/>
        </w:rPr>
        <w:t xml:space="preserve">. </w:t>
      </w:r>
      <w:r>
        <w:rPr>
          <w:rtl w:val="true"/>
        </w:rPr>
        <w:t>עוד נטען כי יש ליתן משקל לנסיבותיו האישיות</w:t>
      </w:r>
      <w:r>
        <w:rPr>
          <w:rtl w:val="true"/>
        </w:rPr>
        <w:t xml:space="preserve">, </w:t>
      </w:r>
      <w:r>
        <w:rPr>
          <w:rtl w:val="true"/>
        </w:rPr>
        <w:t>ובפרט לעדות אמו בפני בית המשפט המחוזי</w:t>
      </w:r>
      <w:r>
        <w:rPr>
          <w:rtl w:val="true"/>
        </w:rPr>
        <w:t xml:space="preserve">, </w:t>
      </w:r>
      <w:r>
        <w:rPr>
          <w:rtl w:val="true"/>
        </w:rPr>
        <w:t>בה התייחסה למצבה הנפשי הקשה מאז מעצרו</w:t>
      </w:r>
      <w:r>
        <w:rPr>
          <w:rtl w:val="true"/>
        </w:rPr>
        <w:t xml:space="preserve">, </w:t>
      </w:r>
      <w:r>
        <w:rPr>
          <w:rtl w:val="true"/>
        </w:rPr>
        <w:t>למחלת הסרטן ממנה היא סובלת ולעזרה הרבה שהעניק לה המערער לאורך השנים</w:t>
      </w:r>
      <w:r>
        <w:rPr>
          <w:rtl w:val="true"/>
        </w:rPr>
        <w:t xml:space="preserve">. </w:t>
      </w:r>
      <w:r>
        <w:rPr>
          <w:rtl w:val="true"/>
        </w:rPr>
        <w:t xml:space="preserve">עוד יש להתחשב במצבו הרפואי של המערער עצמו </w:t>
      </w:r>
      <w:r>
        <w:rPr>
          <w:rtl w:val="true"/>
        </w:rPr>
        <w:t>–</w:t>
      </w:r>
      <w:r>
        <w:rPr>
          <w:rtl w:val="true"/>
        </w:rPr>
        <w:t xml:space="preserve"> הסובל מפריצות דיסק</w:t>
      </w:r>
      <w:r>
        <w:rPr>
          <w:rtl w:val="true"/>
        </w:rPr>
        <w:t xml:space="preserve">, </w:t>
      </w:r>
      <w:r>
        <w:rPr>
          <w:rtl w:val="true"/>
        </w:rPr>
        <w:t>בכך ששירת שירות צבאי מלא וכן בכך שבמהלך כליאתו סבל גם מהתנכלותם של אסירים אחרים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מנגד טענה המשיבה כי דין הערעור להידחות</w:t>
      </w:r>
      <w:r>
        <w:rPr>
          <w:rtl w:val="true"/>
        </w:rPr>
        <w:t xml:space="preserve">. </w:t>
      </w:r>
      <w:r>
        <w:rPr>
          <w:rtl w:val="true"/>
        </w:rPr>
        <w:t>לעמדתה</w:t>
      </w:r>
      <w:r>
        <w:rPr>
          <w:rtl w:val="true"/>
        </w:rPr>
        <w:t xml:space="preserve">, </w:t>
      </w:r>
      <w:r>
        <w:rPr>
          <w:rtl w:val="true"/>
        </w:rPr>
        <w:t>העונש אשר הושת על המערער משקף במידה הראויה את טיבם של המעשים</w:t>
      </w:r>
      <w:r>
        <w:rPr>
          <w:rtl w:val="true"/>
        </w:rPr>
        <w:t xml:space="preserve">, </w:t>
      </w:r>
      <w:r>
        <w:rPr>
          <w:rtl w:val="true"/>
        </w:rPr>
        <w:t>תוצאותיהם</w:t>
      </w:r>
      <w:r>
        <w:rPr>
          <w:rtl w:val="true"/>
        </w:rPr>
        <w:t xml:space="preserve">, </w:t>
      </w:r>
      <w:r>
        <w:rPr>
          <w:rtl w:val="true"/>
        </w:rPr>
        <w:t>הנזק שעלול היה להיגרם מהם ומשמעותם החברתית</w:t>
      </w:r>
      <w:r>
        <w:rPr>
          <w:rtl w:val="true"/>
        </w:rPr>
        <w:t xml:space="preserve">. </w:t>
      </w:r>
      <w:r>
        <w:rPr>
          <w:rtl w:val="true"/>
        </w:rPr>
        <w:t>נטען כי אמנם עבירות המין שבוצעו בקטינה אינן נמצאות ברף הגבוה מבחינת טיב המעשים שבוצעו בה</w:t>
      </w:r>
      <w:r>
        <w:rPr>
          <w:rtl w:val="true"/>
        </w:rPr>
        <w:t xml:space="preserve">, </w:t>
      </w:r>
      <w:r>
        <w:rPr>
          <w:rtl w:val="true"/>
        </w:rPr>
        <w:t>אך נסיבות ביצוע המעשים הכוללות את חטיפתה</w:t>
      </w:r>
      <w:r>
        <w:rPr>
          <w:rtl w:val="true"/>
        </w:rPr>
        <w:t xml:space="preserve">, </w:t>
      </w:r>
      <w:r>
        <w:rPr>
          <w:rtl w:val="true"/>
        </w:rPr>
        <w:t>מעצימות באופן ממשי את חומרתן של עבירות המין</w:t>
      </w:r>
      <w:r>
        <w:rPr>
          <w:rtl w:val="true"/>
        </w:rPr>
        <w:t xml:space="preserve">, </w:t>
      </w:r>
      <w:r>
        <w:rPr>
          <w:rtl w:val="true"/>
        </w:rPr>
        <w:t>וברי שגם את הנזק שנגרם בגינן</w:t>
      </w:r>
      <w:r>
        <w:rPr>
          <w:rtl w:val="true"/>
        </w:rPr>
        <w:t xml:space="preserve">. </w:t>
      </w:r>
      <w:r>
        <w:rPr>
          <w:rtl w:val="true"/>
        </w:rPr>
        <w:t>על כן צדק בית המשפט המחוזי שנתן משקל גם לנזק שעלול היה להיגרם מנטישתה של הקטינה ביער</w:t>
      </w:r>
      <w:r>
        <w:rPr>
          <w:rtl w:val="true"/>
        </w:rPr>
        <w:t xml:space="preserve">, </w:t>
      </w:r>
      <w:r>
        <w:rPr>
          <w:rtl w:val="true"/>
        </w:rPr>
        <w:t>לבדה וחסרת אונים</w:t>
      </w:r>
      <w:r>
        <w:rPr>
          <w:rtl w:val="true"/>
        </w:rPr>
        <w:t xml:space="preserve">, </w:t>
      </w:r>
      <w:r>
        <w:rPr>
          <w:rtl w:val="true"/>
        </w:rPr>
        <w:t>נתונה לחסדי המזל</w:t>
      </w:r>
      <w:r>
        <w:rPr>
          <w:rtl w:val="true"/>
        </w:rPr>
        <w:t xml:space="preserve">. </w:t>
      </w:r>
      <w:r>
        <w:rPr>
          <w:rtl w:val="true"/>
        </w:rPr>
        <w:t xml:space="preserve">עוד נטען כי בית המשפט המחוזי נתן דעתו לנימוקים לקולא </w:t>
      </w:r>
      <w:r>
        <w:rPr>
          <w:rtl w:val="true"/>
        </w:rPr>
        <w:t>(</w:t>
      </w:r>
      <w:r>
        <w:rPr>
          <w:rtl w:val="true"/>
        </w:rPr>
        <w:t>וביניהם היעדר עברו הפלילי ועדות אמו של המערער</w:t>
      </w:r>
      <w:r>
        <w:rPr>
          <w:rtl w:val="true"/>
        </w:rPr>
        <w:t xml:space="preserve">) </w:t>
      </w:r>
      <w:r>
        <w:rPr>
          <w:rtl w:val="true"/>
        </w:rPr>
        <w:t>ואין מקום להקל עמו עוד</w:t>
      </w:r>
      <w:r>
        <w:rPr>
          <w:rtl w:val="true"/>
        </w:rPr>
        <w:t xml:space="preserve">. </w:t>
      </w:r>
      <w:r>
        <w:rPr>
          <w:rtl w:val="true"/>
        </w:rPr>
        <w:t>מה גם שהמערער אינו לוקח אחריות מלאה על מעשיו</w:t>
      </w:r>
      <w:r>
        <w:rPr>
          <w:rtl w:val="true"/>
        </w:rPr>
        <w:t xml:space="preserve">. </w:t>
      </w:r>
      <w:r>
        <w:rPr>
          <w:rtl w:val="true"/>
        </w:rPr>
        <w:t xml:space="preserve">בדיון שהתקיים לפנינו ציינה המשיבה כי משיחה עם אביה של הקטינה נתגלה כי </w:t>
      </w:r>
      <w:r>
        <w:rPr>
          <w:rFonts w:ascii="Century" w:hAnsi="Century" w:cs="Century"/>
          <w:rtl w:val="true"/>
        </w:rPr>
        <w:t>עד היום היא מפחדת ללכת לישון או ללכת ללימודים לבדה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</w:rPr>
      </w:pPr>
      <w:r>
        <w:rPr>
          <w:rtl w:val="true"/>
        </w:rPr>
        <w:t>לאחר עיון בגזר דינו של בית המשפט המחוזי ובנימוקי הערעור</w:t>
      </w:r>
      <w:r>
        <w:rPr>
          <w:rtl w:val="true"/>
        </w:rPr>
        <w:t xml:space="preserve">, </w:t>
      </w:r>
      <w:r>
        <w:rPr>
          <w:rtl w:val="true"/>
        </w:rPr>
        <w:t>ולאחר שמיעת טענות הצדדים בפנינו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בפתח הדברים ראוי להזכיר את ההלכה המושרשת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sz w:val="22"/>
          <w:sz w:val="22"/>
          <w:rtl w:val="true"/>
        </w:rPr>
        <w:t>אין זו דרכה של ערכאת הערעור להתערב בעונש שנגזר על 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למעט במצבים חריגים בהם נפלה טעות מהותית בגזר הדין או שהעונש שנגזר חורג באופן קיצוני </w:t>
      </w:r>
      <w:r>
        <w:rPr>
          <w:sz w:val="28"/>
          <w:sz w:val="28"/>
          <w:rtl w:val="true"/>
        </w:rPr>
        <w:t>ממדיניות הענישה הראויה או הנוהגת במקרים דומים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2336/16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מזראיב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14.12.2017</w:t>
      </w:r>
      <w:r>
        <w:rPr>
          <w:rtl w:val="true"/>
        </w:rPr>
        <w:t xml:space="preserve">); </w:t>
      </w:r>
      <w:hyperlink r:id="rId15">
        <w:bookmarkStart w:id="17" w:name="Text1"/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3856/13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bookmarkEnd w:id="17"/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3.2.2014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 xml:space="preserve">; 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8465/15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זקן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12.9.2016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>).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 דנן אינו נמנה עם אותם מקרים חריגים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אמנם העונש שנגזר על המערער אינו מן הקלים ואולם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תקופת המאסר אשר הושתה עליו תואמת את מדיניות הענישה שהותוותה על ידי בית משפט זה בעבירות מין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ובייחוד כשאלו מבוצעות בקטינים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כבענייננו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וראו למשל</w:t>
      </w:r>
      <w:r>
        <w:rPr>
          <w:sz w:val="28"/>
          <w:rtl w:val="true"/>
        </w:rPr>
        <w:t xml:space="preserve">: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6357/11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4.7.2013</w:t>
      </w:r>
      <w:r>
        <w:rPr>
          <w:sz w:val="28"/>
          <w:rtl w:val="true"/>
        </w:rPr>
        <w:t xml:space="preserve">); </w:t>
      </w:r>
      <w:hyperlink r:id="rId1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2480/09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7.9.2011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sz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>בית משפט זה עמד לא אחת על כך שמדיניות הענישה בעבירות מין צריכה להיות מחמירה</w:t>
      </w:r>
      <w:r>
        <w:rPr>
          <w:rtl w:val="true"/>
        </w:rPr>
        <w:t xml:space="preserve">, </w:t>
      </w:r>
      <w:r>
        <w:rPr>
          <w:rtl w:val="true"/>
        </w:rPr>
        <w:t>ולבטא הן את האינטרס הציבורי בהרתעתם של עברייני מין פוטנציאליים</w:t>
      </w:r>
      <w:r>
        <w:rPr>
          <w:rtl w:val="true"/>
        </w:rPr>
        <w:t xml:space="preserve">, </w:t>
      </w:r>
      <w:r>
        <w:rPr>
          <w:rtl w:val="true"/>
        </w:rPr>
        <w:t>והן את הנזקים המשמעותיים הנגרמים לגופם ולנפשם של נפגעי עבירות אלו</w:t>
      </w:r>
      <w:r>
        <w:rPr>
          <w:rtl w:val="true"/>
        </w:rPr>
        <w:t xml:space="preserve">. </w:t>
      </w:r>
      <w:r>
        <w:rPr>
          <w:rtl w:val="true"/>
        </w:rPr>
        <w:t xml:space="preserve">אין ספק כי </w:t>
      </w:r>
      <w:r>
        <w:rPr>
          <w:spacing w:val="6"/>
          <w:sz w:val="28"/>
          <w:sz w:val="28"/>
          <w:rtl w:val="true"/>
        </w:rPr>
        <w:t>חומרה יתרה קיימת בעבירות מין המבוצעות בקטינים</w:t>
      </w:r>
      <w:r>
        <w:rPr>
          <w:spacing w:val="6"/>
          <w:sz w:val="28"/>
          <w:rtl w:val="true"/>
        </w:rPr>
        <w:t xml:space="preserve">, </w:t>
      </w:r>
      <w:r>
        <w:rPr>
          <w:spacing w:val="6"/>
          <w:sz w:val="28"/>
          <w:sz w:val="28"/>
          <w:rtl w:val="true"/>
        </w:rPr>
        <w:t xml:space="preserve">המתאפיינות בניצול תמימותו וחולשתו של הקטין </w:t>
      </w:r>
      <w:r>
        <w:rPr>
          <w:rtl w:val="true"/>
        </w:rPr>
        <w:t xml:space="preserve">לסיפוק יצריו של הפוגע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6882/14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11.11.2015</w:t>
      </w:r>
      <w:r>
        <w:rPr>
          <w:rtl w:val="true"/>
        </w:rPr>
        <w:t xml:space="preserve">);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3576/14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מניס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29.2.2016</w:t>
      </w:r>
      <w:r>
        <w:rPr>
          <w:rFonts w:cs="FrankRuehl" w:ascii="FrankRuehl" w:hAnsi="FrankRuehl"/>
          <w:color w:val="000000"/>
          <w:sz w:val="28"/>
          <w:rtl w:val="true"/>
        </w:rPr>
        <w:t>)</w:t>
      </w:r>
      <w:r>
        <w:rPr>
          <w:rtl w:val="true"/>
        </w:rPr>
        <w:t>)</w:t>
      </w:r>
      <w:r>
        <w:rPr>
          <w:spacing w:val="6"/>
          <w:sz w:val="28"/>
          <w:rtl w:val="true"/>
        </w:rPr>
        <w:t xml:space="preserve">. </w:t>
      </w:r>
      <w:r>
        <w:rPr>
          <w:spacing w:val="6"/>
          <w:sz w:val="28"/>
          <w:sz w:val="28"/>
          <w:rtl w:val="true"/>
        </w:rPr>
        <w:t xml:space="preserve">יפים לעניין זה דבריה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ארבל</w:t>
      </w:r>
      <w:r>
        <w:rPr>
          <w:spacing w:val="6"/>
          <w:sz w:val="28"/>
          <w:sz w:val="28"/>
          <w:rtl w:val="true"/>
        </w:rPr>
        <w:t xml:space="preserve"> ב</w:t>
      </w:r>
      <w:hyperlink r:id="rId21">
        <w:r>
          <w:rPr>
            <w:rStyle w:val="Hyperlink"/>
            <w:color w:val="0000FF"/>
            <w:spacing w:val="6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pacing w:val="6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pacing w:val="6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pacing w:val="6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pacing w:val="6"/>
            <w:sz w:val="28"/>
            <w:u w:val="single"/>
          </w:rPr>
          <w:t>6690/07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cs="FrankRuehl" w:ascii="FrankRuehl" w:hAnsi="FrankRuehl"/>
          <w:color w:val="000000"/>
          <w:sz w:val="28"/>
        </w:rPr>
        <w:t>10.3.2008</w:t>
      </w:r>
      <w:r>
        <w:rPr>
          <w:rFonts w:cs="FrankRuehl" w:ascii="FrankRuehl" w:hAnsi="FrankRuehl"/>
          <w:color w:val="000000"/>
          <w:sz w:val="28"/>
          <w:rtl w:val="true"/>
        </w:rPr>
        <w:t>):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8"/>
          <w:szCs w:val="12"/>
        </w:rPr>
      </w:pPr>
      <w:r>
        <w:rPr>
          <w:rFonts w:cs="FrankRuehl" w:ascii="FrankRuehl" w:hAnsi="FrankRuehl"/>
          <w:color w:val="000000"/>
          <w:sz w:val="8"/>
          <w:szCs w:val="12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  <w:r>
        <w:rPr>
          <w:rtl w:val="true"/>
        </w:rPr>
        <w:t>חילול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הנחרתות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בנפשם</w:t>
      </w:r>
      <w:r>
        <w:rPr>
          <w:rtl w:val="true"/>
        </w:rPr>
        <w:t xml:space="preserve">,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הזוגיות</w:t>
      </w:r>
      <w:r>
        <w:rPr>
          <w:rtl w:val="true"/>
        </w:rPr>
        <w:t xml:space="preserve">, </w:t>
      </w:r>
      <w:r>
        <w:rPr>
          <w:rtl w:val="true"/>
        </w:rPr>
        <w:t>החברתיות</w:t>
      </w:r>
      <w:r>
        <w:rPr>
          <w:rtl w:val="true"/>
        </w:rPr>
        <w:t xml:space="preserve">,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tl w:val="true"/>
        </w:rPr>
        <w:t xml:space="preserve">.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הוקעתם</w:t>
      </w:r>
      <w:r>
        <w:rPr>
          <w:rtl w:val="true"/>
        </w:rPr>
        <w:t xml:space="preserve">, </w:t>
      </w:r>
      <w:r>
        <w:rPr>
          <w:rtl w:val="true"/>
        </w:rPr>
        <w:t>ולשלוח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tl w:val="true"/>
        </w:rPr>
        <w:t>".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המעשים שביצע המערער מעוררים סלידה עמוקה</w:t>
      </w:r>
      <w:r>
        <w:rPr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rtl w:val="true"/>
        </w:rPr>
        <w:t>אותה יש לבטא בדרך של ענישה ממשית ומרתיעה</w:t>
      </w:r>
      <w:r>
        <w:rPr>
          <w:rFonts w:cs="FrankRuehl" w:ascii="FrankRuehl" w:hAnsi="FrankRuehl"/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הוא בחר לו כקורבן ילדה רכה בשנים</w:t>
      </w:r>
      <w:r>
        <w:rPr>
          <w:rtl w:val="true"/>
        </w:rPr>
        <w:t xml:space="preserve">, </w:t>
      </w:r>
      <w:r>
        <w:rPr>
          <w:rtl w:val="true"/>
        </w:rPr>
        <w:t>כבת שבע בלבד בעת ביצוע העבירות</w:t>
      </w:r>
      <w:r>
        <w:rPr>
          <w:rtl w:val="true"/>
        </w:rPr>
        <w:t xml:space="preserve">, </w:t>
      </w:r>
      <w:r>
        <w:rPr>
          <w:rtl w:val="true"/>
        </w:rPr>
        <w:t>תוך ניצול תמימותה</w:t>
      </w:r>
      <w:r>
        <w:rPr>
          <w:rtl w:val="true"/>
        </w:rPr>
        <w:t xml:space="preserve">, </w:t>
      </w:r>
      <w:r>
        <w:rPr>
          <w:rtl w:val="true"/>
        </w:rPr>
        <w:t>הנובעת באופן טבעי מגילה הצעיר</w:t>
      </w:r>
      <w:r>
        <w:rPr>
          <w:rtl w:val="true"/>
        </w:rPr>
        <w:t xml:space="preserve">, </w:t>
      </w:r>
      <w:r>
        <w:rPr>
          <w:rtl w:val="true"/>
        </w:rPr>
        <w:t>פיתה אותה להיכנס למוניתו והחל בנסיעה ארוכה שהסתיימה ביער מבודד</w:t>
      </w:r>
      <w:r>
        <w:rPr>
          <w:rtl w:val="true"/>
        </w:rPr>
        <w:t xml:space="preserve">, </w:t>
      </w:r>
      <w:r>
        <w:rPr>
          <w:rtl w:val="true"/>
        </w:rPr>
        <w:t>שם ביצע בה המערער מעשים מגונים ולא חס לרגע על נפשה הרכה</w:t>
      </w:r>
      <w:r>
        <w:rPr>
          <w:rtl w:val="true"/>
        </w:rPr>
        <w:t xml:space="preserve">. </w:t>
      </w:r>
      <w:r>
        <w:rPr>
          <w:rtl w:val="true"/>
        </w:rPr>
        <w:t>וכאילו לא די בכך</w:t>
      </w:r>
      <w:r>
        <w:rPr>
          <w:rtl w:val="true"/>
        </w:rPr>
        <w:t xml:space="preserve">, </w:t>
      </w:r>
      <w:r>
        <w:rPr>
          <w:rtl w:val="true"/>
        </w:rPr>
        <w:t>לאחר שביצע בה את זממו</w:t>
      </w:r>
      <w:r>
        <w:rPr>
          <w:rtl w:val="true"/>
        </w:rPr>
        <w:t xml:space="preserve">, </w:t>
      </w:r>
      <w:r>
        <w:rPr>
          <w:rtl w:val="true"/>
        </w:rPr>
        <w:t>הותיר אותה מבוהלת</w:t>
      </w:r>
      <w:r>
        <w:rPr>
          <w:rtl w:val="true"/>
        </w:rPr>
        <w:t xml:space="preserve">, </w:t>
      </w:r>
      <w:r>
        <w:rPr>
          <w:rtl w:val="true"/>
        </w:rPr>
        <w:t>מפוחדת וחסרת אונים בתוך יער מבודד</w:t>
      </w:r>
      <w:r>
        <w:rPr>
          <w:rtl w:val="true"/>
        </w:rPr>
        <w:t xml:space="preserve">, </w:t>
      </w:r>
      <w:r>
        <w:rPr>
          <w:rtl w:val="true"/>
        </w:rPr>
        <w:t>הרחק מאוד מביתה וללא יכולת סבירה ליצור קשר עם בני משפחתה</w:t>
      </w:r>
      <w:r>
        <w:rPr>
          <w:rtl w:val="true"/>
        </w:rPr>
        <w:t xml:space="preserve">. </w:t>
      </w:r>
      <w:r>
        <w:rPr>
          <w:rtl w:val="true"/>
        </w:rPr>
        <w:t>גם אם</w:t>
      </w:r>
      <w:r>
        <w:rPr>
          <w:rtl w:val="true"/>
        </w:rPr>
        <w:t xml:space="preserve">, </w:t>
      </w:r>
      <w:r>
        <w:rPr>
          <w:rtl w:val="true"/>
        </w:rPr>
        <w:t>כטענת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בכל הנוגע לטיב המעשים המגונים שביצע יש להניח את ההנחה המקלה עמו מבחינה עובדתית </w:t>
      </w:r>
      <w:r>
        <w:rPr>
          <w:rtl w:val="true"/>
        </w:rPr>
        <w:t>–</w:t>
      </w:r>
      <w:r>
        <w:rPr>
          <w:rtl w:val="true"/>
        </w:rPr>
        <w:t xml:space="preserve"> אין ספק כי בחינת מכלול הנסיבות והשיקולים הצריכים לעניין מעלה כי העונש שהוטל על המערער נותן ביטוי הולם לחומרת מעשיו</w:t>
      </w:r>
      <w:r>
        <w:rPr>
          <w:rtl w:val="true"/>
        </w:rPr>
        <w:t xml:space="preserve">. </w:t>
      </w:r>
      <w:r>
        <w:rPr>
          <w:rtl w:val="true"/>
        </w:rPr>
        <w:t>מה גם שבעת גזירת הדין בגין ביצוע עבירות מין בקטינים</w:t>
      </w:r>
      <w:r>
        <w:rPr>
          <w:rtl w:val="true"/>
        </w:rPr>
        <w:t xml:space="preserve">, </w:t>
      </w:r>
      <w:r>
        <w:rPr>
          <w:rtl w:val="true"/>
        </w:rPr>
        <w:t xml:space="preserve">עדיפים שיקולי גמול והרתעה על פני נסיבותיו האישיות של העבריין </w:t>
      </w:r>
      <w:r>
        <w:rPr>
          <w:rtl w:val="true"/>
        </w:rPr>
        <w:t>(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4583/13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סץ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1287/14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5.8.2015</w:t>
      </w:r>
      <w:r>
        <w:rPr>
          <w:rtl w:val="true"/>
        </w:rPr>
        <w:t xml:space="preserve">)).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>ניתן להניח שעונשו אף היה חמור יותר לולא אותם נימוקים לקולא שציין המערער בערעורו ושעמדו גם לנגד עיניו של בית המשפט 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בגזר דינו המפורט והמנומק</w:t>
      </w:r>
      <w:r>
        <w:rPr>
          <w:rtl w:val="true"/>
        </w:rPr>
        <w:t xml:space="preserve">, </w:t>
      </w:r>
      <w:r>
        <w:rPr>
          <w:rtl w:val="true"/>
        </w:rPr>
        <w:t>איזן בית המשפט המחוזי באופן ראוי בין מכלול השיקולים הרלוונטיים לחומרה ולקולא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נתן דעתו לנסיבותיו האישיות של המערער וביניהן </w:t>
      </w:r>
      <w:r>
        <w:rPr>
          <w:rtl w:val="true"/>
        </w:rPr>
        <w:t>–</w:t>
      </w:r>
      <w:r>
        <w:rPr>
          <w:rtl w:val="true"/>
        </w:rPr>
        <w:t xml:space="preserve"> היעדר עברו הפלילי</w:t>
      </w:r>
      <w:r>
        <w:rPr>
          <w:rtl w:val="true"/>
        </w:rPr>
        <w:t xml:space="preserve">, </w:t>
      </w:r>
      <w:r>
        <w:rPr>
          <w:rtl w:val="true"/>
        </w:rPr>
        <w:t>טענותיו בדבר קשייו במסגרת שב</w:t>
      </w:r>
      <w:r>
        <w:rPr>
          <w:rtl w:val="true"/>
        </w:rPr>
        <w:t>"</w:t>
      </w:r>
      <w:r>
        <w:rPr>
          <w:rtl w:val="true"/>
        </w:rPr>
        <w:t>ס בשל מצבו הרפואי ובשל התנכלותם של אסירים אחרים ודברי אמו המשקפים את פגיעתו של העונש בבני משפחתו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ציין בית המשפט המחוזי כי התנהלותו של המערער במהלך המשפט ובמהלך הטיעונים לעונש מעידה על היותו מרוכז בעצמו</w:t>
      </w:r>
      <w:r>
        <w:rPr>
          <w:rtl w:val="true"/>
        </w:rPr>
        <w:t xml:space="preserve">, </w:t>
      </w:r>
      <w:r>
        <w:rPr>
          <w:rtl w:val="true"/>
        </w:rPr>
        <w:t>על נטייתו לראות עצמו כקרבן ועל היעדר אמפתיה לקטינה</w:t>
      </w:r>
      <w:r>
        <w:rPr>
          <w:rtl w:val="true"/>
        </w:rPr>
        <w:t xml:space="preserve">, </w:t>
      </w:r>
      <w:r>
        <w:rPr>
          <w:rtl w:val="true"/>
        </w:rPr>
        <w:t>לרבות בנוגע להשלכות המעשים שהוא מודה בביצועם</w:t>
      </w:r>
      <w:r>
        <w:rPr>
          <w:rtl w:val="true"/>
        </w:rPr>
        <w:t xml:space="preserve">. </w:t>
      </w:r>
      <w:r>
        <w:rPr>
          <w:rtl w:val="true"/>
        </w:rPr>
        <w:t>בהתייחס לכל האמור נגזר דינו לעונש המצוי בסמוך מעל לאמצע המתחם</w:t>
      </w:r>
      <w:r>
        <w:rPr>
          <w:rtl w:val="true"/>
        </w:rPr>
        <w:t xml:space="preserve">. </w:t>
      </w:r>
      <w:r>
        <w:rPr>
          <w:rtl w:val="true"/>
        </w:rPr>
        <w:t>נמצא אם כן כי העונש שנגזר על המערער משקף כדבעי את חומרת מעשיו ואינו סוטה מרמת הענישה הראויה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על כל אלו יש להוסיף כי עיון בחוות הדעת של המרכז להערכת מסוכנות שנערכה ערב הדיון שלפנינו מגלה כי </w:t>
      </w:r>
      <w:r>
        <w:rPr>
          <w:rFonts w:ascii="Century" w:hAnsi="Century" w:cs="Century"/>
          <w:rtl w:val="true"/>
        </w:rPr>
        <w:t xml:space="preserve">המסוכנות הנשקפת מהמערער עודנה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בינונית לפחות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להתרשמות מעריכת המסוכנות</w:t>
      </w:r>
      <w:r>
        <w:rPr>
          <w:rtl w:val="true"/>
        </w:rPr>
        <w:t xml:space="preserve">, </w:t>
      </w:r>
      <w:r>
        <w:rPr>
          <w:rtl w:val="true"/>
        </w:rPr>
        <w:t>המערער אינו לוקח אחריות למעשיו</w:t>
      </w:r>
      <w:r>
        <w:rPr>
          <w:rtl w:val="true"/>
        </w:rPr>
        <w:t xml:space="preserve">, </w:t>
      </w:r>
      <w:r>
        <w:rPr>
          <w:rtl w:val="true"/>
        </w:rPr>
        <w:t>בעל קווי אישיות נרקיסיסטיים בולטים ומתקשה לראות את מצוקת האחר</w:t>
      </w:r>
      <w:r>
        <w:rPr>
          <w:rtl w:val="true"/>
        </w:rPr>
        <w:t xml:space="preserve">. </w:t>
      </w:r>
      <w:r>
        <w:rPr>
          <w:rtl w:val="true"/>
        </w:rPr>
        <w:t xml:space="preserve">עוד יש לציין כי הגם שלא הוגש תסקיר </w:t>
      </w:r>
      <w:r>
        <w:rPr>
          <w:rFonts w:ascii="Century" w:hAnsi="Century" w:cs="Century"/>
          <w:rtl w:val="true"/>
        </w:rPr>
        <w:t>נפגע עבירה בעניין הקטינה</w:t>
      </w:r>
      <w:r>
        <w:rPr>
          <w:rtl w:val="true"/>
        </w:rPr>
        <w:t xml:space="preserve">, </w:t>
      </w:r>
      <w:r>
        <w:rPr>
          <w:rtl w:val="true"/>
        </w:rPr>
        <w:t>אין פירושו של דבר שהיא לא ניזוקה באופן חמור ממעשיו של המערער</w:t>
      </w:r>
      <w:r>
        <w:rPr>
          <w:rtl w:val="true"/>
        </w:rPr>
        <w:t xml:space="preserve">, </w:t>
      </w:r>
      <w:r>
        <w:rPr>
          <w:rtl w:val="true"/>
        </w:rPr>
        <w:t>שכן מדובר בעבירות שהנזק טבוע בהן מעצם טיבן</w:t>
      </w:r>
      <w:r>
        <w:rPr>
          <w:rtl w:val="true"/>
        </w:rPr>
        <w:t xml:space="preserve">. </w:t>
      </w:r>
      <w:r>
        <w:rPr>
          <w:rtl w:val="true"/>
        </w:rPr>
        <w:t xml:space="preserve">הפגיעה בנפשה העדינה של הקטינה בשלב בו טרם התגבשה אישיותה באופן סופי והצלקות הרבות והעמוקות שהותיר בה המערער </w:t>
      </w:r>
      <w:r>
        <w:rPr>
          <w:rtl w:val="true"/>
        </w:rPr>
        <w:t>–</w:t>
      </w:r>
      <w:r>
        <w:rPr>
          <w:rtl w:val="true"/>
        </w:rPr>
        <w:t xml:space="preserve"> אינן דורשות הוכחה </w:t>
      </w:r>
      <w:r>
        <w:rPr>
          <w:rtl w:val="true"/>
        </w:rPr>
        <w:t>(</w:t>
      </w:r>
      <w:r>
        <w:rPr>
          <w:rtl w:val="true"/>
        </w:rPr>
        <w:t>וראו לעניין זה גם</w:t>
      </w:r>
      <w:r>
        <w:rPr>
          <w:rtl w:val="true"/>
        </w:rPr>
        <w:t xml:space="preserve">: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6695/08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26.1.2009</w:t>
      </w:r>
      <w:r>
        <w:rPr>
          <w:rtl w:val="true"/>
        </w:rPr>
        <w:t>)</w:t>
      </w:r>
      <w:r>
        <w:rPr>
          <w:rFonts w:cs="FrankRuehl" w:ascii="FrankRuehl" w:hAnsi="FrankRuehl"/>
          <w:b/>
          <w:bCs/>
          <w:color w:val="000000"/>
          <w:sz w:val="28"/>
          <w:rtl w:val="true"/>
        </w:rPr>
        <w:t xml:space="preserve">; 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1890/16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אוחיון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9.3.2017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sz w:val="52"/>
          <w:szCs w:val="72"/>
        </w:rPr>
      </w:pPr>
      <w:r>
        <w:rPr>
          <w:rFonts w:cs="Century" w:ascii="Century" w:hAnsi="Century"/>
          <w:color w:val="FFFFFF"/>
          <w:sz w:val="52"/>
          <w:szCs w:val="72"/>
        </w:rPr>
        <w:t>5129371</w:t>
      </w:r>
      <w:r>
        <w:rPr>
          <w:rFonts w:cs="Century" w:ascii="Century" w:hAnsi="Century"/>
          <w:sz w:val="52"/>
          <w:szCs w:val="72"/>
          <w:rtl w:val="true"/>
        </w:rPr>
        <w:t xml:space="preserve"> </w:t>
      </w:r>
      <w:r>
        <w:rPr>
          <w:rFonts w:ascii="Century" w:hAnsi="Century" w:cs="Century"/>
          <w:sz w:val="52"/>
          <w:sz w:val="52"/>
          <w:szCs w:val="72"/>
          <w:rtl w:val="true"/>
        </w:rPr>
        <w:t>ניתן</w:t>
      </w:r>
      <w:r>
        <w:rPr>
          <w:rFonts w:ascii="Century" w:hAnsi="Century" w:cs="Century"/>
          <w:sz w:val="52"/>
          <w:sz w:val="52"/>
          <w:szCs w:val="72"/>
          <w:rtl w:val="true"/>
        </w:rPr>
        <w:t xml:space="preserve"> </w:t>
      </w:r>
      <w:r>
        <w:rPr>
          <w:rFonts w:ascii="Century" w:hAnsi="Century" w:cs="Century"/>
          <w:sz w:val="52"/>
          <w:sz w:val="52"/>
          <w:szCs w:val="72"/>
          <w:rtl w:val="true"/>
        </w:rPr>
        <w:t>היום</w:t>
      </w:r>
      <w:r>
        <w:rPr>
          <w:rFonts w:cs="Century" w:ascii="Century" w:hAnsi="Century"/>
          <w:sz w:val="52"/>
          <w:szCs w:val="72"/>
          <w:rtl w:val="true"/>
        </w:rPr>
        <w:t>, ‏</w:t>
      </w:r>
      <w:r>
        <w:rPr>
          <w:rFonts w:ascii="Century" w:hAnsi="Century" w:cs="Century"/>
          <w:sz w:val="52"/>
          <w:sz w:val="52"/>
          <w:szCs w:val="72"/>
          <w:rtl w:val="true"/>
        </w:rPr>
        <w:t>כ</w:t>
      </w:r>
      <w:r>
        <w:rPr>
          <w:rFonts w:cs="Century" w:ascii="Century" w:hAnsi="Century"/>
          <w:sz w:val="52"/>
          <w:szCs w:val="72"/>
          <w:rtl w:val="true"/>
        </w:rPr>
        <w:t>"</w:t>
      </w:r>
      <w:r>
        <w:rPr>
          <w:rFonts w:ascii="Century" w:hAnsi="Century" w:cs="Century"/>
          <w:sz w:val="52"/>
          <w:sz w:val="52"/>
          <w:szCs w:val="72"/>
          <w:rtl w:val="true"/>
        </w:rPr>
        <w:t>ח</w:t>
      </w:r>
      <w:r>
        <w:rPr>
          <w:rFonts w:ascii="Century" w:hAnsi="Century" w:cs="Century"/>
          <w:sz w:val="52"/>
          <w:sz w:val="52"/>
          <w:szCs w:val="72"/>
          <w:rtl w:val="true"/>
        </w:rPr>
        <w:t xml:space="preserve"> </w:t>
      </w:r>
      <w:r>
        <w:rPr>
          <w:rFonts w:ascii="Century" w:hAnsi="Century" w:cs="Century"/>
          <w:sz w:val="52"/>
          <w:sz w:val="52"/>
          <w:szCs w:val="72"/>
          <w:rtl w:val="true"/>
        </w:rPr>
        <w:t>בטבת</w:t>
      </w:r>
      <w:r>
        <w:rPr>
          <w:rFonts w:ascii="Century" w:hAnsi="Century" w:cs="Century"/>
          <w:sz w:val="52"/>
          <w:sz w:val="52"/>
          <w:szCs w:val="72"/>
          <w:rtl w:val="true"/>
        </w:rPr>
        <w:t xml:space="preserve"> </w:t>
      </w:r>
      <w:r>
        <w:rPr>
          <w:rFonts w:ascii="Century" w:hAnsi="Century" w:cs="Century"/>
          <w:sz w:val="52"/>
          <w:sz w:val="52"/>
          <w:szCs w:val="72"/>
          <w:rtl w:val="true"/>
        </w:rPr>
        <w:t>התשע</w:t>
      </w:r>
      <w:r>
        <w:rPr>
          <w:rFonts w:cs="Century" w:ascii="Century" w:hAnsi="Century"/>
          <w:sz w:val="52"/>
          <w:szCs w:val="72"/>
          <w:rtl w:val="true"/>
        </w:rPr>
        <w:t>"</w:t>
      </w:r>
      <w:r>
        <w:rPr>
          <w:rFonts w:ascii="Century" w:hAnsi="Century" w:cs="Century"/>
          <w:sz w:val="52"/>
          <w:sz w:val="52"/>
          <w:szCs w:val="72"/>
          <w:rtl w:val="true"/>
        </w:rPr>
        <w:t>ח</w:t>
      </w:r>
      <w:r>
        <w:rPr>
          <w:rFonts w:ascii="Century" w:hAnsi="Century" w:cs="Century"/>
          <w:sz w:val="52"/>
          <w:sz w:val="52"/>
          <w:szCs w:val="72"/>
          <w:rtl w:val="true"/>
        </w:rPr>
        <w:t xml:space="preserve"> </w:t>
      </w:r>
      <w:r>
        <w:rPr>
          <w:rFonts w:cs="Century" w:ascii="Century" w:hAnsi="Century"/>
          <w:sz w:val="52"/>
          <w:szCs w:val="72"/>
          <w:rtl w:val="true"/>
        </w:rPr>
        <w:t>(‏</w:t>
      </w:r>
      <w:r>
        <w:rPr>
          <w:rFonts w:cs="Century" w:ascii="Century" w:hAnsi="Century"/>
          <w:sz w:val="52"/>
          <w:szCs w:val="72"/>
        </w:rPr>
        <w:t>15.1.2018</w:t>
      </w:r>
      <w:r>
        <w:rPr>
          <w:rFonts w:cs="Century" w:ascii="Century" w:hAnsi="Century"/>
          <w:sz w:val="52"/>
          <w:szCs w:val="72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16057950</w:t>
      </w:r>
      <w:r>
        <w:rPr>
          <w:sz w:val="16"/>
          <w:rtl w:val="true"/>
        </w:rPr>
        <w:t>_</w:t>
      </w:r>
      <w:r>
        <w:rPr>
          <w:sz w:val="16"/>
        </w:rPr>
        <w:t>N06.doc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  <w:r>
        <w:rPr>
          <w:rtl w:val="true"/>
        </w:rPr>
        <w:t>+</w:t>
      </w:r>
      <w:r>
        <w:rPr>
          <w:rtl w:val="true"/>
        </w:rPr>
        <w:t>אש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54678313-5795/16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entury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5795/16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10"/>
        <w:i w:val="false"/>
        <w:shadow w:val="false"/>
        <w:u w:val="none"/>
        <w:b w:val="false"/>
        <w:kern w:val="0"/>
        <w:szCs w:val="28"/>
        <w:bCs w:val="false"/>
        <w:w w:val="100"/>
        <w:vanish w:val="false"/>
        <w:rFonts w:ascii="Century" w:hAnsi="Century" w:cs="FrankRuehl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Century" w:hAnsi="Century" w:cs="FrankRuehl"/>
      <w:b w:val="false"/>
      <w:bCs w:val="false"/>
      <w:i w:val="false"/>
      <w:caps w:val="false"/>
      <w:smallCaps w:val="false"/>
      <w:strike w:val="false"/>
      <w:dstrike w:val="false"/>
      <w:outline w:val="false"/>
      <w:shadow w:val="false"/>
      <w:vanish w:val="false"/>
      <w:color w:val="000000"/>
      <w:spacing w:val="10"/>
      <w:w w:val="100"/>
      <w:kern w:val="0"/>
      <w:position w:val="0"/>
      <w:sz w:val="22"/>
      <w:sz w:val="22"/>
      <w:szCs w:val="28"/>
      <w:u w:val="none"/>
      <w:vertAlign w:val="baseline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73842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74a" TargetMode="External"/><Relationship Id="rId7" Type="http://schemas.openxmlformats.org/officeDocument/2006/relationships/hyperlink" Target="http://www.nevo.co.il/law/70301/377a.a.7" TargetMode="External"/><Relationship Id="rId8" Type="http://schemas.openxmlformats.org/officeDocument/2006/relationships/hyperlink" Target="http://www.nevo.co.il/case/18738428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5.a.1" TargetMode="External"/><Relationship Id="rId12" Type="http://schemas.openxmlformats.org/officeDocument/2006/relationships/hyperlink" Target="http://www.nevo.co.il/law/70301/374a" TargetMode="External"/><Relationship Id="rId13" Type="http://schemas.openxmlformats.org/officeDocument/2006/relationships/hyperlink" Target="http://www.nevo.co.il/law/70301/377a.a.7" TargetMode="External"/><Relationship Id="rId14" Type="http://schemas.openxmlformats.org/officeDocument/2006/relationships/hyperlink" Target="http://www.nevo.co.il/case/21053257" TargetMode="External"/><Relationship Id="rId15" Type="http://schemas.openxmlformats.org/officeDocument/2006/relationships/hyperlink" Target="http://www.nevo.co.il/case/7029339" TargetMode="External"/><Relationship Id="rId16" Type="http://schemas.openxmlformats.org/officeDocument/2006/relationships/hyperlink" Target="http://www.nevo.co.il/case/20787999" TargetMode="External"/><Relationship Id="rId17" Type="http://schemas.openxmlformats.org/officeDocument/2006/relationships/hyperlink" Target="http://www.nevo.co.il/case/6247048" TargetMode="External"/><Relationship Id="rId18" Type="http://schemas.openxmlformats.org/officeDocument/2006/relationships/hyperlink" Target="http://www.nevo.co.il/case/5835728" TargetMode="External"/><Relationship Id="rId19" Type="http://schemas.openxmlformats.org/officeDocument/2006/relationships/hyperlink" Target="http://www.nevo.co.il/case/18107147" TargetMode="External"/><Relationship Id="rId20" Type="http://schemas.openxmlformats.org/officeDocument/2006/relationships/hyperlink" Target="http://www.nevo.co.il/case/16958465" TargetMode="External"/><Relationship Id="rId21" Type="http://schemas.openxmlformats.org/officeDocument/2006/relationships/hyperlink" Target="http://www.nevo.co.il/case/6234386" TargetMode="External"/><Relationship Id="rId22" Type="http://schemas.openxmlformats.org/officeDocument/2006/relationships/hyperlink" Target="http://www.nevo.co.il/case/7697245" TargetMode="External"/><Relationship Id="rId23" Type="http://schemas.openxmlformats.org/officeDocument/2006/relationships/hyperlink" Target="http://www.nevo.co.il/case/20489990" TargetMode="External"/><Relationship Id="rId24" Type="http://schemas.openxmlformats.org/officeDocument/2006/relationships/hyperlink" Target="http://www.nevo.co.il/case/6247289" TargetMode="External"/><Relationship Id="rId25" Type="http://schemas.openxmlformats.org/officeDocument/2006/relationships/hyperlink" Target="http://www.nevo.co.il/case/22303595" TargetMode="External"/><Relationship Id="rId26" Type="http://schemas.openxmlformats.org/officeDocument/2006/relationships/hyperlink" Target="http://www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2018-01-16T10:38:00Z</dcterms:created>
  <dc:creator> </dc:creator>
  <dc:description/>
  <cp:keywords/>
  <dc:language>en-IL</dc:language>
  <cp:lastModifiedBy>orly</cp:lastModifiedBy>
  <cp:lastPrinted>2005-02-10T11:00:00Z</cp:lastPrinted>
  <dcterms:modified xsi:type="dcterms:W3CDTF">2018-01-16T10:38:00Z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18738428:2;21053257;7029339;20787999;6247048;5835728;18107147;16958465;6234386;7697245;20489990;6247289;22303595</vt:lpwstr>
  </property>
  <property fmtid="{D5CDD505-2E9C-101B-9397-08002B2CF9AE}" pid="9" name="CITY">
    <vt:lpwstr/>
  </property>
  <property fmtid="{D5CDD505-2E9C-101B-9397-08002B2CF9AE}" pid="10" name="DATE">
    <vt:lpwstr>20180115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LISTTMP1">
    <vt:lpwstr>70301/348.b;345.a.1;374a;377a.a.7</vt:lpwstr>
  </property>
  <property fmtid="{D5CDD505-2E9C-101B-9397-08002B2CF9AE}" pid="15" name="LAWYER">
    <vt:lpwstr>אפרת גולדשטיין;בלפור יגאל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ערעור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1446;1446;504</vt:lpwstr>
  </property>
  <property fmtid="{D5CDD505-2E9C-101B-9397-08002B2CF9AE}" pid="48" name="NOSE31">
    <vt:lpwstr>מדיניות ענישה: עבירות מין בקטינים</vt:lpwstr>
  </property>
  <property fmtid="{D5CDD505-2E9C-101B-9397-08002B2CF9AE}" pid="49" name="NOSE310">
    <vt:lpwstr/>
  </property>
  <property fmtid="{D5CDD505-2E9C-101B-9397-08002B2CF9AE}" pid="50" name="NOSE32">
    <vt:lpwstr>תסקיר נפגעי עבירה</vt:lpwstr>
  </property>
  <property fmtid="{D5CDD505-2E9C-101B-9397-08002B2CF9AE}" pid="51" name="NOSE33">
    <vt:lpwstr>עונש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16970;;3864</vt:lpwstr>
  </property>
  <property fmtid="{D5CDD505-2E9C-101B-9397-08002B2CF9AE}" pid="59" name="PADIDATE">
    <vt:lpwstr>20180116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5795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410120180115</vt:lpwstr>
  </property>
  <property fmtid="{D5CDD505-2E9C-101B-9397-08002B2CF9AE}" pid="69" name="TYPE_N_DATE">
    <vt:lpwstr>41020180115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