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5805/19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bookmarkStart w:id="3" w:name="FirstAppellant"/>
            <w:bookmarkEnd w:id="3"/>
            <w:r>
              <w:rPr>
                <w:rFonts w:ascii="David;David" w:hAnsi="David;David"/>
                <w:rtl w:val="true"/>
              </w:rPr>
              <w:t>המערער</w:t>
            </w:r>
            <w:r>
              <w:rPr>
                <w:rFonts w:ascii="David;David" w:hAnsi="David;David"/>
                <w:rtl w:val="true"/>
              </w:rPr>
              <w:t>ת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קליינמן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ascii="David;David" w:hAnsi="David;David"/>
                <w:rtl w:val="true"/>
              </w:rPr>
              <w:t>המשיב</w:t>
            </w:r>
            <w:r>
              <w:rPr>
                <w:rFonts w:ascii="David;David" w:hAnsi="David;David"/>
                <w:rtl w:val="true"/>
              </w:rPr>
              <w:t>ה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ascii="David;David" w:hAnsi="David;David"/>
                <w:rtl w:val="true"/>
              </w:rPr>
              <w:t>משיבים פורמאליים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איילת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אנטוניר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רפאל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עמיקם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גרשונוביץ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ימין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ברנס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ורונן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ארוש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10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הפועלים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דיסקונט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לאומי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מרכז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38315-12-15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27.06.2019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יקואל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09.12.2020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כרמון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10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שרירותיות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לוקה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שרירותיות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בסנקציה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פורמלית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הרומסים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ונוטלים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לזולת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ברשתהּ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שאיבדו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מרכז</w:t>
      </w:r>
      <w:r>
        <w:rPr>
          <w:rFonts w:ascii="FrankRuehl" w:hAnsi="FrankRuehl" w:cs="FrankRuehl"/>
          <w:rtl w:val="true"/>
        </w:rPr>
        <w:t>–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יקואל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38315-12-15</w:t>
        </w:r>
      </w:hyperlink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27.6.2019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המערערת עונש של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זאת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בגין הרשעתה בביצוע עבירות זיוף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מרמה ומס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במסגרתן </w:t>
      </w:r>
      <w:r>
        <w:rPr>
          <w:rtl w:val="true"/>
        </w:rPr>
        <w:t>הכניסה לכיסה סכומי כסף המסתכמים במיליוני שקלים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נגד המערערת הוגש כתב האישום הכולל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אישומים שונים שבהם נטען כי הציגה מצגים כוזבים למכריה</w:t>
      </w:r>
      <w:r>
        <w:rPr>
          <w:rtl w:val="true"/>
        </w:rPr>
        <w:t xml:space="preserve">, </w:t>
      </w:r>
      <w:r>
        <w:rPr>
          <w:rtl w:val="true"/>
        </w:rPr>
        <w:t>בני משפחתה ונציגי בנקים</w:t>
      </w:r>
      <w:r>
        <w:rPr>
          <w:rtl w:val="true"/>
        </w:rPr>
        <w:t xml:space="preserve">, </w:t>
      </w:r>
      <w:r>
        <w:rPr>
          <w:rtl w:val="true"/>
        </w:rPr>
        <w:t>במטרה לשכנעם להלוות לה כספים לביצוע השקעות בנדל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הציגה המערערת מסמכים כוזבים בדבר הנכסים אשר היו כביכול ברשותה</w:t>
      </w:r>
      <w:r>
        <w:rPr>
          <w:rtl w:val="true"/>
        </w:rPr>
        <w:t xml:space="preserve">, </w:t>
      </w:r>
      <w:r>
        <w:rPr>
          <w:rtl w:val="true"/>
        </w:rPr>
        <w:t>הבטוחות אשר התחייבה להעמיד לטובת השקעות אלה</w:t>
      </w:r>
      <w:r>
        <w:rPr>
          <w:rtl w:val="true"/>
        </w:rPr>
        <w:t xml:space="preserve">, </w:t>
      </w:r>
      <w:r>
        <w:rPr>
          <w:rtl w:val="true"/>
        </w:rPr>
        <w:t>ופרטי ההשקעות</w:t>
      </w:r>
      <w:r>
        <w:rPr>
          <w:rtl w:val="true"/>
        </w:rPr>
        <w:t xml:space="preserve">, </w:t>
      </w:r>
      <w:r>
        <w:rPr>
          <w:rtl w:val="true"/>
        </w:rPr>
        <w:t>תוך ניצול יחסי האמון אשר טיפחה עם קורבנותיה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24,193,817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הכנסות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נקלעה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מכספיהם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בפרט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בן זוגה לשעבר אשר הפקיד את הוֹנוֹ בידיה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נטען כי המערערת קשרה קשר עם אחרים שפעלו בשמה וסחטו באיומים את עו</w:t>
      </w:r>
      <w:r>
        <w:rPr>
          <w:rtl w:val="true"/>
        </w:rPr>
        <w:t>"</w:t>
      </w:r>
      <w:r>
        <w:rPr>
          <w:rtl w:val="true"/>
        </w:rPr>
        <w:t xml:space="preserve">ד יהודה זינגר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עורך הדין</w:t>
      </w:r>
      <w:r>
        <w:rPr>
          <w:rtl w:val="true"/>
        </w:rPr>
        <w:t xml:space="preserve">), </w:t>
      </w:r>
      <w:r>
        <w:rPr>
          <w:rtl w:val="true"/>
        </w:rPr>
        <w:t>אשר שימש כעורך דינה בתקופה הרלוונטית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וניסח עבורה חוזים רבים </w:t>
      </w:r>
      <w:r>
        <w:rPr>
          <w:rtl w:val="true"/>
        </w:rPr>
        <w:t>–</w:t>
      </w:r>
      <w:r>
        <w:rPr>
          <w:rtl w:val="true"/>
        </w:rPr>
        <w:t xml:space="preserve"> בהם חוזי הלוואה שלפיהם הועברו לידי המערערת הכספים האמורים במרמה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שהטיח במערערת ובאחרים מטעמה כי היא חבה ללקוחותיו מיליוני שקלים</w:t>
      </w:r>
      <w:r>
        <w:rPr>
          <w:rtl w:val="true"/>
        </w:rPr>
        <w:t xml:space="preserve">, </w:t>
      </w:r>
      <w:r>
        <w:rPr>
          <w:rtl w:val="true"/>
        </w:rPr>
        <w:t>והגיש תלונה במשטרה בנוגע לעבירות המרמה שביצעה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למערערת עבירות קבלת דבר במרמה וקבלת דבר במרמה בנסיבות מחמירות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התשל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ז</w:t>
      </w:r>
      <w:r>
        <w:rPr>
          <w:rFonts w:ascii="FrankRuehl" w:hAnsi="FrankRuehl" w:cs="FrankRuehl"/>
          <w:rtl w:val="true"/>
        </w:rPr>
        <w:t>–</w:t>
      </w:r>
      <w:r>
        <w:rPr>
          <w:rFonts w:cs="FrankRuehl" w:ascii="FrankRuehl" w:hAnsi="FrankRuehl"/>
        </w:rPr>
        <w:t>1977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ascii="FrankRuehl" w:hAnsi="FrankRuehl" w:cs="FrankRuehl"/>
          <w:rtl w:val="true"/>
        </w:rPr>
        <w:t>להלן</w:t>
      </w:r>
      <w:r>
        <w:rPr>
          <w:rFonts w:cs="FrankRuehl" w:ascii="FrankRuehl" w:hAnsi="FrankRuehl"/>
          <w:rtl w:val="true"/>
        </w:rPr>
        <w:t xml:space="preserve">: </w:t>
      </w:r>
      <w:r>
        <w:rPr>
          <w:rStyle w:val="Emphasis"/>
          <w:rtl w:val="true"/>
        </w:rPr>
        <w:t>חוק העונשין</w:t>
      </w:r>
      <w:r>
        <w:rPr>
          <w:rFonts w:ascii="FrankRuehl" w:hAnsi="FrankRuehl" w:cs="FrankRuehl"/>
          <w:rtl w:val="true"/>
        </w:rPr>
        <w:t xml:space="preserve"> או </w:t>
      </w:r>
      <w:r>
        <w:rPr>
          <w:rStyle w:val="Emphasis"/>
          <w:rtl w:val="true"/>
        </w:rPr>
        <w:t>החוק</w:t>
      </w:r>
      <w:r>
        <w:rPr>
          <w:rFonts w:cs="FrankRuehl" w:ascii="FrankRuehl" w:hAnsi="FrankRuehl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זיוף מסמך בכוונה לקבל דבר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; </w:t>
      </w:r>
      <w:r>
        <w:rPr>
          <w:rtl w:val="true"/>
        </w:rPr>
        <w:t xml:space="preserve">שימוש במסמך מזויף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ניסיון לקבלת דבר במרמה 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הלבנת הון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לאיסור הלבנת הון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ascii="FrankRuehl" w:hAnsi="FrankRuehl" w:cs="FrankRuehl"/>
          <w:rtl w:val="true"/>
        </w:rPr>
        <w:t>–</w:t>
      </w:r>
      <w:r>
        <w:rPr/>
        <w:t>2000</w:t>
      </w:r>
      <w:r>
        <w:rPr>
          <w:rtl w:val="true"/>
        </w:rPr>
        <w:t xml:space="preserve">; </w:t>
      </w:r>
      <w:r>
        <w:rPr>
          <w:rtl w:val="true"/>
        </w:rPr>
        <w:t xml:space="preserve">שימוש במרמה ערמה או תחבולה בכוונה להתחמק מתשלום מס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]; </w:t>
      </w:r>
      <w:r>
        <w:rPr>
          <w:rtl w:val="true"/>
        </w:rPr>
        <w:t>השמטת הכנסה מדו</w:t>
      </w:r>
      <w:r>
        <w:rPr>
          <w:rtl w:val="true"/>
        </w:rPr>
        <w:t>"</w:t>
      </w:r>
      <w:r>
        <w:rPr>
          <w:rtl w:val="true"/>
        </w:rPr>
        <w:t xml:space="preserve">ח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 זו</w:t>
      </w:r>
      <w:r>
        <w:rPr>
          <w:rtl w:val="true"/>
        </w:rPr>
        <w:t xml:space="preserve">;  </w:t>
      </w:r>
      <w:r>
        <w:rPr>
          <w:rtl w:val="true"/>
        </w:rPr>
        <w:t xml:space="preserve">קשירת קשר לביצוע פשע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וסחיטה באיומים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בהכרעת דינו המפורטת והמנומקת</w:t>
      </w:r>
      <w:r>
        <w:rPr>
          <w:rtl w:val="true"/>
        </w:rPr>
        <w:t xml:space="preserve">, </w:t>
      </w:r>
      <w:r>
        <w:rPr>
          <w:rtl w:val="true"/>
        </w:rPr>
        <w:t>הנפרשת על פני למעלה מ</w:t>
      </w:r>
      <w:r>
        <w:rPr>
          <w:rtl w:val="true"/>
        </w:rPr>
        <w:t>-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המערערת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במרבית העבירות אשר יוחסו לה בכתב האישום</w:t>
      </w:r>
      <w:r>
        <w:rPr>
          <w:rtl w:val="true"/>
        </w:rPr>
        <w:t xml:space="preserve">, </w:t>
      </w:r>
      <w:r>
        <w:rPr>
          <w:rtl w:val="true"/>
        </w:rPr>
        <w:t>וזיכה אותה מקצתן מחמת הספק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מאחר שבמסגרת הערעור דנן</w:t>
      </w:r>
      <w:r>
        <w:rPr>
          <w:rtl w:val="true"/>
        </w:rPr>
        <w:t xml:space="preserve">, </w:t>
      </w:r>
      <w:r>
        <w:rPr>
          <w:rtl w:val="true"/>
        </w:rPr>
        <w:t>המערערת אינה מפנה את טענותיה כלפי ממצאי עובדה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אציין בקצרה כי בהכרעת הדין נקבע שהמערערת ניהלה פרשיית מרמה מתוחכמת</w:t>
      </w:r>
      <w:r>
        <w:rPr>
          <w:rtl w:val="true"/>
        </w:rPr>
        <w:t xml:space="preserve">, </w:t>
      </w:r>
      <w:r>
        <w:rPr>
          <w:rtl w:val="true"/>
        </w:rPr>
        <w:t>רחבת היקף וממושכת כלפי מכריה</w:t>
      </w:r>
      <w:r>
        <w:rPr>
          <w:rtl w:val="true"/>
        </w:rPr>
        <w:t xml:space="preserve">, </w:t>
      </w:r>
      <w:r>
        <w:rPr>
          <w:rtl w:val="true"/>
        </w:rPr>
        <w:t>בני ומשפחתה וגורמים נוספים</w:t>
      </w:r>
      <w:r>
        <w:rPr>
          <w:rtl w:val="true"/>
        </w:rPr>
        <w:t xml:space="preserve">. </w:t>
      </w:r>
      <w:r>
        <w:rPr>
          <w:rtl w:val="true"/>
        </w:rPr>
        <w:t>בשים לב לזיכויה מחלק מהעבירות אשר יוחסו למערערת</w:t>
      </w:r>
      <w:r>
        <w:rPr>
          <w:rtl w:val="true"/>
        </w:rPr>
        <w:t xml:space="preserve">, </w:t>
      </w:r>
      <w:r>
        <w:rPr>
          <w:rtl w:val="true"/>
        </w:rPr>
        <w:t>נקבע כי היא קיבלה במרמה סכום כולל של למעלה מ</w:t>
      </w:r>
      <w:r>
        <w:rPr>
          <w:rtl w:val="true"/>
        </w:rPr>
        <w:t>-</w:t>
      </w:r>
      <w:r>
        <w:rPr/>
        <w:t>18,000,000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;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זוכתה המערערת 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 מרמה מחמת הספק</w:t>
      </w:r>
      <w:r>
        <w:rPr>
          <w:rtl w:val="true"/>
        </w:rPr>
        <w:t xml:space="preserve">, </w:t>
      </w:r>
      <w:r>
        <w:rPr>
          <w:rtl w:val="true"/>
        </w:rPr>
        <w:t>אשר עיקרו בשאלה בדבר קיומו של קשר סיבתי בין מצגי השווא שהציגה לבין החלטת מקורביה למסור לידיה את כספם</w:t>
      </w:r>
      <w:r>
        <w:rPr>
          <w:rtl w:val="true"/>
        </w:rPr>
        <w:t xml:space="preserve">; </w:t>
      </w:r>
      <w:r>
        <w:rPr>
          <w:rtl w:val="true"/>
        </w:rPr>
        <w:t>מעבירת ניסיון לקבלת דבר במרמה</w:t>
      </w:r>
      <w:r>
        <w:rPr>
          <w:rtl w:val="true"/>
        </w:rPr>
        <w:t xml:space="preserve">; </w:t>
      </w:r>
      <w:r>
        <w:rPr>
          <w:rtl w:val="true"/>
        </w:rPr>
        <w:t>ומעבירת הסחיטה אשר יוחסה לה</w:t>
      </w:r>
      <w:r>
        <w:rPr>
          <w:rtl w:val="true"/>
        </w:rPr>
        <w:t xml:space="preserve">, </w:t>
      </w:r>
      <w:r>
        <w:rPr>
          <w:rtl w:val="true"/>
        </w:rPr>
        <w:t>מחמת הספק ביחס למעורבותה במעשים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27.6.2019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מדיניות הענישה הנוהגת ביחס לעבירות דומות</w:t>
      </w:r>
      <w:r>
        <w:rPr>
          <w:rtl w:val="true"/>
        </w:rPr>
        <w:t xml:space="preserve">, </w:t>
      </w:r>
      <w:r>
        <w:rPr>
          <w:rtl w:val="true"/>
        </w:rPr>
        <w:t>ועל הפגיעה החמורה שגרמה המערערת לערכים המוגנים של חופש הרצון</w:t>
      </w:r>
      <w:r>
        <w:rPr>
          <w:rtl w:val="true"/>
        </w:rPr>
        <w:t xml:space="preserve">, </w:t>
      </w:r>
      <w:r>
        <w:rPr>
          <w:rtl w:val="true"/>
        </w:rPr>
        <w:t>הפעולה והבחירה של הפרט</w:t>
      </w:r>
      <w:r>
        <w:rPr>
          <w:rtl w:val="true"/>
        </w:rPr>
        <w:t xml:space="preserve">; </w:t>
      </w:r>
      <w:r>
        <w:rPr>
          <w:rtl w:val="true"/>
        </w:rPr>
        <w:t>בהגינות ובאמון הדרושים לשם קיומם של חיי מסחר תקינים</w:t>
      </w:r>
      <w:r>
        <w:rPr>
          <w:rtl w:val="true"/>
        </w:rPr>
        <w:t xml:space="preserve">; </w:t>
      </w:r>
      <w:r>
        <w:rPr>
          <w:rtl w:val="true"/>
        </w:rPr>
        <w:t>בערכי השוויון המונחים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בבסיס חובת תשלומי מסים</w:t>
      </w:r>
      <w:r>
        <w:rPr>
          <w:rtl w:val="true"/>
        </w:rPr>
        <w:t xml:space="preserve">; </w:t>
      </w:r>
      <w:r>
        <w:rPr>
          <w:rtl w:val="true"/>
        </w:rPr>
        <w:t>ובערך שבמניעת פעילות עבריינית אשר בעטיו נקבעו איסורים על הלבנת הון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; </w:t>
      </w:r>
      <w:r>
        <w:rPr>
          <w:rtl w:val="true"/>
        </w:rPr>
        <w:t>לריבוי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לחלקה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",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המבוגרים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ותרופות</w:t>
      </w:r>
      <w:r>
        <w:rPr>
          <w:rtl w:val="true"/>
        </w:rPr>
        <w:t xml:space="preserve">, </w:t>
      </w:r>
      <w:r>
        <w:rPr>
          <w:rtl w:val="true"/>
        </w:rPr>
        <w:t>ושקע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בייאוש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מהוריו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ובטענותיה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שבחסותם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tl w:val="true"/>
        </w:rPr>
        <w:t xml:space="preserve">, </w:t>
      </w:r>
      <w:r>
        <w:rPr>
          <w:rtl w:val="true"/>
        </w:rPr>
        <w:t>וטענותיה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לאור מכלול שיקולים אלו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המחוזי על המערערת עונשים של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שנות מאסר בפועל בניכוי תקופת מעצרה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תשוב ותבצע עבירה מהעבירות שבהן היא הורשעה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שחרורה ממאסר</w:t>
      </w:r>
      <w:r>
        <w:rPr>
          <w:rtl w:val="true"/>
        </w:rPr>
        <w:t xml:space="preserve">; </w:t>
      </w:r>
      <w:r>
        <w:rPr>
          <w:rtl w:val="true"/>
        </w:rPr>
        <w:t xml:space="preserve">קנס בגובה </w:t>
      </w:r>
      <w:r>
        <w:rPr/>
        <w:t>1,200,000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; </w:t>
      </w:r>
      <w:r>
        <w:rPr>
          <w:rtl w:val="true"/>
        </w:rPr>
        <w:t>ופיצוי למתלוננים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2,300,000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הערעור בענייננו הופנה בתחילה הן כלפי הכרעת הדין הן כלפי גזר 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בדיון שהתקיים לפנינו מיקדה באת כוח המערערת את טענותיה כלפי חומרת העונש שנגזר עליה</w:t>
      </w:r>
      <w:r>
        <w:rPr>
          <w:rtl w:val="true"/>
        </w:rPr>
        <w:t xml:space="preserve">, </w:t>
      </w:r>
      <w:r>
        <w:rPr>
          <w:rtl w:val="true"/>
        </w:rPr>
        <w:t>והסכימה לצמצם את טענותיה לעניין זה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גירושיה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קורבנותיה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מהמשקיעים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המזדמנים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הונתה</w:t>
      </w:r>
      <w:r>
        <w:rPr>
          <w:rtl w:val="true"/>
        </w:rPr>
        <w:t xml:space="preserve">; </w:t>
      </w:r>
      <w:r>
        <w:rPr>
          <w:rtl w:val="true"/>
        </w:rPr>
        <w:t>ושמו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מבוטלות</w:t>
      </w:r>
      <w:r>
        <w:rPr>
          <w:rtl w:val="true"/>
        </w:rPr>
        <w:t xml:space="preserve">";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לקביעותיו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;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טרחה</w:t>
      </w:r>
      <w:r>
        <w:rPr>
          <w:rtl w:val="true"/>
        </w:rPr>
        <w:t xml:space="preserve">; </w:t>
      </w:r>
      <w:r>
        <w:rPr>
          <w:rtl w:val="true"/>
        </w:rPr>
        <w:t>ולחקירתו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 כוח המשיבה יש לדחות את הערעור</w:t>
      </w:r>
      <w:r>
        <w:rPr>
          <w:rtl w:val="true"/>
        </w:rPr>
        <w:t xml:space="preserve">, </w:t>
      </w:r>
      <w:r>
        <w:rPr>
          <w:rtl w:val="true"/>
        </w:rPr>
        <w:t>שכן לשיטתו</w:t>
      </w:r>
      <w:r>
        <w:rPr>
          <w:rtl w:val="true"/>
        </w:rPr>
        <w:t xml:space="preserve">, </w:t>
      </w:r>
      <w:r>
        <w:rPr>
          <w:rtl w:val="true"/>
        </w:rPr>
        <w:t>העונש אשר נגזר על המערערת אינו חמור באופן המצדיק את התערבותו של בית משפט זה</w:t>
      </w:r>
      <w:r>
        <w:rPr>
          <w:rtl w:val="true"/>
        </w:rPr>
        <w:t xml:space="preserve">; </w:t>
      </w:r>
      <w:r>
        <w:rPr>
          <w:rtl w:val="true"/>
        </w:rPr>
        <w:t>ואף בטענות המערערת לאכיפה בררנית אין 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למקורביה</w:t>
      </w:r>
      <w:r>
        <w:rPr>
          <w:rtl w:val="true"/>
        </w:rPr>
        <w:t xml:space="preserve">,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משקיעים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מכספם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משהמעורבים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6469/19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אבו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דקה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27.11.2019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 מצאתי ממש בטענות המערערת לאכיפה בררנית העשויה להצדיק הקלה בעונשה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שנקבע לא אחת</w:t>
      </w:r>
      <w:r>
        <w:rPr>
          <w:rtl w:val="true"/>
        </w:rPr>
        <w:t xml:space="preserve">, </w:t>
      </w:r>
      <w:r>
        <w:rPr>
          <w:rtl w:val="true"/>
        </w:rPr>
        <w:t>אין בעצם החלטת רשויות התביעה להעמיד לדין חלק מהמעורבים בביצוע עבירה כדי לבסס טענה לקיומה של אכיפה בררנית</w:t>
      </w:r>
      <w:r>
        <w:rPr>
          <w:rtl w:val="true"/>
        </w:rPr>
        <w:t xml:space="preserve">. </w:t>
      </w:r>
      <w:r>
        <w:rPr>
          <w:rtl w:val="true"/>
        </w:rPr>
        <w:t>על פי רוב</w:t>
      </w:r>
      <w:r>
        <w:rPr>
          <w:rtl w:val="true"/>
        </w:rPr>
        <w:t xml:space="preserve">, </w:t>
      </w:r>
      <w:r>
        <w:rPr>
          <w:rtl w:val="true"/>
        </w:rPr>
        <w:t>טענה מעין זו תתקבל כאשר ניתן להצביע על שיקולים זרים או שרירותיות בהחלטת התביעה להגיש כתבי אישום נגד חלק מהמעורבים בעבירה בלבד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במקרים חריגים</w:t>
      </w:r>
      <w:r>
        <w:rPr>
          <w:rtl w:val="true"/>
        </w:rPr>
        <w:t xml:space="preserve">, </w:t>
      </w:r>
      <w:r>
        <w:rPr>
          <w:rtl w:val="true"/>
        </w:rPr>
        <w:t>תתקבל הטענה אף אם לא הוכחה כוונת זדון מצד רשויות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אם התשתית הראייתית אשר בבסיס החשדות כלפי כל אחד מהמעורבים דומה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3806/16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בלטי 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(</w:t>
      </w:r>
      <w:r>
        <w:rPr/>
        <w:t>23.5.2019</w:t>
      </w:r>
      <w:r>
        <w:rPr>
          <w:rtl w:val="true"/>
        </w:rPr>
        <w:t xml:space="preserve">), </w:t>
      </w:r>
      <w:r>
        <w:rPr>
          <w:rtl w:val="true"/>
        </w:rPr>
        <w:t>וההפניות המופיעות שם</w:t>
      </w:r>
      <w:r>
        <w:rPr>
          <w:rtl w:val="true"/>
        </w:rPr>
        <w:t>).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המערערת לא עמדה בנטל המוטל עליה להראות כי עוצמת החשדות כלפי יתר המעורבים בפרשה הצדיקה את העמדתם לדין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להבדלים עליהם הצביע בא כוח המשיבה באשר לתשתית הראייתית שבבסיס החשדות כלפי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למול זו שהתגבשה </w:t>
      </w:r>
      <w:r>
        <w:rPr>
          <w:rtl w:val="true"/>
        </w:rPr>
        <w:t>ביחס</w:t>
      </w:r>
      <w:r>
        <w:rPr>
          <w:rtl w:val="true"/>
        </w:rPr>
        <w:t xml:space="preserve"> לעורך הדין וגורמים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אשר מעורבותם בפרשה לא הוכחה </w:t>
      </w:r>
      <w:r>
        <w:rPr>
          <w:rtl w:val="true"/>
        </w:rPr>
        <w:t>–</w:t>
      </w:r>
      <w:r>
        <w:rPr>
          <w:rtl w:val="true"/>
        </w:rPr>
        <w:t xml:space="preserve"> אף לאחר שנחקרו באזהרה במשטרה</w:t>
      </w:r>
      <w:r>
        <w:rPr>
          <w:rtl w:val="true"/>
        </w:rPr>
        <w:t xml:space="preserve">; </w:t>
      </w:r>
      <w:r>
        <w:rPr>
          <w:rtl w:val="true"/>
        </w:rPr>
        <w:t>לקביעת בית המשפט המחוזי שלפיה לא מצא במידע שאליו הפנתה המערערת כדי לבסס חשד כלפי עורך הדין המצדיק את העמדתו לדין</w:t>
      </w:r>
      <w:r>
        <w:rPr>
          <w:rtl w:val="true"/>
        </w:rPr>
        <w:t xml:space="preserve">; </w:t>
      </w:r>
      <w:r>
        <w:rPr>
          <w:rtl w:val="true"/>
        </w:rPr>
        <w:t>ולגרסת המתלוננת עצמה בעדותה בבית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עורך הדין לא פעל באופן פסול</w:t>
      </w:r>
      <w:r>
        <w:rPr>
          <w:rtl w:val="true"/>
        </w:rPr>
        <w:t xml:space="preserve">, </w:t>
      </w:r>
      <w:r>
        <w:rPr>
          <w:rtl w:val="true"/>
        </w:rPr>
        <w:t>לכל הפחות עד לקריסתה הכלכלית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משנבדקו החשדות כלפי יתר הגורמים אשר נטען כי היו מעורבים בפרשה</w:t>
      </w:r>
      <w:r>
        <w:rPr>
          <w:rtl w:val="true"/>
        </w:rPr>
        <w:t xml:space="preserve">, </w:t>
      </w:r>
      <w:r>
        <w:rPr>
          <w:rtl w:val="true"/>
        </w:rPr>
        <w:t>והוחלט כי אין תשתית ראייתית מספקת להעמדתם לדין</w:t>
      </w:r>
      <w:r>
        <w:rPr>
          <w:rtl w:val="true"/>
        </w:rPr>
        <w:t xml:space="preserve">; </w:t>
      </w:r>
      <w:r>
        <w:rPr>
          <w:rtl w:val="true"/>
        </w:rPr>
        <w:t xml:space="preserve">ומשהמערערת לא הצביעה על </w:t>
      </w:r>
      <w:r>
        <w:rPr>
          <w:rtl w:val="true"/>
        </w:rPr>
        <w:t>פגם</w:t>
      </w:r>
      <w:r>
        <w:rPr>
          <w:rtl w:val="true"/>
        </w:rPr>
        <w:t xml:space="preserve"> בהחלטה זו של רשויות החקירה</w:t>
      </w:r>
      <w:r>
        <w:rPr>
          <w:rtl w:val="true"/>
        </w:rPr>
        <w:t xml:space="preserve">, </w:t>
      </w:r>
      <w:r>
        <w:rPr>
          <w:rtl w:val="true"/>
        </w:rPr>
        <w:t>לא מצאתי כי ההחלטה להעמידה לדין עולה כדי אכיפה בררנית באופן המצדיק הקלה בעונשה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איני סבור כי עונשה של המערערת חמור במידה המצדיקה את התערבותו של בית משפט זה בשבתו כערכאת 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;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</w:t>
      </w:r>
      <w:r>
        <w:rPr>
          <w:rtl w:val="true"/>
        </w:rPr>
        <w:t xml:space="preserve">.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ותרופות</w:t>
      </w:r>
      <w:r>
        <w:rPr>
          <w:rtl w:val="true"/>
        </w:rPr>
        <w:t xml:space="preserve">, </w:t>
      </w:r>
      <w:r>
        <w:rPr>
          <w:rtl w:val="true"/>
        </w:rPr>
        <w:t>ונקלע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פירעון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 נעלם מעיני פרק הזמן הממושך שבו שהתה המערערת במעצר מאחורי סורג ובריח</w:t>
      </w:r>
      <w:r>
        <w:rPr>
          <w:rtl w:val="true"/>
        </w:rPr>
        <w:t xml:space="preserve">. </w:t>
      </w:r>
      <w:r>
        <w:rPr>
          <w:rtl w:val="true"/>
        </w:rPr>
        <w:t>אף שאין בכך כדי לשנות ממסקנתי</w:t>
      </w:r>
      <w:r>
        <w:rPr>
          <w:rtl w:val="true"/>
        </w:rPr>
        <w:t xml:space="preserve">, </w:t>
      </w:r>
      <w:r>
        <w:rPr>
          <w:rtl w:val="true"/>
        </w:rPr>
        <w:t>הרי שלגישתי היה ותתמיד בקשר הטיפולי עם גורמי הטיפול בשירות בית הסוהר</w:t>
      </w:r>
      <w:r>
        <w:rPr>
          <w:rtl w:val="true"/>
        </w:rPr>
        <w:t xml:space="preserve">, </w:t>
      </w:r>
      <w:r>
        <w:rPr>
          <w:rtl w:val="true"/>
        </w:rPr>
        <w:t>אזי הדבר עשוי לעמוד לזכותה בפני ועדת השחרורים לעניין שחרורה המוקדם על תנאי</w:t>
      </w:r>
      <w:r>
        <w:rPr>
          <w:rtl w:val="true"/>
        </w:rPr>
        <w:t xml:space="preserve">, </w:t>
      </w:r>
      <w:r>
        <w:rPr>
          <w:rtl w:val="true"/>
        </w:rPr>
        <w:t xml:space="preserve">כחלק מבחינת מכלול נסיבותיה האישיות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ascii="FrankRuehl" w:hAnsi="FrankRuehl" w:cs="FrankRuehl"/>
          <w:rtl w:val="true"/>
        </w:rPr>
        <w:t>–</w:t>
      </w:r>
      <w:r>
        <w:rPr/>
        <w:t>2001</w:t>
      </w:r>
      <w:r>
        <w:rPr>
          <w:rtl w:val="true"/>
        </w:rPr>
        <w:t>.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28.12.2020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19058050</w:t>
      </w:r>
      <w:r>
        <w:rPr>
          <w:sz w:val="16"/>
          <w:rtl w:val="true"/>
        </w:rPr>
        <w:t>_</w:t>
      </w:r>
      <w:r>
        <w:rPr>
          <w:sz w:val="16"/>
        </w:rPr>
        <w:t>J14.docx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נ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הנדל </w:t>
      </w:r>
      <w:r>
        <w:rPr>
          <w:rFonts w:cs="David;David" w:ascii="David;David" w:hAnsi="David;David"/>
          <w:color w:val="000000"/>
          <w:szCs w:val="22"/>
        </w:rPr>
        <w:t>54678313-5805/19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5805/19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מיכל קליינמן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ascii="FrankRuehl" w:hAnsi="FrankRuehl" w:cs="FrankRuehl"/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1"/>
    <w:next w:val="Ruller42"/>
    <w:qFormat/>
    <w:pPr>
      <w:keepNext w:val="true"/>
      <w:numPr>
        <w:ilvl w:val="0"/>
        <w:numId w:val="1"/>
      </w:numPr>
      <w:spacing w:before="150" w:after="150"/>
      <w:jc w:val="start"/>
      <w:outlineLvl w:val="0"/>
    </w:pPr>
    <w:rPr>
      <w:rFonts w:ascii="Century" w:hAnsi="Century" w:cs="Miriam"/>
      <w:b/>
      <w:spacing w:val="0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David"/>
    </w:rPr>
  </w:style>
  <w:style w:type="character" w:styleId="CharChar1">
    <w:name w:val=" Char Char1"/>
    <w:qFormat/>
    <w:rPr>
      <w:rFonts w:cs="David;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spacing w:before="0" w:after="420"/>
    </w:pPr>
    <w:rPr>
      <w:rFonts w:ascii="Garamond" w:hAnsi="Garamond" w:cs="Garamond"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0636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0301/418" TargetMode="External"/><Relationship Id="rId7" Type="http://schemas.openxmlformats.org/officeDocument/2006/relationships/hyperlink" Target="http://www.nevo.co.il/law/70301/420" TargetMode="External"/><Relationship Id="rId8" Type="http://schemas.openxmlformats.org/officeDocument/2006/relationships/hyperlink" Target="http://www.nevo.co.il/law/70301/428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4345" TargetMode="External"/><Relationship Id="rId11" Type="http://schemas.openxmlformats.org/officeDocument/2006/relationships/hyperlink" Target="http://www.nevo.co.il/law/74345/3.a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/220.1" TargetMode="External"/><Relationship Id="rId14" Type="http://schemas.openxmlformats.org/officeDocument/2006/relationships/hyperlink" Target="http://www.nevo.co.il/law/84255/220.5" TargetMode="External"/><Relationship Id="rId15" Type="http://schemas.openxmlformats.org/officeDocument/2006/relationships/hyperlink" Target="http://www.nevo.co.il/law/75025" TargetMode="External"/><Relationship Id="rId16" Type="http://schemas.openxmlformats.org/officeDocument/2006/relationships/hyperlink" Target="http://www.nevo.co.il/law/75025/9.10" TargetMode="External"/><Relationship Id="rId17" Type="http://schemas.openxmlformats.org/officeDocument/2006/relationships/hyperlink" Target="http://www.nevo.co.il/case/20806368" TargetMode="External"/><Relationship Id="rId18" Type="http://schemas.openxmlformats.org/officeDocument/2006/relationships/hyperlink" Target="http://www.nevo.co.il/law/70301/41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18" TargetMode="External"/><Relationship Id="rId21" Type="http://schemas.openxmlformats.org/officeDocument/2006/relationships/hyperlink" Target="http://www.nevo.co.il/law/70301/420" TargetMode="External"/><Relationship Id="rId22" Type="http://schemas.openxmlformats.org/officeDocument/2006/relationships/hyperlink" Target="http://www.nevo.co.il/law/70301/415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4345/3.a" TargetMode="External"/><Relationship Id="rId25" Type="http://schemas.openxmlformats.org/officeDocument/2006/relationships/hyperlink" Target="http://www.nevo.co.il/law/84255/220.5" TargetMode="External"/><Relationship Id="rId26" Type="http://schemas.openxmlformats.org/officeDocument/2006/relationships/hyperlink" Target="http://www.nevo.co.il/law/84255" TargetMode="External"/><Relationship Id="rId27" Type="http://schemas.openxmlformats.org/officeDocument/2006/relationships/hyperlink" Target="http://www.nevo.co.il/law/84255/220.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428" TargetMode="External"/><Relationship Id="rId30" Type="http://schemas.openxmlformats.org/officeDocument/2006/relationships/hyperlink" Target="http://www.nevo.co.il/case/26082398" TargetMode="External"/><Relationship Id="rId31" Type="http://schemas.openxmlformats.org/officeDocument/2006/relationships/hyperlink" Target="http://www.nevo.co.il/case/21474075" TargetMode="External"/><Relationship Id="rId32" Type="http://schemas.openxmlformats.org/officeDocument/2006/relationships/hyperlink" Target="http://www.nevo.co.il/law/75025/9.10" TargetMode="External"/><Relationship Id="rId33" Type="http://schemas.openxmlformats.org/officeDocument/2006/relationships/hyperlink" Target="http://www.nevo.co.il/law/75025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2020-12-29T09:52:00Z</dcterms:created>
  <dc:creator>h4</dc:creator>
  <dc:description/>
  <cp:keywords/>
  <dc:language>en-IL</dc:language>
  <cp:lastModifiedBy>orly</cp:lastModifiedBy>
  <cp:lastPrinted>2020-12-28T09:05:00Z</cp:lastPrinted>
  <dcterms:modified xsi:type="dcterms:W3CDTF">2020-12-29T09:52:00Z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מיכל קליינמן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ישראל;איילת אנטוניר;יוסי סידי;בן ציון ג'אן;רפאל יצחק;עמיקם גרשונוביץ;ג'ורג' בן ימין;שי ברנס;אורלי ורונן בן ארוש;בנק הפועלים;בנק דיסקונט;בנק לאומי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20806368:2;26082398;21474075</vt:lpwstr>
  </property>
  <property fmtid="{D5CDD505-2E9C-101B-9397-08002B2CF9AE}" pid="9" name="CITY">
    <vt:lpwstr/>
  </property>
  <property fmtid="{D5CDD505-2E9C-101B-9397-08002B2CF9AE}" pid="10" name="DATE">
    <vt:lpwstr>20201228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מינץ;י' אלרון</vt:lpwstr>
  </property>
  <property fmtid="{D5CDD505-2E9C-101B-9397-08002B2CF9AE}" pid="14" name="LAWLISTTMP1">
    <vt:lpwstr>70301/415:2;418;420;025;499.a.1;428</vt:lpwstr>
  </property>
  <property fmtid="{D5CDD505-2E9C-101B-9397-08002B2CF9AE}" pid="15" name="LAWLISTTMP2">
    <vt:lpwstr>74345/003.a</vt:lpwstr>
  </property>
  <property fmtid="{D5CDD505-2E9C-101B-9397-08002B2CF9AE}" pid="16" name="LAWLISTTMP3">
    <vt:lpwstr>84255/220.5;220.1</vt:lpwstr>
  </property>
  <property fmtid="{D5CDD505-2E9C-101B-9397-08002B2CF9AE}" pid="17" name="LAWLISTTMP4">
    <vt:lpwstr>75025/009.10</vt:lpwstr>
  </property>
  <property fmtid="{D5CDD505-2E9C-101B-9397-08002B2CF9AE}" pid="18" name="LAWYER">
    <vt:lpwstr>חיים שוויצר;רועי לוס;דנה אלון;מורן כרמון;נועה זעירא;ברכה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18;18;77</vt:lpwstr>
  </property>
  <property fmtid="{D5CDD505-2E9C-101B-9397-08002B2CF9AE}" pid="40" name="NOSE21">
    <vt:lpwstr>ערעור</vt:lpwstr>
  </property>
  <property fmtid="{D5CDD505-2E9C-101B-9397-08002B2CF9AE}" pid="41" name="NOSE210">
    <vt:lpwstr/>
  </property>
  <property fmtid="{D5CDD505-2E9C-101B-9397-08002B2CF9AE}" pid="42" name="NOSE22">
    <vt:lpwstr>העמדה לדין</vt:lpwstr>
  </property>
  <property fmtid="{D5CDD505-2E9C-101B-9397-08002B2CF9AE}" pid="43" name="NOSE23">
    <vt:lpwstr>ענישה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504;463;1446</vt:lpwstr>
  </property>
  <property fmtid="{D5CDD505-2E9C-101B-9397-08002B2CF9AE}" pid="51" name="NOSE31">
    <vt:lpwstr>אי-התערבות במידת העונש</vt:lpwstr>
  </property>
  <property fmtid="{D5CDD505-2E9C-101B-9397-08002B2CF9AE}" pid="52" name="NOSE310">
    <vt:lpwstr/>
  </property>
  <property fmtid="{D5CDD505-2E9C-101B-9397-08002B2CF9AE}" pid="53" name="NOSE32">
    <vt:lpwstr>אכיפה בררנית</vt:lpwstr>
  </property>
  <property fmtid="{D5CDD505-2E9C-101B-9397-08002B2CF9AE}" pid="54" name="NOSE33">
    <vt:lpwstr>מדיניות ענישה: עבירות מרמה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17039;17165;15166</vt:lpwstr>
  </property>
  <property fmtid="{D5CDD505-2E9C-101B-9397-08002B2CF9AE}" pid="62" name="PADIDATE">
    <vt:lpwstr>20201229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5805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410120201228</vt:lpwstr>
  </property>
  <property fmtid="{D5CDD505-2E9C-101B-9397-08002B2CF9AE}" pid="72" name="TYPE_N_DATE">
    <vt:lpwstr>41020201228</vt:lpwstr>
  </property>
  <property fmtid="{D5CDD505-2E9C-101B-9397-08002B2CF9AE}" pid="73" name="VOLUME">
    <vt:lpwstr/>
  </property>
  <property fmtid="{D5CDD505-2E9C-101B-9397-08002B2CF9AE}" pid="74" name="WORDNUMPAGES">
    <vt:lpwstr>10</vt:lpwstr>
  </property>
</Properties>
</file>