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5806/22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חיות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וילנר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>ת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מוחמד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גריפאת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נצרת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45953-01-21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18.7.2022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הנשיאה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הלמן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שטרית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ס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דבור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בחשון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07.11.2022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אפרת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גולדשטיין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רוזן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תומר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שוורץ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Style w:val="Hyperlink"/>
        </w:rPr>
      </w:pPr>
      <w:r>
        <w:rPr>
          <w:rFonts w:ascii="FrankRuehl" w:hAnsi="FrankRuehl" w:cs="FrankRuehl"/>
          <w:sz w:val="24"/>
          <w:sz w:val="24"/>
          <w:rtl w:val="true"/>
        </w:rPr>
        <w:t>כתבי עת</w:t>
      </w:r>
      <w:hyperlink r:id="rId3">
        <w:r>
          <w:rPr>
            <w:rFonts w:cs="FrankRuehl" w:ascii="FrankRuehl" w:hAnsi="FrankRuehl"/>
            <w:sz w:val="24"/>
            <w:rtl w:val="true"/>
          </w:rPr>
          <w:t>: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4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יצחק קוגלר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, 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שני מושגים של אדישות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עלי משפט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ה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תשס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ו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  <w:u w:val="none"/>
          </w:rPr>
          <w:t>109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5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מרים גור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אריה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, 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הרפורמה בעבירות ההמתה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: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על מדרג עבירות ההמתה ועל רצח מתוך אדישות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ספר יעקב וינרוט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,  (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גרשון גונטובניק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אבי וינרוט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חיים זיכרמן עורכים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cs="FrankRuehl" w:ascii="FrankRuehl" w:hAnsi="FrankRuehl"/>
            <w:sz w:val="24"/>
            <w:u w:val="none"/>
          </w:rPr>
          <w:t>2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  <w:u w:val="none"/>
          </w:rPr>
          <w:t>441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6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מרים גור אריה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, 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הרפורמה המוצעת לעבירות ההמתה במשפט הישראלי לאור עקרון האשמה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משפטים על אתר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ה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תשע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ג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  <w:u w:val="none"/>
          </w:rPr>
          <w:t>1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5" w:name="Links_Kitvei_End"/>
      <w:bookmarkStart w:id="6" w:name="Links_Kitvei_End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7" w:name="Links_Start"/>
      <w:bookmarkEnd w:id="7"/>
      <w:r>
        <w:rPr>
          <w:rFonts w:ascii="FrankRuehl" w:hAnsi="FrankRuehl" w:cs="FrankRuehl"/>
          <w:sz w:val="24"/>
          <w:sz w:val="24"/>
          <w:rtl w:val="true"/>
        </w:rPr>
        <w:t>ספרות</w:t>
      </w:r>
      <w:r>
        <w:rPr>
          <w:rFonts w:cs="FrankRuehl" w:ascii="FrankRuehl" w:hAnsi="FrankRuehl"/>
          <w:sz w:val="24"/>
          <w:rtl w:val="true"/>
        </w:rPr>
        <w:t>: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7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מרדכי קרמניצר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חאלד גנאים  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הרפורמה בעבירות ההמתה </w:t>
        </w:r>
        <w:r>
          <w:rPr>
            <w:rStyle w:val="Hyperlink"/>
            <w:rFonts w:cs="FrankRuehl" w:ascii="FrankRuehl" w:hAnsi="FrankRuehl"/>
            <w:b/>
            <w:bCs/>
            <w:sz w:val="24"/>
            <w:u w:val="none"/>
            <w:rtl w:val="true"/>
          </w:rPr>
          <w:t>(</w:t>
        </w:r>
        <w:r>
          <w:rPr>
            <w:rStyle w:val="Hyperlink"/>
            <w:rFonts w:cs="FrankRuehl" w:ascii="FrankRuehl" w:hAnsi="FrankRuehl"/>
            <w:b/>
            <w:bCs/>
            <w:sz w:val="24"/>
            <w:u w:val="none"/>
          </w:rPr>
          <w:t>2019</w:t>
        </w:r>
        <w:r>
          <w:rPr>
            <w:rStyle w:val="Hyperlink"/>
            <w:rFonts w:cs="FrankRuehl" w:ascii="FrankRuehl" w:hAnsi="FrankRuehl"/>
            <w:b/>
            <w:bCs/>
            <w:sz w:val="24"/>
            <w:u w:val="none"/>
            <w:rtl w:val="true"/>
          </w:rPr>
          <w:t xml:space="preserve">)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לאור עקרונות היסוד של המשפט ומחקר היסטורי והשוואתי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  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cs="FrankRuehl" w:ascii="FrankRuehl" w:hAnsi="FrankRuehl"/>
            <w:sz w:val="24"/>
            <w:u w:val="none"/>
          </w:rPr>
          <w:t>2020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Style w:val="Hyperlink"/>
        </w:rPr>
      </w:pPr>
      <w:hyperlink r:id="rId8">
        <w:r>
          <w:rPr>
            <w:rtl w:val="true"/>
          </w:rPr>
        </w:r>
      </w:hyperlink>
      <w:bookmarkStart w:id="8" w:name="LawTable"/>
      <w:bookmarkStart w:id="9" w:name="Links_End"/>
      <w:bookmarkStart w:id="10" w:name="LawTable"/>
      <w:bookmarkStart w:id="11" w:name="Links_End"/>
      <w:bookmarkEnd w:id="10"/>
      <w:bookmarkEnd w:id="11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9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sz w:val="24"/>
            <w:u w:val="none"/>
          </w:rPr>
          <w:t>20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2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1">
        <w:r>
          <w:rPr>
            <w:rStyle w:val="Hyperlink"/>
            <w:rFonts w:cs="FrankRuehl" w:ascii="FrankRuehl" w:hAnsi="FrankRuehl"/>
            <w:sz w:val="24"/>
            <w:u w:val="none"/>
          </w:rPr>
          <w:t>298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sz w:val="24"/>
            <w:u w:val="none"/>
          </w:rPr>
          <w:t>300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3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7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4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ג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12" w:name="LawTable_End"/>
      <w:bookmarkStart w:id="13" w:name="LawTable_End"/>
      <w:bookmarkEnd w:id="13"/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14" w:name="ABSTRACT_START"/>
      <w:bookmarkEnd w:id="14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החמיר בעונשו של אדם שהורשע בעבירה של רצח באדישות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והעמיד אותו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על </w:t>
      </w:r>
      <w:r>
        <w:rPr>
          <w:rFonts w:cs="Times New Roman" w:ascii="Times New Roman" w:hAnsi="Times New Roman"/>
          <w:spacing w:val="0"/>
          <w:szCs w:val="26"/>
        </w:rPr>
        <w:t>14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שנות מאסר בפועל חלף </w:t>
      </w:r>
      <w:r>
        <w:rPr>
          <w:rFonts w:cs="Times New Roman" w:ascii="Times New Roman" w:hAnsi="Times New Roman"/>
          <w:spacing w:val="0"/>
          <w:szCs w:val="26"/>
        </w:rPr>
        <w:t>10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הרפורמה בעבירות ההמתה מבטאת החמרה – מהותית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ערכית ועונשית בענישה במקרה של רצח באדישות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מדיניות הענישה הנוהגת בעבירות ההמתה לאחר הרפורמה עודנה בשלביה הראשונים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והיא נרקמת בהדרגה ממקרה </w:t>
      </w:r>
      <w:r>
        <w:rPr>
          <w:rFonts w:ascii="Times New Roman" w:hAnsi="Times New Roman" w:cs="Times New Roman"/>
          <w:spacing w:val="0"/>
          <w:szCs w:val="26"/>
          <w:rtl w:val="true"/>
        </w:rPr>
        <w:t>למקרה כשמדיניות המחוקק היא המנחה את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Cs w:val="26"/>
          <w:rtl w:val="true"/>
        </w:rPr>
        <w:t>;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נוכח העובדה שקיימות נסיבות שאינן קשורות בביצוע העבירה לזכותו ולחובתו של המשיב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ונוכח שיקולי הרתעת הרבים בעבירות אלימות במרחב הציבורי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העונש 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>גזר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המחוזי </w:t>
      </w:r>
      <w:r>
        <w:rPr>
          <w:rFonts w:ascii="Times New Roman" w:hAnsi="Times New Roman" w:cs="Times New Roman"/>
          <w:spacing w:val="0"/>
          <w:szCs w:val="26"/>
          <w:rtl w:val="true"/>
        </w:rPr>
        <w:t>מקל ע</w:t>
      </w:r>
      <w:r>
        <w:rPr>
          <w:rFonts w:ascii="Times New Roman" w:hAnsi="Times New Roman" w:cs="Times New Roman"/>
          <w:spacing w:val="0"/>
          <w:szCs w:val="26"/>
          <w:rtl w:val="true"/>
        </w:rPr>
        <w:t>ם המשיב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יתר על המידה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עבירת הרצח – רצח באדישות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עונשין – עבירת הרצח – תיקון </w:t>
      </w:r>
      <w:r>
        <w:rPr>
          <w:rFonts w:cs="Times New Roman" w:ascii="Times New Roman" w:hAnsi="Times New Roman"/>
          <w:spacing w:val="0"/>
          <w:szCs w:val="26"/>
        </w:rPr>
        <w:t>137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עבירת רצח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מתחם הענישה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התערבות ערכאת ערעור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ערעור על גז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ד מחוזי בגדרו נגזר על המ</w:t>
      </w:r>
      <w:r>
        <w:rPr>
          <w:rFonts w:ascii="Times New Roman" w:hAnsi="Times New Roman" w:cs="Times New Roman"/>
          <w:spacing w:val="0"/>
          <w:szCs w:val="26"/>
          <w:rtl w:val="true"/>
        </w:rPr>
        <w:t>שיב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עונש של </w:t>
      </w:r>
      <w:r>
        <w:rPr>
          <w:rFonts w:cs="Times New Roman" w:ascii="Times New Roman" w:hAnsi="Times New Roman"/>
          <w:spacing w:val="0"/>
          <w:szCs w:val="26"/>
        </w:rPr>
        <w:t>10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בפועל לצד ענישה נלווית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בגין הרשעתו בעבירת רצח באדישות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הערעור נסוב על קולת העונש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רקע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המשיב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כעס כששמע על פציעת אחיו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הגיע בריצה למקום הקטטה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נטל קרש עץ מסיבי והכה באמצעותו את המנוח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לעיני משפחתו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מכה אחת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בחלק האחורי של ראשו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המנוח היה קרבן אקראי אשר נקלע לאזור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לאחר שהמנוח נפל ארצה מעוצמת המכה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המשיב עזב את המקום ולא הושיט עזרה למנוח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השופט 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אלרון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בהסכמת הנשיאה 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חיות ו השופטת 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וילנר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Cs w:val="26"/>
          <w:rtl w:val="true"/>
        </w:rPr>
        <w:t>קיבל את הערעור מהטעמים הבאים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המקרה נמנה עם המקרים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החריגים </w:t>
      </w:r>
      <w:r>
        <w:rPr>
          <w:rFonts w:ascii="Times New Roman" w:hAnsi="Times New Roman" w:cs="Times New Roman"/>
          <w:spacing w:val="0"/>
          <w:szCs w:val="26"/>
          <w:rtl w:val="true"/>
        </w:rPr>
        <w:t>המצדיקים את התערבות ערכאת הערעור – העונש אשר הושת על המשיב מקל עמו יתר על המידה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אינו הולם את חומרת מעשיו וסוטה במידה ניכרת לקולה ממדיניות הענישה </w:t>
      </w:r>
      <w:r>
        <w:rPr>
          <w:rFonts w:ascii="Times New Roman" w:hAnsi="Times New Roman" w:cs="Times New Roman"/>
          <w:spacing w:val="0"/>
          <w:szCs w:val="26"/>
          <w:rtl w:val="true"/>
        </w:rPr>
        <w:t>הנוהגת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בפרט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נוכח הרפורמה בעבירות ההמתה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היסוד הנפשי של אדישות מוגדר </w:t>
      </w:r>
      <w:hyperlink r:id="rId15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בסעיף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20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)(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2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)(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hyperlink r:id="rId16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חוק העונשין</w:t>
        </w:r>
      </w:hyperlink>
      <w:r>
        <w:rPr>
          <w:rFonts w:ascii="Times New Roman" w:hAnsi="Times New Roman" w:cs="Times New Roman"/>
          <w:spacing w:val="0"/>
          <w:szCs w:val="26"/>
          <w:rtl w:val="true"/>
        </w:rPr>
        <w:t xml:space="preserve"> כ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שוויון נפש לאפשרות גרימת התוצאות האמורות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Cs w:val="26"/>
          <w:rtl w:val="true"/>
        </w:rPr>
        <w:t>ביישום לעבירות ההמתה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משמעות הדברים היא כי העושה האדיש לחיי אדם פועל מתוך אדישות לאפשרות גרימת המוות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והוא בוחר לעשות כן אגב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 למרות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פגיעה בערך החברתי המוגן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הרפורמה בעבירות ההמתה החילה שני שינויים משמעותיים על מעשה המתה באדישות – מעשה זה יכונה מעתה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רצח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Cs w:val="26"/>
          <w:rtl w:val="true"/>
        </w:rPr>
        <w:t>על כל המשתמע מכך לגבי עונשו של הרוצח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עונש מרבי של </w:t>
      </w:r>
      <w:r>
        <w:rPr>
          <w:rFonts w:ascii="Times New Roman" w:hAnsi="Times New Roman" w:cs="Times New Roman"/>
          <w:spacing w:val="0"/>
          <w:szCs w:val="26"/>
          <w:rtl w:val="true"/>
        </w:rPr>
        <w:t>מאסר עולם ו</w:t>
      </w:r>
      <w:r>
        <w:rPr>
          <w:rFonts w:cs="Times New Roman" w:ascii="Times New Roman" w:hAnsi="Times New Roman"/>
          <w:spacing w:val="0"/>
          <w:szCs w:val="26"/>
          <w:rtl w:val="true"/>
        </w:rPr>
        <w:t>-"</w:t>
      </w:r>
      <w:r>
        <w:rPr>
          <w:rFonts w:ascii="Times New Roman" w:hAnsi="Times New Roman" w:cs="Times New Roman"/>
          <w:spacing w:val="0"/>
          <w:szCs w:val="26"/>
          <w:rtl w:val="true"/>
        </w:rPr>
        <w:t>אות הקין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שיישא בעקבות מעשיו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רוצח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וכן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כריכתן יחד תחת עבירה אחת של מעשה המתה באדישות ומעשה המתה בכוונה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משמעות שינויים אלו היא כי </w:t>
      </w:r>
      <w:r>
        <w:rPr>
          <w:rFonts w:ascii="Times New Roman" w:hAnsi="Times New Roman" w:cs="Times New Roman"/>
          <w:spacing w:val="0"/>
          <w:szCs w:val="26"/>
          <w:rtl w:val="true"/>
        </w:rPr>
        <w:t>בעיני המחוקק המתה הנעשית ביסוד נפשי של אדישות משקפת יחס שלילי וזלזול ניכר כלפי חיי אדם וכי הרפורמה בעבירות ההמתה מבטאת החמרה – מהותית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ערכית ועונשית בענישה במקרה של רצח באדישות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מדיניות הענישה הנוהגת בעבירות ההמתה לאחר הרפורמה עודנה בשלביה הראשונים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והיא נרקמת בהדרגה ממקרה אחד למשנהו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מדיניות המחוקק ברפורמה בעבירות ההמתה היא המנחה את דרכו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של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העליון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עת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עוסק בעיצוב הענישה בעבירת הרצח באדישות בכלל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ובגזירת עונשו של המשיב דנן בפרט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בענייננו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השרירותיות שבה פעל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המשיב </w:t>
      </w:r>
      <w:r>
        <w:rPr>
          <w:rFonts w:ascii="Times New Roman" w:hAnsi="Times New Roman" w:cs="Times New Roman"/>
          <w:spacing w:val="0"/>
          <w:szCs w:val="26"/>
          <w:rtl w:val="true"/>
        </w:rPr>
        <w:t>בתקפו את המנוח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לא היה לו כל קשר לפגיעה באחיו של המשיב – מחרידה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העובדה כי המשיב הלם בראשו של המנוח מאחור לנגד עיני בני משפחתו של המנוח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מעצימה את חומרת המעשים ואת הכאב הנעוץ באובדן אבי המשפחה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מעשיו של המשיב מבטאים זילות של ערך חיי אדם בעיניו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ו</w:t>
      </w:r>
      <w:r>
        <w:rPr>
          <w:rFonts w:ascii="Times New Roman" w:hAnsi="Times New Roman" w:cs="Times New Roman"/>
          <w:spacing w:val="0"/>
          <w:szCs w:val="26"/>
          <w:rtl w:val="true"/>
        </w:rPr>
        <w:t>חייבים ענישה הולמת ומרתיעה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אולם גזר דינו של ביהמ”ש המחוזי הקל עם המשיב בשני מובנים – הן קביעת גבולות מתחם העונש ההולם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cs="Times New Roman" w:ascii="Times New Roman" w:hAnsi="Times New Roman"/>
          <w:spacing w:val="0"/>
          <w:szCs w:val="26"/>
        </w:rPr>
        <w:t>9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</w:rPr>
        <w:t>15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>)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הן בעונש אשר נגזר עליו בסופו של יום בגדרי המתחם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cs="Times New Roman" w:ascii="Times New Roman" w:hAnsi="Times New Roman"/>
          <w:spacing w:val="0"/>
          <w:szCs w:val="26"/>
        </w:rPr>
        <w:t>10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אינו הולם את חומרת מעשיו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בהקשר 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חוזר השופט אלרון על עמדתו כי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ראוי לקבוע מתחם עונש הולם מצומצם בעבירות הרצח אשר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ידגיש את מרכזיות עיקרון ההלימה ויצמצם את השפעתן של נסיבות שאינן קשורות בביצוע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באופן העולה בקנה אחד עם הרפורמה להבניית שיקול הדעת בענישה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עם הרפורמה בעבירות ההמתה ועם עקרון קדושת חיי האדם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בענייננו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מלבד העובדה שמתחם העונש שנקבע מקל עם המשיב במידה ניכרת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היקף פרישתו – </w:t>
      </w:r>
      <w:r>
        <w:rPr>
          <w:rFonts w:cs="Times New Roman" w:ascii="Times New Roman" w:hAnsi="Times New Roman"/>
          <w:spacing w:val="0"/>
          <w:szCs w:val="26"/>
        </w:rPr>
        <w:t>9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עד </w:t>
      </w:r>
      <w:r>
        <w:rPr>
          <w:rFonts w:cs="Times New Roman" w:ascii="Times New Roman" w:hAnsi="Times New Roman"/>
          <w:spacing w:val="0"/>
          <w:szCs w:val="26"/>
        </w:rPr>
        <w:t>15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רחב יתר על המידה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וכתוצאה מכך מקנה משקל חסר לשיקולי הלימה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ומשקל יתר לשיקולים אחרים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מוסיף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כי </w:t>
      </w:r>
      <w:r>
        <w:rPr>
          <w:rFonts w:ascii="Times New Roman" w:hAnsi="Times New Roman" w:cs="Times New Roman"/>
          <w:spacing w:val="0"/>
          <w:szCs w:val="26"/>
          <w:rtl w:val="true"/>
        </w:rPr>
        <w:t>בהינתן האמור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מתחם העונש לו עתרה המערערת בביהמ”ש המחוזי – </w:t>
      </w:r>
      <w:r>
        <w:rPr>
          <w:rFonts w:cs="Times New Roman" w:ascii="Times New Roman" w:hAnsi="Times New Roman"/>
          <w:spacing w:val="0"/>
          <w:szCs w:val="26"/>
        </w:rPr>
        <w:t>14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עד </w:t>
      </w:r>
      <w:r>
        <w:rPr>
          <w:rFonts w:cs="Times New Roman" w:ascii="Times New Roman" w:hAnsi="Times New Roman"/>
          <w:spacing w:val="0"/>
          <w:szCs w:val="26"/>
        </w:rPr>
        <w:t>19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רחב אף הוא במידת מה יתר על המידה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אולם בנסיבות האמורות מתחם זה הולם את מעשי המשיב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מוצא טעם רב בעמדת המערערת כי </w:t>
      </w:r>
      <w:r>
        <w:rPr>
          <w:rFonts w:ascii="Times New Roman" w:hAnsi="Times New Roman" w:cs="Times New Roman"/>
          <w:spacing w:val="0"/>
          <w:szCs w:val="26"/>
          <w:rtl w:val="true"/>
        </w:rPr>
        <w:t>ככלל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מתחם הענישה בעבירת רצח באדישות לא יירד מ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</w:rPr>
        <w:t>12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היינו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העונש המרבי הקבוע בצד עבירת המתה בקלות דעת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ככלל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יש הגיון מסוים בכך שמתחם העונש ההולם הנקבע בעבירת המתה אחת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 יזלוג לתחומה של עבירת המתה אחרת – קלה הימנה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בפרט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ניתן לטעון כי המתה באדישות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אף ברף החומרה התחתון ביותר שלה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עודנה חמורה היא מהמתה בקלות דעת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בד בבד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ואף שיש היגיון בעמדת המערערת כאמור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סבור כי </w:t>
      </w:r>
      <w:r>
        <w:rPr>
          <w:rFonts w:ascii="Times New Roman" w:hAnsi="Times New Roman" w:cs="Times New Roman"/>
          <w:spacing w:val="0"/>
          <w:szCs w:val="26"/>
          <w:rtl w:val="true"/>
        </w:rPr>
        <w:t>לא בשלה העת לקבוע כלל שכזה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בעוד מדיניות הענישה לאחר הרפורמה בעבירות ההמתה מתעצבת בהדרגה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בשלב 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יש להעדיף כי תישמר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גמישות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עבור בתי המשפט לגזור את עונשו של נאשם בכל מקרה בהתאם לנסיבותיו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בנסיבות המקרה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אמנם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בדין נלקחו בחשבון נסיבותיו האישיות והמשפחתיות של המשיב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ובכללן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הודאתו במעשים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נטילת האחריות מצדו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והיותו נשוי ואב לילדים פעוטים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אולם נסיבות אלו נמדדות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בין היתר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למול עוצמת הפגיעה של המשיב בערכים המוגנים בעבירת הרצח 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ברם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תקיפתו האקראית של המנוח בידי המשיב על לא עוול בכפו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הובילה למותו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מקהה במידת מה את משקלן של נסיבותיו האישיות של המשיב לזכותו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זאת ועוד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במקרים של אלימות במרחב הציבורי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יש ליתן ביטוי לשיקולי הרתעת היחיד והרבים במסגרת גזירת העונש בגדרי המתחם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זאת כדי לסייע במיגור תופעה מגונה זו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כמו 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במסגרת גזירת העונש בגדרי המתחם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ביהמ”ש התחשב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כמצוות המחוקק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בנזק אשר נגרם למשפחת המנוח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עוד יש להעיר כי כפי שנקבע בעבר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העובדה כי במקרה שבו מעשה הרצח נעשה בכוונה ולנגד עיניהם של ילדיו הקטנים של המנוח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עלולה לעלות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בנסיבות המתאימות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כדי נסיבה לחומרה של אכזריות מיוחדת הקבועה </w:t>
      </w:r>
      <w:hyperlink r:id="rId17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בסעיף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301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)(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7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בענייננו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המשיב לא הואשם ברצח בנסיבות מחמירות ועל כן סוגיה זו אינה מונחת לפתחנו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הדבר אינו גורע מכך שיש ליתן משקל במסגרת גזירת עונשו של המשיב לעובדה כי הרצח בוצע לנגד עיני ילדיו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כן הוער </w:t>
      </w:r>
      <w:r>
        <w:rPr>
          <w:rFonts w:cs="Times New Roman" w:ascii="Times New Roman" w:hAnsi="Times New Roman"/>
          <w:spacing w:val="0"/>
          <w:szCs w:val="26"/>
          <w:rtl w:val="true"/>
        </w:rPr>
        <w:tab/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לעניין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משמעותם של הסכמי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סולחה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בין העבריין למשפחת קורבן העבירה במסגרת גזירת עונשו של נאשם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בגזה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ד נלקח בחשבון הסכם סולחה לפיו שילם המשיב למשפחת המנוח חצי מיליון 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וכפי שביהמ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ציין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בעבר</w:t>
      </w:r>
      <w:r>
        <w:rPr>
          <w:rFonts w:cs="Times New Roman" w:ascii="Times New Roman" w:hAnsi="Times New Roman"/>
          <w:spacing w:val="0"/>
          <w:szCs w:val="26"/>
          <w:rtl w:val="true"/>
        </w:rPr>
        <w:t>, "</w:t>
      </w:r>
      <w:r>
        <w:rPr>
          <w:rFonts w:ascii="Times New Roman" w:hAnsi="Times New Roman" w:cs="Times New Roman"/>
          <w:spacing w:val="0"/>
          <w:szCs w:val="26"/>
          <w:rtl w:val="true"/>
        </w:rPr>
        <w:t>מתן גושפנקה ל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סולחות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כמעין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מרכיב משלים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לדרכי הענישה הקבועים בדין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יש בו כדי להוות מעין הפרטה פסולה של ההליך הפלילי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לא זו בלבד שאין במערך ההסכמות בין משפחת העבריין לבין משפחת הקורבן כדי להוות חלופה לדין הפלילי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אלא שהשלמה עם מעגל אלימות הכולל שימוש בנשק חם בטרם הצדדים פועלים ליישוב מחלוקותיהם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בדרכי שלום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חותר תחת יסודות הדין הפלילי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איתותה של מערכת המשפט כי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סולחה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עשויה להביא להקלה משמעותית בעונשו של העבריין מחליש את ההרתעה מפני ביצוע עבירות וחושף את קורבן העבירה ואת משפחתו ללחצים פסולים</w:t>
      </w:r>
      <w:r>
        <w:rPr>
          <w:rFonts w:cs="Times New Roman" w:ascii="Times New Roman" w:hAnsi="Times New Roman"/>
          <w:spacing w:val="0"/>
          <w:szCs w:val="26"/>
          <w:rtl w:val="true"/>
        </w:rPr>
        <w:t>".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בנסיבות האמורות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נוכח העובדה שקיימות נסיבות שאינן קשורות בביצוע העבירה – לזכותו ולחובתו של המשיב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ונוכח שיקולי הרתעת הרבים בעבירות אלימות במרחב הציבורי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ברי כי העונש אשר ביהמ”ש המחוזי גזר על המשיב מקל עמו יתר על המידה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לפיכך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ובשים לב לכלל הידוע לפיו ערכאת הערעור אינה ממצה את מלוא חומרת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נקבע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שעונשו של המשיב יעמוד על </w:t>
      </w:r>
      <w:r>
        <w:rPr>
          <w:rFonts w:cs="Times New Roman" w:ascii="Times New Roman" w:hAnsi="Times New Roman"/>
          <w:spacing w:val="0"/>
          <w:szCs w:val="26"/>
        </w:rPr>
        <w:t>14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חלף </w:t>
      </w:r>
      <w:r>
        <w:rPr>
          <w:rFonts w:cs="Times New Roman" w:ascii="Times New Roman" w:hAnsi="Times New Roman"/>
          <w:spacing w:val="0"/>
          <w:szCs w:val="26"/>
        </w:rPr>
        <w:t>10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בפועל שנגזרו עליו בביהמ”ש המחוזי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יתר רכיבי גזר הדין יוותרו על כנם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6"/>
        </w:rPr>
      </w:pPr>
      <w:r>
        <w:rPr>
          <w:rFonts w:cs="FrankRuehl" w:ascii="FrankRuehl" w:hAnsi="FrankRuehl"/>
          <w:spacing w:val="0"/>
          <w:sz w:val="24"/>
          <w:szCs w:val="26"/>
          <w:rtl w:val="true"/>
        </w:rPr>
      </w:r>
      <w:bookmarkStart w:id="15" w:name="ABSTRACT_END"/>
      <w:bookmarkStart w:id="16" w:name="ABSTRACT_END"/>
      <w:bookmarkEnd w:id="16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7" w:name="PsakDin"/>
            <w:bookmarkStart w:id="18" w:name="BeginProtocol"/>
            <w:bookmarkStart w:id="19" w:name="secretary"/>
            <w:bookmarkEnd w:id="17"/>
            <w:bookmarkEnd w:id="18"/>
            <w:bookmarkEnd w:id="19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</w:rPr>
      </w:pPr>
      <w:bookmarkStart w:id="20" w:name="Writer_Name"/>
      <w:bookmarkEnd w:id="20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</w:rPr>
      </w:pPr>
      <w:r>
        <w:rPr>
          <w:rFonts w:cs="Miriam"/>
          <w:sz w:val="24"/>
          <w:szCs w:val="24"/>
          <w:rtl w:val="true"/>
        </w:rPr>
      </w:r>
      <w:bookmarkStart w:id="21" w:name="Start_Write"/>
      <w:bookmarkStart w:id="22" w:name="Start_Write"/>
      <w:bookmarkEnd w:id="22"/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לפנינו ערעור על גזר דינו של בית המשפט המחוזי בנצרת </w:t>
      </w:r>
      <w:r>
        <w:rPr>
          <w:rtl w:val="true"/>
        </w:rPr>
        <w:t>(</w:t>
      </w:r>
      <w:r>
        <w:rPr>
          <w:rtl w:val="true"/>
        </w:rPr>
        <w:t xml:space="preserve">הנשיאה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הלמן</w:t>
      </w:r>
      <w:r>
        <w:rPr>
          <w:rtl w:val="true"/>
        </w:rPr>
        <w:t xml:space="preserve">, </w:t>
      </w:r>
      <w:r>
        <w:rPr>
          <w:rtl w:val="true"/>
        </w:rPr>
        <w:t xml:space="preserve">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שטרית</w:t>
      </w:r>
      <w:r>
        <w:rPr>
          <w:rtl w:val="true"/>
        </w:rPr>
        <w:t xml:space="preserve"> והשופט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דבור</w:t>
      </w:r>
      <w:r>
        <w:rPr>
          <w:rtl w:val="true"/>
        </w:rPr>
        <w:t xml:space="preserve">) </w:t>
      </w:r>
      <w:r>
        <w:rPr>
          <w:rtl w:val="true"/>
        </w:rPr>
        <w:t>ב</w:t>
      </w:r>
      <w:r>
        <w:rPr>
          <w:rtl w:val="true"/>
        </w:rPr>
        <w:t>-</w:t>
      </w:r>
      <w:hyperlink r:id="rId18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45953-01-21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מיום </w:t>
      </w:r>
      <w:r>
        <w:rPr/>
        <w:t>18.7.2022</w:t>
      </w:r>
      <w:r>
        <w:rPr>
          <w:rtl w:val="true"/>
        </w:rPr>
        <w:t xml:space="preserve">, </w:t>
      </w:r>
      <w:r>
        <w:rPr>
          <w:rtl w:val="true"/>
        </w:rPr>
        <w:t xml:space="preserve">בגדרו נגזר על המערער עונש של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 מאסר בפועל לצד ענישה נלווית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בגין הרשעתו בעבירת רצח באדישות</w:t>
      </w:r>
      <w:r>
        <w:rPr>
          <w:rtl w:val="true"/>
        </w:rPr>
        <w:t xml:space="preserve">. </w:t>
      </w:r>
      <w:r>
        <w:rPr>
          <w:rtl w:val="true"/>
        </w:rPr>
        <w:t>הערעור נסוב על קולת העונש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המתוקן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לפי כתב האישום המתוקן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12.12.2020</w:t>
      </w:r>
      <w:r>
        <w:rPr>
          <w:rtl w:val="true"/>
        </w:rPr>
        <w:t xml:space="preserve"> </w:t>
      </w:r>
      <w:r>
        <w:rPr>
          <w:rtl w:val="true"/>
        </w:rPr>
        <w:t>בשעות הערב</w:t>
      </w:r>
      <w:r>
        <w:rPr>
          <w:rtl w:val="true"/>
        </w:rPr>
        <w:t xml:space="preserve">, </w:t>
      </w:r>
      <w:r>
        <w:rPr>
          <w:rtl w:val="true"/>
        </w:rPr>
        <w:t xml:space="preserve">התרחשה בסמוך לביתו של זיאד גריפאת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המנוח</w:t>
      </w:r>
      <w:r>
        <w:rPr>
          <w:rtl w:val="true"/>
        </w:rPr>
        <w:t xml:space="preserve">) </w:t>
      </w:r>
      <w:r>
        <w:rPr>
          <w:rtl w:val="true"/>
        </w:rPr>
        <w:t>בזרזיר קטטה בין מספר צעירים</w:t>
      </w:r>
      <w:r>
        <w:rPr>
          <w:rtl w:val="true"/>
        </w:rPr>
        <w:t xml:space="preserve">. </w:t>
      </w:r>
      <w:r>
        <w:rPr>
          <w:rtl w:val="true"/>
        </w:rPr>
        <w:t>בקטטה השתתפו שני צדדים יריבים</w:t>
      </w:r>
      <w:r>
        <w:rPr>
          <w:rtl w:val="true"/>
        </w:rPr>
        <w:t xml:space="preserve">, </w:t>
      </w:r>
      <w:r>
        <w:rPr>
          <w:rtl w:val="true"/>
        </w:rPr>
        <w:t xml:space="preserve">אחמד </w:t>
      </w:r>
      <w:r>
        <w:rPr>
          <w:rtl w:val="true"/>
        </w:rPr>
        <w:t>–</w:t>
      </w:r>
      <w:r>
        <w:rPr>
          <w:rtl w:val="true"/>
        </w:rPr>
        <w:t xml:space="preserve"> בנו של המנוח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אחמד</w:t>
      </w:r>
      <w:r>
        <w:rPr>
          <w:rtl w:val="true"/>
        </w:rPr>
        <w:t xml:space="preserve">), </w:t>
      </w:r>
      <w:r>
        <w:rPr>
          <w:rtl w:val="true"/>
        </w:rPr>
        <w:t xml:space="preserve">ופיראס </w:t>
      </w:r>
      <w:r>
        <w:rPr>
          <w:rtl w:val="true"/>
        </w:rPr>
        <w:t>–</w:t>
      </w:r>
      <w:r>
        <w:rPr>
          <w:rtl w:val="true"/>
        </w:rPr>
        <w:t xml:space="preserve"> אחיו של המשיב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פיראס</w:t>
      </w:r>
      <w:r>
        <w:rPr>
          <w:rtl w:val="true"/>
        </w:rPr>
        <w:t xml:space="preserve"> ו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המשיב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tl w:val="true"/>
        </w:rPr>
        <w:t>בהתאמה</w:t>
      </w:r>
      <w:r>
        <w:rPr>
          <w:rtl w:val="true"/>
        </w:rPr>
        <w:t xml:space="preserve">). </w:t>
      </w:r>
      <w:r>
        <w:rPr>
          <w:rtl w:val="true"/>
        </w:rPr>
        <w:t>במהלך הקטטה נפגעו מספר מעורבים</w:t>
      </w:r>
      <w:r>
        <w:rPr>
          <w:rtl w:val="true"/>
        </w:rPr>
        <w:t xml:space="preserve">, </w:t>
      </w:r>
      <w:r>
        <w:rPr>
          <w:rtl w:val="true"/>
        </w:rPr>
        <w:t>ביניהם אחמד ופיראס</w:t>
      </w:r>
      <w:r>
        <w:rPr>
          <w:rtl w:val="true"/>
        </w:rPr>
        <w:t xml:space="preserve">, </w:t>
      </w:r>
      <w:r>
        <w:rPr>
          <w:rtl w:val="true"/>
        </w:rPr>
        <w:t>וזה האחרון אף דימם מראשו</w:t>
      </w:r>
      <w:r>
        <w:rPr>
          <w:rtl w:val="true"/>
        </w:rPr>
        <w:t xml:space="preserve">. </w:t>
      </w:r>
      <w:r>
        <w:rPr>
          <w:rtl w:val="true"/>
        </w:rPr>
        <w:t>בשלב מסוים התפזרו המעורבים בקטטה</w:t>
      </w:r>
      <w:r>
        <w:rPr>
          <w:rtl w:val="true"/>
        </w:rPr>
        <w:t xml:space="preserve">, </w:t>
      </w:r>
      <w:r>
        <w:rPr>
          <w:rtl w:val="true"/>
        </w:rPr>
        <w:t>ובמקביל החלו צעירים לידות אבנים אחד לעבר השני</w:t>
      </w:r>
      <w:r>
        <w:rPr>
          <w:rtl w:val="true"/>
        </w:rPr>
        <w:t xml:space="preserve">, </w:t>
      </w:r>
      <w:r>
        <w:rPr>
          <w:rtl w:val="true"/>
        </w:rPr>
        <w:t>בסמוך לביתו של המנוח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שנשמעו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המתואר</w:t>
      </w:r>
      <w:r>
        <w:rPr>
          <w:rtl w:val="true"/>
        </w:rPr>
        <w:t xml:space="preserve">,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הרחוב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ונעמדו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המתרחש</w:t>
      </w:r>
      <w:r>
        <w:rPr>
          <w:rtl w:val="true"/>
        </w:rPr>
        <w:t xml:space="preserve">.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הנוכחים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קרה</w:t>
      </w:r>
      <w:r>
        <w:rPr>
          <w:rtl w:val="true"/>
        </w:rPr>
        <w:t xml:space="preserve">".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משנודע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פציעתו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פיראס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הקטטה</w:t>
      </w:r>
      <w:r>
        <w:rPr>
          <w:rtl w:val="true"/>
        </w:rPr>
        <w:t xml:space="preserve">, </w:t>
      </w:r>
      <w:r>
        <w:rPr>
          <w:rtl w:val="true"/>
        </w:rPr>
        <w:t>כעס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בריצה</w:t>
      </w:r>
      <w:r>
        <w:rPr>
          <w:rtl w:val="true"/>
        </w:rPr>
        <w:t xml:space="preserve">. </w:t>
      </w:r>
      <w:r>
        <w:rPr>
          <w:rtl w:val="true"/>
        </w:rPr>
        <w:t>בהבחינו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באחיו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מראשו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70.5</w:t>
      </w:r>
      <w:r>
        <w:rPr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וברוחב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5.5</w:t>
      </w:r>
      <w:r>
        <w:rPr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הניף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והנחית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ראשו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מהמכה</w:t>
      </w:r>
      <w:r>
        <w:rPr>
          <w:rtl w:val="true"/>
        </w:rPr>
        <w:t xml:space="preserve">,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התמוטט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ונפל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כשפניו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הכביש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ועזב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אשת המנוח ושניים מהנוכחים במקום פינו אותו לבית החולים לצורך קבלת טיפול רפואי</w:t>
      </w:r>
      <w:r>
        <w:rPr>
          <w:rtl w:val="true"/>
        </w:rPr>
        <w:t xml:space="preserve">, </w:t>
      </w:r>
      <w:r>
        <w:rPr>
          <w:rtl w:val="true"/>
        </w:rPr>
        <w:t>בעוד הוא סובל מפגיעת ראש חמורה</w:t>
      </w:r>
      <w:r>
        <w:rPr>
          <w:rtl w:val="true"/>
        </w:rPr>
        <w:t xml:space="preserve">, </w:t>
      </w:r>
      <w:r>
        <w:rPr>
          <w:rtl w:val="true"/>
        </w:rPr>
        <w:t>מורדם ומונשם</w:t>
      </w:r>
      <w:r>
        <w:rPr>
          <w:rtl w:val="true"/>
        </w:rPr>
        <w:t xml:space="preserve">. </w:t>
      </w:r>
      <w:r>
        <w:rPr>
          <w:rtl w:val="true"/>
        </w:rPr>
        <w:t>בבית החולים הרופאים ניסו לבצע החייאה במנוח</w:t>
      </w:r>
      <w:r>
        <w:rPr>
          <w:rtl w:val="true"/>
        </w:rPr>
        <w:t xml:space="preserve">, </w:t>
      </w:r>
      <w:r>
        <w:rPr>
          <w:rtl w:val="true"/>
        </w:rPr>
        <w:t>אך מאמצי ההחייאה כשלו</w:t>
      </w:r>
      <w:r>
        <w:rPr>
          <w:rtl w:val="true"/>
        </w:rPr>
        <w:t xml:space="preserve">, </w:t>
      </w:r>
      <w:r>
        <w:rPr>
          <w:rtl w:val="true"/>
        </w:rPr>
        <w:t>ונקבע מותו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מעשי המשיב המתוארים לעיל</w:t>
      </w:r>
      <w:r>
        <w:rPr>
          <w:rtl w:val="true"/>
        </w:rPr>
        <w:t xml:space="preserve">, </w:t>
      </w:r>
      <w:r>
        <w:rPr>
          <w:rtl w:val="true"/>
        </w:rPr>
        <w:t>גרמו למספר חבלות בגולגולת המנוח אשר כתוצאה מהן נוצר נזק חמור למערכת העצבים המרכזית של המנוח שהוביל למותו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 xml:space="preserve">יוחסה למשיב עבירת רצח לפי </w:t>
      </w:r>
      <w:hyperlink r:id="rId1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החוק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המשיב הורשע בעבירת רצח באדישות כפי שיוחסה לו בכתב האישום המתוקן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על פי הודאתו במסגרת הסדר טיעון</w:t>
      </w:r>
      <w:r>
        <w:rPr>
          <w:rtl w:val="true"/>
        </w:rPr>
        <w:t xml:space="preserve">, </w:t>
      </w:r>
      <w:r>
        <w:rPr>
          <w:rtl w:val="true"/>
        </w:rPr>
        <w:t xml:space="preserve">לפיו המערערת תטען לעניין העונש למתחם עונש הולם הנע בין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שנות מאסר בפועל ותעתור למקם את עונשו של המשיב במרכז המתחם</w:t>
      </w:r>
      <w:r>
        <w:rPr>
          <w:rtl w:val="true"/>
        </w:rPr>
        <w:t xml:space="preserve">, </w:t>
      </w:r>
      <w:r>
        <w:rPr>
          <w:rtl w:val="true"/>
        </w:rPr>
        <w:t>ואילו המשיב יהא חופשי בטיעוניו לעונש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בית המשפט המחוזי בגזר דינו ציין כי המשיב פגע במידה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גבוהה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במיוחד</w:t>
      </w:r>
      <w:r>
        <w:rPr>
          <w:rtl w:val="true"/>
        </w:rPr>
        <w:t xml:space="preserve"> בערך קדושת חיי האדם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מאחר שהמנוח היה אדם מבוגר</w:t>
      </w:r>
      <w:r>
        <w:rPr>
          <w:rtl w:val="true"/>
        </w:rPr>
        <w:t xml:space="preserve">, </w:t>
      </w:r>
      <w:r>
        <w:rPr>
          <w:rtl w:val="true"/>
        </w:rPr>
        <w:t>אב לחמישה</w:t>
      </w:r>
      <w:r>
        <w:rPr>
          <w:rtl w:val="true"/>
        </w:rPr>
        <w:t xml:space="preserve">, </w:t>
      </w:r>
      <w:r>
        <w:rPr>
          <w:rtl w:val="true"/>
        </w:rPr>
        <w:t xml:space="preserve">אשר </w:t>
      </w:r>
      <w:r>
        <w:rPr>
          <w:rtl w:val="true"/>
        </w:rPr>
        <w:t>"</w:t>
      </w:r>
      <w:r>
        <w:rPr>
          <w:rtl w:val="true"/>
        </w:rPr>
        <w:t>קיפח את חייו בצורה אכזרית</w:t>
      </w:r>
      <w:r>
        <w:rPr>
          <w:rtl w:val="true"/>
        </w:rPr>
        <w:t xml:space="preserve">, </w:t>
      </w:r>
      <w:r>
        <w:rPr>
          <w:rtl w:val="true"/>
        </w:rPr>
        <w:t>סתמית וללא כל עוול בכפו</w:t>
      </w:r>
      <w:r>
        <w:rPr>
          <w:rtl w:val="true"/>
        </w:rPr>
        <w:t xml:space="preserve">", </w:t>
      </w:r>
      <w:r>
        <w:rPr>
          <w:rtl w:val="true"/>
        </w:rPr>
        <w:t>כמתואר בגזר הדין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פורט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בלהט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רגשות</w:t>
      </w:r>
      <w:r>
        <w:rPr>
          <w:rtl w:val="true"/>
        </w:rPr>
        <w:t xml:space="preserve">", </w:t>
      </w:r>
      <w:r>
        <w:rPr>
          <w:rtl w:val="true"/>
        </w:rPr>
        <w:t>כלשון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מששמע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פציעת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בקטטה</w:t>
      </w:r>
      <w:r>
        <w:rPr>
          <w:rtl w:val="true"/>
        </w:rPr>
        <w:t xml:space="preserve">; </w:t>
      </w:r>
      <w:r>
        <w:rPr>
          <w:rtl w:val="true"/>
        </w:rPr>
        <w:t>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שהביאה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למותו</w:t>
      </w:r>
      <w:r>
        <w:rPr>
          <w:rtl w:val="true"/>
        </w:rPr>
        <w:t xml:space="preserve">;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התרחש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ומותו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כבד</w:t>
      </w:r>
      <w:r>
        <w:rPr>
          <w:rtl w:val="true"/>
        </w:rPr>
        <w:t xml:space="preserve">; </w:t>
      </w:r>
      <w:r>
        <w:rPr>
          <w:rtl w:val="true"/>
        </w:rPr>
        <w:t>והמשיב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עזב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הושיט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עזרה</w:t>
      </w:r>
      <w:r>
        <w:rPr>
          <w:rtl w:val="true"/>
        </w:rPr>
        <w:t xml:space="preserve">. </w:t>
      </w:r>
      <w:r>
        <w:rPr>
          <w:rtl w:val="true"/>
        </w:rPr>
        <w:t>הודגש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ואימפולסיביות</w:t>
      </w:r>
      <w:r>
        <w:rPr>
          <w:rtl w:val="true"/>
        </w:rPr>
        <w:t xml:space="preserve">" </w:t>
      </w:r>
      <w:r>
        <w:rPr>
          <w:rtl w:val="true"/>
        </w:rPr>
        <w:t>מצדו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באובדן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באחיו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בית המשפט המחוזי הוסיף ובחן את מדיניות הענישה הנוהגת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 xml:space="preserve">כי ברפורמה בעבירות ההמתה המחוקק </w:t>
      </w:r>
      <w:r>
        <w:rPr>
          <w:rtl w:val="true"/>
        </w:rPr>
        <w:t>ייחד</w:t>
      </w:r>
      <w:r>
        <w:rPr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 </w:t>
      </w:r>
      <w:r>
        <w:rPr>
          <w:rtl w:val="true"/>
        </w:rPr>
        <w:t>עבור</w:t>
      </w:r>
      <w:r>
        <w:rPr>
          <w:rtl w:val="true"/>
        </w:rPr>
        <w:t xml:space="preserve"> </w:t>
      </w:r>
      <w:r>
        <w:rPr>
          <w:rtl w:val="true"/>
        </w:rPr>
        <w:t>מעשי</w:t>
      </w:r>
      <w:r>
        <w:rPr>
          <w:rtl w:val="true"/>
        </w:rPr>
        <w:t xml:space="preserve"> </w:t>
      </w:r>
      <w:r>
        <w:rPr>
          <w:rtl w:val="true"/>
        </w:rPr>
        <w:t>המתה</w:t>
      </w:r>
      <w:r>
        <w:rPr>
          <w:rtl w:val="true"/>
        </w:rPr>
        <w:t xml:space="preserve"> </w:t>
      </w:r>
      <w:r>
        <w:rPr>
          <w:rtl w:val="true"/>
        </w:rPr>
        <w:t>ביסוד</w:t>
      </w:r>
      <w:r>
        <w:rPr>
          <w:rtl w:val="true"/>
        </w:rPr>
        <w:t xml:space="preserve"> </w:t>
      </w:r>
      <w:r>
        <w:rPr>
          <w:rtl w:val="true"/>
        </w:rPr>
        <w:t>נפשי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כוונה</w:t>
      </w:r>
      <w:r>
        <w:rPr>
          <w:rtl w:val="true"/>
        </w:rPr>
        <w:t xml:space="preserve"> </w:t>
      </w:r>
      <w:r>
        <w:rPr>
          <w:rtl w:val="true"/>
        </w:rPr>
        <w:t>ואדישות</w:t>
      </w:r>
      <w:r>
        <w:rPr>
          <w:rtl w:val="true"/>
        </w:rPr>
        <w:t xml:space="preserve"> – </w:t>
      </w:r>
      <w:r>
        <w:rPr>
          <w:rtl w:val="true"/>
        </w:rPr>
        <w:t>עבירת</w:t>
      </w:r>
      <w:r>
        <w:rPr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הבסיסית</w:t>
      </w:r>
      <w:r>
        <w:rPr>
          <w:rtl w:val="true"/>
        </w:rPr>
        <w:t xml:space="preserve">". </w:t>
      </w:r>
      <w:r>
        <w:rPr>
          <w:rtl w:val="true"/>
        </w:rPr>
        <w:t>בכך</w:t>
      </w:r>
      <w:r>
        <w:rPr>
          <w:rtl w:val="true"/>
        </w:rPr>
        <w:t xml:space="preserve"> ביקש להחמיר בענישה בעבירות המתה באדישות</w:t>
      </w:r>
      <w:r>
        <w:rPr>
          <w:rtl w:val="true"/>
        </w:rPr>
        <w:t xml:space="preserve">, </w:t>
      </w:r>
      <w:r>
        <w:rPr>
          <w:rtl w:val="true"/>
        </w:rPr>
        <w:t>בנסיבות שקיימו בעבר את יסודות עבירת ההריגה</w:t>
      </w:r>
      <w:r>
        <w:rPr>
          <w:rtl w:val="true"/>
        </w:rPr>
        <w:t xml:space="preserve">. </w:t>
      </w:r>
      <w:r>
        <w:rPr>
          <w:rtl w:val="true"/>
        </w:rPr>
        <w:t>בית המשפט נתן דעתו לפסיקות</w:t>
      </w:r>
      <w:r>
        <w:rPr>
          <w:rtl w:val="true"/>
        </w:rPr>
        <w:t xml:space="preserve">, </w:t>
      </w:r>
      <w:r>
        <w:rPr>
          <w:rtl w:val="true"/>
        </w:rPr>
        <w:t>המועטות</w:t>
      </w:r>
      <w:r>
        <w:rPr>
          <w:rtl w:val="true"/>
        </w:rPr>
        <w:t xml:space="preserve">, </w:t>
      </w:r>
      <w:r>
        <w:rPr>
          <w:rtl w:val="true"/>
        </w:rPr>
        <w:t>העוסקות בענישה בעבירת הרצח באדישות</w:t>
      </w:r>
      <w:r>
        <w:rPr>
          <w:rtl w:val="true"/>
        </w:rPr>
        <w:t xml:space="preserve">, </w:t>
      </w:r>
      <w:r>
        <w:rPr>
          <w:rtl w:val="true"/>
        </w:rPr>
        <w:t>לצד בחינת הפסיקה שעסקה בעבירות הריגה</w:t>
      </w:r>
      <w:r>
        <w:rPr>
          <w:rtl w:val="true"/>
        </w:rPr>
        <w:t xml:space="preserve">, </w:t>
      </w:r>
      <w:r>
        <w:rPr>
          <w:rtl w:val="true"/>
        </w:rPr>
        <w:t>קודם הרפורמה בעבירות ההמתה</w:t>
      </w:r>
      <w:r>
        <w:rPr>
          <w:rtl w:val="true"/>
        </w:rPr>
        <w:t xml:space="preserve">, </w:t>
      </w:r>
      <w:r>
        <w:rPr>
          <w:rtl w:val="true"/>
        </w:rPr>
        <w:t xml:space="preserve">בהתאמות מסוימות </w:t>
      </w:r>
      <w:r>
        <w:rPr>
          <w:rtl w:val="true"/>
        </w:rPr>
        <w:t>(</w:t>
      </w:r>
      <w:r>
        <w:rPr>
          <w:rtl w:val="true"/>
        </w:rPr>
        <w:t xml:space="preserve">תיקון מס׳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הרפורמה</w:t>
      </w:r>
      <w:r>
        <w:rPr>
          <w:rtl w:val="true"/>
        </w:rPr>
        <w:t xml:space="preserve"> או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הרפורמה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בעבירות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ההמתה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בהינתן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בגזירת עונשו של המשיב בגדרי המתחם</w:t>
      </w:r>
      <w:r>
        <w:rPr>
          <w:rtl w:val="true"/>
        </w:rPr>
        <w:t xml:space="preserve">, </w:t>
      </w:r>
      <w:r>
        <w:rPr>
          <w:rtl w:val="true"/>
        </w:rPr>
        <w:t>בית המשפט המחוזי התחשב בנסיבותיו האישיות והמשפחתיות</w:t>
      </w:r>
      <w:r>
        <w:rPr>
          <w:rtl w:val="true"/>
        </w:rPr>
        <w:t xml:space="preserve">, </w:t>
      </w:r>
      <w:r>
        <w:rPr>
          <w:rtl w:val="true"/>
        </w:rPr>
        <w:t>בכללן</w:t>
      </w:r>
      <w:r>
        <w:rPr>
          <w:rtl w:val="true"/>
        </w:rPr>
        <w:t xml:space="preserve">, </w:t>
      </w:r>
      <w:r>
        <w:rPr>
          <w:rtl w:val="true"/>
        </w:rPr>
        <w:t>הודאתו במעשים והאופן בו נטל עליהם אחריות והביע צער על מעשיו</w:t>
      </w:r>
      <w:r>
        <w:rPr>
          <w:rtl w:val="true"/>
        </w:rPr>
        <w:t xml:space="preserve">; </w:t>
      </w:r>
      <w:r>
        <w:rPr>
          <w:rtl w:val="true"/>
        </w:rPr>
        <w:t>גילו הצעיר</w:t>
      </w:r>
      <w:r>
        <w:rPr>
          <w:rtl w:val="true"/>
        </w:rPr>
        <w:t xml:space="preserve">; </w:t>
      </w:r>
      <w:r>
        <w:rPr>
          <w:rtl w:val="true"/>
        </w:rPr>
        <w:t>היותו נשוי ואב לילדים פעוטים</w:t>
      </w:r>
      <w:r>
        <w:rPr>
          <w:rtl w:val="true"/>
        </w:rPr>
        <w:t xml:space="preserve">; </w:t>
      </w:r>
      <w:r>
        <w:rPr>
          <w:rtl w:val="true"/>
        </w:rPr>
        <w:t xml:space="preserve">התמודדות משפחתו עם רצח אחיו </w:t>
      </w:r>
      <w:r>
        <w:rPr>
          <w:rtl w:val="true"/>
        </w:rPr>
        <w:t>–</w:t>
      </w:r>
      <w:r>
        <w:rPr>
          <w:rtl w:val="true"/>
        </w:rPr>
        <w:t xml:space="preserve"> פאדי</w:t>
      </w:r>
      <w:r>
        <w:rPr>
          <w:rtl w:val="true"/>
        </w:rPr>
        <w:t xml:space="preserve">; </w:t>
      </w:r>
      <w:r>
        <w:rPr>
          <w:rtl w:val="true"/>
        </w:rPr>
        <w:t>ומאמציו למען שיקום חייו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ניתן משקל לכך שמשפחתו פיצתה את משפחת המנוח בחצי מיליון ש</w:t>
      </w:r>
      <w:r>
        <w:rPr>
          <w:rtl w:val="true"/>
        </w:rPr>
        <w:t>"</w:t>
      </w:r>
      <w:r>
        <w:rPr>
          <w:rtl w:val="true"/>
        </w:rPr>
        <w:t xml:space="preserve">ח במסגרת הסכם </w:t>
      </w:r>
      <w:r>
        <w:rPr>
          <w:rtl w:val="true"/>
        </w:rPr>
        <w:t>"</w:t>
      </w:r>
      <w:r>
        <w:rPr>
          <w:rtl w:val="true"/>
        </w:rPr>
        <w:t>סולחה</w:t>
      </w:r>
      <w:r>
        <w:rPr>
          <w:rtl w:val="true"/>
        </w:rPr>
        <w:t xml:space="preserve">". </w:t>
      </w:r>
      <w:r>
        <w:rPr>
          <w:rtl w:val="true"/>
        </w:rPr>
        <w:t>לחובתו נזקף עברו הפלילי הכולל הרשעה אחת במספר עבירות רכוש</w:t>
      </w:r>
      <w:r>
        <w:rPr>
          <w:rtl w:val="true"/>
        </w:rPr>
        <w:t xml:space="preserve">, </w:t>
      </w:r>
      <w:r>
        <w:rPr>
          <w:rtl w:val="true"/>
        </w:rPr>
        <w:t xml:space="preserve">בגינן נגזרו עליו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בית המשפט התחשב אף בשיקולי הרתעה הנחוצים לשם מיגור תופעת האלימות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;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פשע</w:t>
      </w:r>
      <w:r>
        <w:rPr>
          <w:rtl w:val="true"/>
        </w:rPr>
        <w:t xml:space="preserve">",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;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עוון</w:t>
      </w:r>
      <w:r>
        <w:rPr>
          <w:rtl w:val="true"/>
        </w:rPr>
        <w:t xml:space="preserve">",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תמצית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בערעור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לטענת המערערת</w:t>
      </w:r>
      <w:r>
        <w:rPr>
          <w:rtl w:val="true"/>
        </w:rPr>
        <w:t xml:space="preserve">, </w:t>
      </w:r>
      <w:r>
        <w:rPr>
          <w:rtl w:val="true"/>
        </w:rPr>
        <w:t xml:space="preserve">העונש שנגזר על המשיב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מקל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עמו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במידה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רבה</w:t>
      </w:r>
      <w:r>
        <w:rPr>
          <w:rtl w:val="true"/>
        </w:rPr>
        <w:t xml:space="preserve"> ואינו מבטא את פגיעתו הקשה בערך חיי אדם</w:t>
      </w:r>
      <w:r>
        <w:rPr>
          <w:rtl w:val="true"/>
        </w:rPr>
        <w:t xml:space="preserve">. </w:t>
      </w:r>
      <w:r>
        <w:rPr>
          <w:rtl w:val="true"/>
        </w:rPr>
        <w:t>נטען כי נסיבות ענייננו מצדיקות הטלת עונש מאסר משמעותי על המשיב</w:t>
      </w:r>
      <w:r>
        <w:rPr>
          <w:rtl w:val="true"/>
        </w:rPr>
        <w:t xml:space="preserve">, </w:t>
      </w:r>
      <w:r>
        <w:rPr>
          <w:rtl w:val="true"/>
        </w:rPr>
        <w:t>וזאת בפרט נוכח הרפורמה בעבירות ההמתה אשר משקפת שינוי ביחס הערכי והמשפטי של החברה הישראלית לעבירות המתה באדישות</w:t>
      </w:r>
      <w:r>
        <w:rPr>
          <w:rtl w:val="true"/>
        </w:rPr>
        <w:t xml:space="preserve">. </w:t>
      </w:r>
      <w:r>
        <w:rPr>
          <w:rtl w:val="true"/>
        </w:rPr>
        <w:t xml:space="preserve">שינוי זה מתבטא בכך שהממית באדישות נקרא מעתה </w:t>
      </w:r>
      <w:r>
        <w:rPr>
          <w:rtl w:val="true"/>
        </w:rPr>
        <w:t>"</w:t>
      </w:r>
      <w:r>
        <w:rPr>
          <w:rtl w:val="true"/>
        </w:rPr>
        <w:t>רוצח</w:t>
      </w:r>
      <w:r>
        <w:rPr>
          <w:rtl w:val="true"/>
        </w:rPr>
        <w:t xml:space="preserve">"; </w:t>
      </w:r>
      <w:r>
        <w:rPr>
          <w:rtl w:val="true"/>
        </w:rPr>
        <w:t xml:space="preserve">והעונש המרבי על מעשיו עומד על מאסר עולם בלתי קצוב או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, </w:t>
      </w:r>
      <w:r>
        <w:rPr>
          <w:rtl w:val="true"/>
        </w:rPr>
        <w:t xml:space="preserve">חלף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 מאסר קודם הרפורמה</w:t>
      </w:r>
      <w:r>
        <w:rPr>
          <w:rtl w:val="true"/>
        </w:rPr>
        <w:t xml:space="preserve">. </w:t>
      </w:r>
      <w:r>
        <w:rPr>
          <w:rtl w:val="true"/>
        </w:rPr>
        <w:t>על רקע זה</w:t>
      </w:r>
      <w:r>
        <w:rPr>
          <w:rtl w:val="true"/>
        </w:rPr>
        <w:t xml:space="preserve">, </w:t>
      </w:r>
      <w:r>
        <w:rPr>
          <w:rtl w:val="true"/>
        </w:rPr>
        <w:t>נטען כי העונש שהוטל על המשיב מקל עמו היות שהוא מיישם את רמת הענישה שאפיינה את עבירת ההריגה עובר לרפורמה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לשיטתה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רחב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המידה</w:t>
      </w:r>
      <w:r>
        <w:rPr>
          <w:rtl w:val="true"/>
        </w:rPr>
        <w:t xml:space="preserve">.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ניכרת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המרבי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נופל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המתה </w:t>
      </w:r>
      <w:r>
        <w:rPr>
          <w:rFonts w:ascii="Century" w:hAnsi="Century" w:cs="Century"/>
          <w:rtl w:val="true"/>
        </w:rPr>
        <w:t>בקלות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דעת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להעדיף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הרתעה</w:t>
      </w:r>
      <w:r>
        <w:rPr>
          <w:rtl w:val="true"/>
        </w:rPr>
        <w:t xml:space="preserve">, </w:t>
      </w:r>
      <w:r>
        <w:rPr>
          <w:rtl w:val="true"/>
        </w:rPr>
        <w:t>כללית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ואישית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Arial TUR;Arial" w:hAnsi="Arial TUR;Arial" w:cs="Arial TUR;Arial"/>
          <w:sz w:val="22"/>
        </w:rPr>
      </w:pPr>
      <w:r>
        <w:rPr>
          <w:rtl w:val="true"/>
        </w:rPr>
        <w:tab/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לטענת המשיב</w:t>
      </w:r>
      <w:r>
        <w:rPr>
          <w:rtl w:val="true"/>
        </w:rPr>
        <w:t xml:space="preserve">, </w:t>
      </w:r>
      <w:r>
        <w:rPr>
          <w:rtl w:val="true"/>
        </w:rPr>
        <w:t>גזר דינו של בית המשפט המחוזי מאוזן</w:t>
      </w:r>
      <w:r>
        <w:rPr>
          <w:rtl w:val="true"/>
        </w:rPr>
        <w:t xml:space="preserve">, </w:t>
      </w:r>
      <w:r>
        <w:rPr>
          <w:rtl w:val="true"/>
        </w:rPr>
        <w:t>ואין מקום להתערב בו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 נסיבות ביצוע העבירה בענייננו אינן חמורות במידה המצדיקה התערבות בעונש שנגזר על המשיב</w:t>
      </w:r>
      <w:r>
        <w:rPr>
          <w:rtl w:val="true"/>
        </w:rPr>
        <w:t xml:space="preserve">.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 המשיב הוסיף ועמד על כך שהאירוע לא תוכנן מראש</w:t>
      </w:r>
      <w:r>
        <w:rPr>
          <w:rtl w:val="true"/>
        </w:rPr>
        <w:t xml:space="preserve">; </w:t>
      </w:r>
      <w:r>
        <w:rPr>
          <w:rtl w:val="true"/>
        </w:rPr>
        <w:t>המשיב חבט במנוח חבטה אחת בלבד</w:t>
      </w:r>
      <w:r>
        <w:rPr>
          <w:rtl w:val="true"/>
        </w:rPr>
        <w:t xml:space="preserve">; </w:t>
      </w:r>
      <w:r>
        <w:rPr>
          <w:rtl w:val="true"/>
        </w:rPr>
        <w:t>המכה נעשתה באמצעות חפץ אקראי אשר היה במקום</w:t>
      </w:r>
      <w:r>
        <w:rPr>
          <w:rtl w:val="true"/>
        </w:rPr>
        <w:t xml:space="preserve">; </w:t>
      </w:r>
      <w:r>
        <w:rPr>
          <w:rtl w:val="true"/>
        </w:rPr>
        <w:t>ואף כי אשתו של המנוח אשר נכחה במקום לא העלתה בדעתה כי המכה תגרום למותו</w:t>
      </w:r>
      <w:r>
        <w:rPr>
          <w:rtl w:val="true"/>
        </w:rPr>
        <w:t>.</w:t>
      </w:r>
      <w:r>
        <w:rPr>
          <w:rFonts w:cs="Arial TUR;Arial" w:ascii="Arial TUR;Arial" w:hAnsi="Arial TUR;Arial"/>
          <w:sz w:val="22"/>
          <w:rtl w:val="true"/>
        </w:rPr>
        <w:tab/>
      </w:r>
    </w:p>
    <w:p>
      <w:pPr>
        <w:pStyle w:val="Ruller4"/>
        <w:ind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/>
          <w:sz w:val="22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Fonts w:cs="Arial TUR;Arial" w:ascii="Arial TUR;Arial" w:hAnsi="Arial TUR;Arial"/>
          <w:sz w:val="22"/>
          <w:rtl w:val="true"/>
        </w:rPr>
        <w:tab/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 המשיב הוסיף וטען כי העונש עולה בקנה אחד עם פסיקות בתי המשפט בעבירות רצח באדישות</w:t>
      </w:r>
      <w:r>
        <w:rPr>
          <w:rtl w:val="true"/>
        </w:rPr>
        <w:t xml:space="preserve">, </w:t>
      </w:r>
      <w:r>
        <w:rPr>
          <w:rtl w:val="true"/>
        </w:rPr>
        <w:t>ואף כי קודם הרפורמה נגזרו במקרים דומים עונשים של שנים בודדות</w:t>
      </w:r>
      <w:r>
        <w:rPr>
          <w:rtl w:val="true"/>
        </w:rPr>
        <w:t xml:space="preserve">, </w:t>
      </w:r>
      <w:r>
        <w:rPr>
          <w:rtl w:val="true"/>
        </w:rPr>
        <w:t>כך שאין סטייה קיצונית המצדיקה התערבות במידת עונשו של המשיב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בהתייחס לעמדת המערערת לעניין הרף התחתון של מתחם העונש ההולם נטען כי זו אינה מתיישבת עם </w:t>
      </w:r>
      <w:r>
        <w:rPr>
          <w:rtl w:val="true"/>
        </w:rPr>
        <w:t>"</w:t>
      </w:r>
      <w:r>
        <w:rPr>
          <w:rtl w:val="true"/>
        </w:rPr>
        <w:t>הרציונל</w:t>
      </w:r>
      <w:r>
        <w:rPr>
          <w:rtl w:val="true"/>
        </w:rPr>
        <w:t xml:space="preserve">" </w:t>
      </w:r>
      <w:r>
        <w:rPr>
          <w:rtl w:val="true"/>
        </w:rPr>
        <w:t>שבסיס עריכת הסדרי טיעון</w:t>
      </w:r>
      <w:r>
        <w:rPr>
          <w:rtl w:val="true"/>
        </w:rPr>
        <w:t xml:space="preserve">, </w:t>
      </w:r>
      <w:r>
        <w:rPr>
          <w:rtl w:val="true"/>
        </w:rPr>
        <w:t xml:space="preserve">כאשר בענייננו המערערת עתרה לעונש הנע בין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שנות מאסר ואילו המשיב היה חופשי בטיעוניו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ascii="Garamond" w:hAnsi="Garamond" w:cs="Garamond"/>
          <w:sz w:val="24"/>
        </w:rPr>
      </w:pPr>
      <w:r>
        <w:rPr>
          <w:rFonts w:cs="Garamond" w:ascii="Garamond" w:hAnsi="Garamond"/>
          <w:sz w:val="24"/>
          <w:rtl w:val="true"/>
        </w:rPr>
      </w:r>
    </w:p>
    <w:p>
      <w:pPr>
        <w:pStyle w:val="Ruller4"/>
        <w:ind w:end="0"/>
        <w:jc w:val="both"/>
        <w:rPr>
          <w:rFonts w:ascii="Garamond" w:hAnsi="Garamond" w:cs="Garamond"/>
          <w:sz w:val="24"/>
        </w:rPr>
      </w:pPr>
      <w:r>
        <w:rPr>
          <w:rFonts w:cs="Garamond" w:ascii="Garamond" w:hAnsi="Garamond"/>
          <w:sz w:val="24"/>
          <w:rtl w:val="true"/>
        </w:rPr>
      </w:r>
    </w:p>
    <w:p>
      <w:pPr>
        <w:pStyle w:val="Ruller4"/>
        <w:ind w:end="0"/>
        <w:jc w:val="both"/>
        <w:rPr>
          <w:rFonts w:ascii="Garamond" w:hAnsi="Garamond" w:cs="Garamond"/>
          <w:sz w:val="24"/>
        </w:rPr>
      </w:pPr>
      <w:r>
        <w:rPr>
          <w:rFonts w:cs="Garamond" w:ascii="Garamond" w:hAnsi="Garamond"/>
          <w:sz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נקודת המוצא לדיוננו היא כי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ייטה</w:t>
      </w:r>
      <w:r>
        <w:rPr>
          <w:rtl w:val="true"/>
        </w:rPr>
        <w:t xml:space="preserve"> </w:t>
      </w:r>
      <w:r>
        <w:rPr>
          <w:rtl w:val="true"/>
        </w:rPr>
        <w:t>שלא</w:t>
      </w:r>
      <w:r>
        <w:rPr>
          <w:rtl w:val="true"/>
        </w:rPr>
        <w:t xml:space="preserve"> </w:t>
      </w:r>
      <w:r>
        <w:rPr>
          <w:rtl w:val="true"/>
        </w:rPr>
        <w:t>להתערב</w:t>
      </w:r>
      <w:r>
        <w:rPr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 xml:space="preserve"> </w:t>
      </w:r>
      <w:r>
        <w:rPr>
          <w:rtl w:val="true"/>
        </w:rPr>
        <w:t>שהושת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הערכאה</w:t>
      </w:r>
      <w:r>
        <w:rPr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 </w:t>
      </w:r>
      <w:r>
        <w:rPr>
          <w:rtl w:val="true"/>
        </w:rPr>
        <w:t>אלא</w:t>
      </w:r>
      <w:r>
        <w:rPr>
          <w:rtl w:val="true"/>
        </w:rPr>
        <w:t xml:space="preserve"> </w:t>
      </w:r>
      <w:r>
        <w:rPr>
          <w:rtl w:val="true"/>
        </w:rPr>
        <w:t>במקרים</w:t>
      </w:r>
      <w:r>
        <w:rPr>
          <w:rtl w:val="true"/>
        </w:rPr>
        <w:t xml:space="preserve"> </w:t>
      </w:r>
      <w:r>
        <w:rPr>
          <w:rtl w:val="true"/>
        </w:rPr>
        <w:t>שבהם</w:t>
      </w:r>
      <w:r>
        <w:rPr>
          <w:rtl w:val="true"/>
        </w:rPr>
        <w:t xml:space="preserve"> </w:t>
      </w:r>
      <w:r>
        <w:rPr>
          <w:rtl w:val="true"/>
        </w:rPr>
        <w:t>ניכרת</w:t>
      </w:r>
      <w:r>
        <w:rPr>
          <w:rtl w:val="true"/>
        </w:rPr>
        <w:t xml:space="preserve"> </w:t>
      </w:r>
      <w:r>
        <w:rPr>
          <w:rtl w:val="true"/>
        </w:rPr>
        <w:t>חריגה</w:t>
      </w:r>
      <w:r>
        <w:rPr>
          <w:rtl w:val="true"/>
        </w:rPr>
        <w:t xml:space="preserve"> </w:t>
      </w:r>
      <w:r>
        <w:rPr>
          <w:rtl w:val="true"/>
        </w:rPr>
        <w:t>קיצונית</w:t>
      </w:r>
      <w:r>
        <w:rPr>
          <w:rtl w:val="true"/>
        </w:rPr>
        <w:t xml:space="preserve"> </w:t>
      </w:r>
      <w:r>
        <w:rPr>
          <w:rtl w:val="true"/>
        </w:rPr>
        <w:t>ממדיניות</w:t>
      </w:r>
      <w:r>
        <w:rPr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 </w:t>
      </w:r>
      <w:r>
        <w:rPr>
          <w:rtl w:val="true"/>
        </w:rPr>
        <w:t>במקרים</w:t>
      </w:r>
      <w:r>
        <w:rPr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כאשר</w:t>
      </w:r>
      <w:r>
        <w:rPr>
          <w:rtl w:val="true"/>
        </w:rPr>
        <w:t xml:space="preserve"> </w:t>
      </w:r>
      <w:r>
        <w:rPr>
          <w:rtl w:val="true"/>
        </w:rPr>
        <w:t>נפלה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פני</w:t>
      </w:r>
      <w:r>
        <w:rPr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 </w:t>
      </w:r>
      <w:r>
        <w:rPr>
          <w:rtl w:val="true"/>
        </w:rPr>
        <w:t>טעות</w:t>
      </w:r>
      <w:r>
        <w:rPr>
          <w:rtl w:val="true"/>
        </w:rPr>
        <w:t xml:space="preserve"> </w:t>
      </w:r>
      <w:r>
        <w:rPr>
          <w:rtl w:val="true"/>
        </w:rPr>
        <w:t>מהותית</w:t>
      </w:r>
      <w:r>
        <w:rPr>
          <w:rtl w:val="true"/>
        </w:rPr>
        <w:t xml:space="preserve"> </w:t>
      </w:r>
      <w:r>
        <w:rPr>
          <w:rtl w:val="true"/>
        </w:rPr>
        <w:t>ובולטת</w:t>
      </w:r>
      <w:r>
        <w:rPr>
          <w:rtl w:val="true"/>
        </w:rPr>
        <w:t xml:space="preserve"> </w:t>
      </w:r>
      <w:r>
        <w:rPr>
          <w:rtl w:val="true"/>
        </w:rPr>
        <w:t>בגזר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4124/21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רימוני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1.6.2022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1222/22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נאצר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10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23.</w:t>
      </w:r>
      <w:r>
        <w:rPr/>
        <w:t>6</w:t>
      </w:r>
      <w:r>
        <w:rPr/>
        <w:t>.2022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המקרה</w:t>
      </w:r>
      <w:r>
        <w:rPr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 </w:t>
      </w:r>
      <w:r>
        <w:rPr>
          <w:rtl w:val="true"/>
        </w:rPr>
        <w:t>נמנה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המקרים</w:t>
      </w:r>
      <w:r>
        <w:rPr>
          <w:rtl w:val="true"/>
        </w:rPr>
        <w:t xml:space="preserve"> </w:t>
      </w:r>
      <w:r>
        <w:rPr>
          <w:rtl w:val="true"/>
        </w:rPr>
        <w:t>המצדיקים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התערבות</w:t>
      </w:r>
      <w:r>
        <w:rPr>
          <w:rtl w:val="true"/>
        </w:rPr>
        <w:t xml:space="preserve"> </w:t>
      </w:r>
      <w:r>
        <w:rPr>
          <w:rtl w:val="true"/>
        </w:rPr>
        <w:t>ערכאת</w:t>
      </w:r>
      <w:r>
        <w:rPr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ה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הושת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מקל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עמ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יתר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המידה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tl w:val="true"/>
        </w:rPr>
        <w:t xml:space="preserve"> </w:t>
      </w:r>
      <w:r>
        <w:rPr>
          <w:rtl w:val="true"/>
        </w:rPr>
        <w:t>הולם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חומרת</w:t>
      </w:r>
      <w:r>
        <w:rPr>
          <w:rtl w:val="true"/>
        </w:rPr>
        <w:t xml:space="preserve"> </w:t>
      </w:r>
      <w:r>
        <w:rPr>
          <w:rtl w:val="true"/>
        </w:rPr>
        <w:t>מעשי</w:t>
      </w:r>
      <w:r>
        <w:rPr>
          <w:rtl w:val="true"/>
        </w:rPr>
        <w:t>ו</w:t>
      </w:r>
      <w:r>
        <w:rPr>
          <w:rtl w:val="true"/>
        </w:rPr>
        <w:t xml:space="preserve"> </w:t>
      </w:r>
      <w:r>
        <w:rPr>
          <w:rtl w:val="true"/>
        </w:rPr>
        <w:t>וסוטה</w:t>
      </w:r>
      <w:r>
        <w:rPr>
          <w:rtl w:val="true"/>
        </w:rPr>
        <w:t xml:space="preserve"> </w:t>
      </w:r>
      <w:r>
        <w:rPr>
          <w:rtl w:val="true"/>
        </w:rPr>
        <w:t>במידה</w:t>
      </w:r>
      <w:r>
        <w:rPr>
          <w:rtl w:val="true"/>
        </w:rPr>
        <w:t xml:space="preserve"> </w:t>
      </w:r>
      <w:r>
        <w:rPr>
          <w:rtl w:val="true"/>
        </w:rPr>
        <w:t>ניכרת</w:t>
      </w:r>
      <w:r>
        <w:rPr>
          <w:rtl w:val="true"/>
        </w:rPr>
        <w:t xml:space="preserve"> </w:t>
      </w:r>
      <w:r>
        <w:rPr>
          <w:rtl w:val="true"/>
        </w:rPr>
        <w:t>לקולה</w:t>
      </w:r>
      <w:r>
        <w:rPr>
          <w:rtl w:val="true"/>
        </w:rPr>
        <w:t xml:space="preserve"> </w:t>
      </w:r>
      <w:r>
        <w:rPr>
          <w:rtl w:val="true"/>
        </w:rPr>
        <w:t>ממדיניות</w:t>
      </w:r>
      <w:r>
        <w:rPr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 </w:t>
      </w:r>
      <w:r>
        <w:rPr>
          <w:rtl w:val="true"/>
        </w:rPr>
        <w:t>הנקוטה</w:t>
      </w:r>
      <w:r>
        <w:rPr>
          <w:rtl w:val="true"/>
        </w:rPr>
        <w:t xml:space="preserve"> </w:t>
      </w:r>
      <w:r>
        <w:rPr>
          <w:rtl w:val="true"/>
        </w:rPr>
        <w:t>בידינו</w:t>
      </w:r>
      <w:r>
        <w:rPr>
          <w:rtl w:val="true"/>
        </w:rPr>
        <w:t xml:space="preserve">.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נוכח הרפורמה בעבירות ההמתה</w:t>
      </w:r>
      <w:r>
        <w:rPr>
          <w:rtl w:val="true"/>
        </w:rPr>
        <w:t>.</w:t>
      </w:r>
      <w:r>
        <w:rPr>
          <w:rFonts w:cs="Arial TUR;Arial" w:ascii="Arial TUR;Arial" w:hAnsi="Arial TUR;Arial"/>
          <w:sz w:val="22"/>
          <w:rtl w:val="true"/>
        </w:rPr>
        <w:t xml:space="preserve">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אציע</w:t>
      </w:r>
      <w:r>
        <w:rPr>
          <w:rtl w:val="true"/>
        </w:rPr>
        <w:t xml:space="preserve"> </w:t>
      </w:r>
      <w:r>
        <w:rPr>
          <w:rtl w:val="true"/>
        </w:rPr>
        <w:t>לחבר</w:t>
      </w:r>
      <w:r>
        <w:rPr>
          <w:rtl w:val="true"/>
        </w:rPr>
        <w:t>ות</w:t>
      </w:r>
      <w:r>
        <w:rPr>
          <w:rtl w:val="true"/>
        </w:rPr>
        <w:t>יי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נקבל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ערעור</w:t>
      </w:r>
      <w:r>
        <w:rPr>
          <w:rtl w:val="true"/>
        </w:rPr>
        <w:t xml:space="preserve"> </w:t>
      </w:r>
      <w:r>
        <w:rPr>
          <w:rtl w:val="true"/>
        </w:rPr>
        <w:t>ונחמיר</w:t>
      </w:r>
      <w:r>
        <w:rPr>
          <w:rtl w:val="true"/>
        </w:rPr>
        <w:t xml:space="preserve"> </w:t>
      </w:r>
      <w:r>
        <w:rPr>
          <w:rtl w:val="true"/>
        </w:rPr>
        <w:t>בעונשו של המשיב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מסגרת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נורמטיבית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הרפורמה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בעבירות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ההמתה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ורצח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באדישות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היסוד הנפשי של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אדישות</w:t>
      </w:r>
      <w:r>
        <w:rPr>
          <w:rtl w:val="true"/>
        </w:rPr>
        <w:t xml:space="preserve"> מוגדר </w:t>
      </w:r>
      <w:hyperlink r:id="rId24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כ</w:t>
      </w:r>
      <w:r>
        <w:rPr>
          <w:shd w:fill="FFFFFF" w:val="clear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שוויון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נפש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לאפשרות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גרימת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התוצאות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האמורו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ת</w:t>
      </w:r>
      <w:r>
        <w:rPr>
          <w:shd w:fill="FFFFFF" w:val="clear"/>
          <w:rtl w:val="true"/>
        </w:rPr>
        <w:t xml:space="preserve">". </w:t>
      </w:r>
      <w:r>
        <w:rPr>
          <w:shd w:fill="FFFFFF" w:val="clear"/>
          <w:rtl w:val="true"/>
        </w:rPr>
        <w:t>היינו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במישור ההכרתי לעושה ישנה מודעות לאפשרות שהתוצאה תיגרם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 xml:space="preserve">אולם במישור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החפצי</w:t>
      </w:r>
      <w:r>
        <w:rPr>
          <w:shd w:fill="FFFFFF" w:val="clear"/>
          <w:rtl w:val="true"/>
        </w:rPr>
        <w:t xml:space="preserve"> לעושה לא אכפת אם הערך החברתי ייפגע אם לאו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והוא אינו מעדיף אפילו את אי התרחשות התוצאה על פני התרחשותה</w:t>
      </w:r>
      <w:r>
        <w:rPr>
          <w:shd w:fill="FFFFFF" w:val="clear"/>
          <w:rtl w:val="true"/>
        </w:rPr>
        <w:t xml:space="preserve">. </w:t>
      </w:r>
      <w:r>
        <w:rPr>
          <w:shd w:fill="FFFFFF" w:val="clear"/>
          <w:rtl w:val="true"/>
        </w:rPr>
        <w:t>זאת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להבדיל ממצב של כוונה בו העושה רוצה בהתגשמות התוצאה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 xml:space="preserve">וממצב של קלות דעת בו העושה רוצה שהתוצאה לא תיגרם </w:t>
      </w:r>
      <w:r>
        <w:rPr>
          <w:shd w:fill="FFFFFF" w:val="clear"/>
          <w:rtl w:val="true"/>
        </w:rPr>
        <w:t>(</w:t>
      </w:r>
      <w:r>
        <w:rPr>
          <w:shd w:fill="FFFFFF" w:val="clear"/>
          <w:rtl w:val="true"/>
        </w:rPr>
        <w:t xml:space="preserve">יצחק </w:t>
      </w:r>
      <w:hyperlink r:id="rId26">
        <w:r>
          <w:rPr>
            <w:rStyle w:val="Hyperlink"/>
            <w:color w:val="0000FF"/>
            <w:u w:val="single"/>
            <w:shd w:fill="FFFFFF" w:val="clear"/>
            <w:rtl w:val="true"/>
          </w:rPr>
          <w:t>קוגלר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 xml:space="preserve"> 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"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שני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 xml:space="preserve"> 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מושגים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 xml:space="preserve"> 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של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 xml:space="preserve"> 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אדישות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"</w:t>
        </w:r>
      </w:hyperlink>
      <w:r>
        <w:rPr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עלי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משפט</w:t>
      </w:r>
      <w:r>
        <w:rPr>
          <w:shd w:fill="FFFFFF" w:val="clear"/>
          <w:rtl w:val="true"/>
        </w:rPr>
        <w:t xml:space="preserve"> ה </w:t>
      </w:r>
      <w:r>
        <w:rPr>
          <w:shd w:fill="FFFFFF" w:val="clear"/>
        </w:rPr>
        <w:t>109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</w:rPr>
        <w:t>110</w:t>
      </w:r>
      <w:r>
        <w:rPr>
          <w:shd w:fill="FFFFFF" w:val="clear"/>
          <w:rtl w:val="true"/>
        </w:rPr>
        <w:t xml:space="preserve"> (</w:t>
      </w:r>
      <w:r>
        <w:rPr>
          <w:shd w:fill="FFFFFF" w:val="clear"/>
        </w:rPr>
        <w:t>2006</w:t>
      </w:r>
      <w:r>
        <w:rPr>
          <w:shd w:fill="FFFFFF" w:val="clear"/>
          <w:rtl w:val="true"/>
        </w:rPr>
        <w:t xml:space="preserve">)).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ההמתה</w:t>
      </w:r>
      <w:r>
        <w:rPr>
          <w:rtl w:val="true"/>
        </w:rPr>
        <w:t xml:space="preserve">, </w:t>
      </w:r>
      <w:r>
        <w:rPr>
          <w:rtl w:val="true"/>
        </w:rPr>
        <w:t>משמעות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האדיש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אדישות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המוות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אגב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למרות</w:t>
      </w:r>
      <w:r>
        <w:rPr>
          <w:rtl w:val="true"/>
        </w:rPr>
        <w:t xml:space="preserve">, </w:t>
      </w:r>
      <w:r>
        <w:rPr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המוגן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עד כניסתה לתוקף של הרפורמה בעבירות ההמתה</w:t>
      </w:r>
      <w:r>
        <w:rPr>
          <w:rtl w:val="true"/>
        </w:rPr>
        <w:t xml:space="preserve">, </w:t>
      </w:r>
      <w:r>
        <w:rPr>
          <w:rtl w:val="true"/>
        </w:rPr>
        <w:t>מקרים של המתה באדישות נמנו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 xml:space="preserve">בעבירת ההריגה אשר הייתה מנויה </w:t>
      </w:r>
      <w:hyperlink r:id="rId27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298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ביסוד חקיקת הרפורמה בעבירות ההמתה</w:t>
      </w:r>
      <w:r>
        <w:rPr>
          <w:rtl w:val="true"/>
        </w:rPr>
        <w:t xml:space="preserve">, </w:t>
      </w:r>
      <w:r>
        <w:rPr>
          <w:rtl w:val="true"/>
        </w:rPr>
        <w:t>ניצבה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 xml:space="preserve">העובדה כי עבירת ההריגה השתרעה על קשת רחבה למדי של מקרים </w:t>
      </w:r>
      <w:r>
        <w:rPr>
          <w:rtl w:val="true"/>
        </w:rPr>
        <w:t>–</w:t>
      </w:r>
      <w:r>
        <w:rPr>
          <w:rtl w:val="true"/>
        </w:rPr>
        <w:t xml:space="preserve"> החל מהמתה בקלות דעת</w:t>
      </w:r>
      <w:r>
        <w:rPr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עובר בהמתה באדישות וכלה</w:t>
      </w:r>
      <w:r>
        <w:rPr>
          <w:rtl w:val="true"/>
        </w:rPr>
        <w:t xml:space="preserve"> בהמתה מתוך כוונה ספונטנית </w:t>
      </w:r>
      <w:r>
        <w:rPr>
          <w:rtl w:val="true"/>
        </w:rPr>
        <w:t>(</w:t>
      </w:r>
      <w:r>
        <w:rPr>
          <w:rtl w:val="true"/>
        </w:rPr>
        <w:t xml:space="preserve">דברי ההסבר להצעת </w:t>
      </w:r>
      <w:hyperlink r:id="rId2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 מס</w:t>
      </w:r>
      <w:r>
        <w:rPr>
          <w:rtl w:val="true"/>
        </w:rPr>
        <w:t xml:space="preserve">' </w:t>
      </w:r>
      <w:r>
        <w:rPr/>
        <w:t>124</w:t>
      </w:r>
      <w:r>
        <w:rPr>
          <w:rtl w:val="true"/>
        </w:rPr>
        <w:t>) (</w:t>
      </w:r>
      <w:r>
        <w:rPr>
          <w:rtl w:val="true"/>
        </w:rPr>
        <w:t>עבירות המתה</w:t>
      </w:r>
      <w:r>
        <w:rPr>
          <w:rtl w:val="true"/>
        </w:rPr>
        <w:t xml:space="preserve">),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2015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/>
        <w:t>972</w:t>
      </w:r>
      <w:r>
        <w:rPr>
          <w:rtl w:val="true"/>
        </w:rPr>
        <w:t xml:space="preserve">, </w:t>
      </w:r>
      <w:r>
        <w:rPr/>
        <w:t>166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ההסבר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לחוק</w:t>
      </w:r>
      <w:r>
        <w:rPr>
          <w:rtl w:val="true"/>
        </w:rPr>
        <w:t xml:space="preserve">)).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במסגרת הרפורמה בעבירות ההמתה עוצב מדרג חדש של עבירות המתה שביסודו עיקרון האשמה וההכרה בחשיבות ערך חיי האדם </w:t>
      </w:r>
      <w:r>
        <w:rPr>
          <w:rtl w:val="true"/>
        </w:rPr>
        <w:t>(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 </w:t>
      </w:r>
      <w:r>
        <w:rPr>
          <w:rtl w:val="true"/>
        </w:rPr>
        <w:t>הצוות</w:t>
      </w:r>
      <w:r>
        <w:rPr>
          <w:rtl w:val="true"/>
        </w:rPr>
        <w:t xml:space="preserve"> </w:t>
      </w:r>
      <w:r>
        <w:rPr>
          <w:rtl w:val="true"/>
        </w:rPr>
        <w:t>לבחינת</w:t>
      </w:r>
      <w:r>
        <w:rPr>
          <w:rtl w:val="true"/>
        </w:rPr>
        <w:t xml:space="preserve"> </w:t>
      </w:r>
      <w:r>
        <w:rPr>
          <w:rtl w:val="true"/>
        </w:rPr>
        <w:t>יסודות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 </w:t>
      </w:r>
      <w:r>
        <w:rPr>
          <w:rtl w:val="true"/>
        </w:rPr>
        <w:t>ההמתה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וחשבון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2011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1077/22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קאדר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7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1.6</w:t>
      </w:r>
      <w:r>
        <w:rPr/>
        <w:t>.2022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קאדר</w:t>
      </w:r>
      <w:r>
        <w:rPr>
          <w:rtl w:val="true"/>
        </w:rPr>
        <w:t xml:space="preserve">); 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6338/20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7.7.2022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 xml:space="preserve">ברקע הרפורמה בעבירות ההמתה עמדה ביקורת על גדריהן העמומים של עבירות ההמתה </w:t>
      </w:r>
      <w:r>
        <w:rPr>
          <w:rtl w:val="true"/>
        </w:rPr>
        <w:t>(</w:t>
      </w:r>
      <w:r>
        <w:rPr>
          <w:rtl w:val="true"/>
        </w:rPr>
        <w:t>להרחבה ראו</w:t>
      </w:r>
      <w:r>
        <w:rPr>
          <w:rtl w:val="true"/>
        </w:rPr>
        <w:t xml:space="preserve">: 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3187/21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אלקאדי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10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21.</w:t>
      </w:r>
      <w:r>
        <w:rPr/>
        <w:t>8</w:t>
      </w:r>
      <w:r>
        <w:rPr/>
        <w:t>.2022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אלקאדי</w:t>
      </w:r>
      <w:r>
        <w:rPr>
          <w:rtl w:val="true"/>
        </w:rPr>
        <w:t>)).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ברפורמה פוצלה </w:t>
      </w:r>
      <w:r>
        <w:rPr>
          <w:rtl w:val="true"/>
        </w:rPr>
        <w:t>עבירת</w:t>
      </w:r>
      <w:r>
        <w:rPr>
          <w:rtl w:val="true"/>
        </w:rPr>
        <w:t xml:space="preserve"> </w:t>
      </w:r>
      <w:r>
        <w:rPr>
          <w:rtl w:val="true"/>
        </w:rPr>
        <w:t>ההריגה</w:t>
      </w:r>
      <w:r>
        <w:rPr>
          <w:rtl w:val="true"/>
        </w:rPr>
        <w:t xml:space="preserve">, </w:t>
      </w:r>
      <w:r>
        <w:rPr>
          <w:rtl w:val="true"/>
        </w:rPr>
        <w:t>כך ש</w:t>
      </w:r>
      <w:r>
        <w:rPr>
          <w:rtl w:val="true"/>
        </w:rPr>
        <w:t>המתה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באדישות</w:t>
      </w:r>
      <w:r>
        <w:rPr>
          <w:rtl w:val="true"/>
        </w:rPr>
        <w:t xml:space="preserve"> </w:t>
      </w:r>
      <w:r>
        <w:rPr>
          <w:rtl w:val="true"/>
        </w:rPr>
        <w:t>כלולה</w:t>
      </w:r>
      <w:r>
        <w:rPr>
          <w:rtl w:val="true"/>
        </w:rPr>
        <w:t xml:space="preserve"> </w:t>
      </w:r>
      <w:r>
        <w:rPr>
          <w:rtl w:val="true"/>
        </w:rPr>
        <w:t>כעת</w:t>
      </w:r>
      <w:r>
        <w:rPr>
          <w:rtl w:val="true"/>
        </w:rPr>
        <w:t xml:space="preserve"> </w:t>
      </w:r>
      <w:r>
        <w:rPr>
          <w:rtl w:val="true"/>
        </w:rPr>
        <w:t>בעבירת</w:t>
      </w:r>
      <w:r>
        <w:rPr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הבסיסית</w:t>
      </w:r>
      <w:r>
        <w:rPr>
          <w:rtl w:val="true"/>
        </w:rPr>
        <w:t xml:space="preserve">" </w:t>
      </w:r>
      <w:r>
        <w:rPr>
          <w:rtl w:val="true"/>
        </w:rPr>
        <w:t>(</w:t>
      </w:r>
      <w:hyperlink r:id="rId3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 xml:space="preserve">יחד עם המתה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בכוונה</w:t>
      </w:r>
      <w:r>
        <w:rPr>
          <w:rtl w:val="true"/>
        </w:rPr>
        <w:t xml:space="preserve">; </w:t>
      </w:r>
      <w:r>
        <w:rPr>
          <w:rtl w:val="true"/>
        </w:rPr>
        <w:t>ואילו עבירת ה</w:t>
      </w:r>
      <w:r>
        <w:rPr>
          <w:rtl w:val="true"/>
        </w:rPr>
        <w:t>המתה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בקלות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דעת</w:t>
      </w:r>
      <w:r>
        <w:rPr>
          <w:rtl w:val="true"/>
        </w:rPr>
        <w:t xml:space="preserve"> </w:t>
      </w:r>
      <w:r>
        <w:rPr>
          <w:rtl w:val="true"/>
        </w:rPr>
        <w:t>עומדת</w:t>
      </w:r>
      <w:r>
        <w:rPr>
          <w:rtl w:val="true"/>
        </w:rPr>
        <w:t xml:space="preserve"> </w:t>
      </w:r>
      <w:r>
        <w:rPr>
          <w:rtl w:val="true"/>
        </w:rPr>
        <w:t>בפני</w:t>
      </w:r>
      <w:r>
        <w:rPr>
          <w:rtl w:val="true"/>
        </w:rPr>
        <w:t xml:space="preserve"> </w:t>
      </w:r>
      <w:r>
        <w:rPr>
          <w:rtl w:val="true"/>
        </w:rPr>
        <w:t>עצמה</w:t>
      </w:r>
      <w:r>
        <w:rPr>
          <w:rtl w:val="true"/>
        </w:rPr>
        <w:t xml:space="preserve">, </w:t>
      </w:r>
      <w:r>
        <w:rPr>
          <w:rtl w:val="true"/>
        </w:rPr>
        <w:t>כעבירה</w:t>
      </w:r>
      <w:r>
        <w:rPr>
          <w:rtl w:val="true"/>
        </w:rPr>
        <w:t xml:space="preserve"> </w:t>
      </w:r>
      <w:r>
        <w:rPr>
          <w:rtl w:val="true"/>
        </w:rPr>
        <w:t>שחומרתה נמוכה יותר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3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ג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) (</w:t>
      </w:r>
      <w:hyperlink r:id="rId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55/20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רושרוש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19.7.2020</w:t>
      </w:r>
      <w:r>
        <w:rPr>
          <w:rtl w:val="true"/>
        </w:rPr>
        <w:t>)).</w:t>
      </w:r>
      <w:r>
        <w:rPr>
          <w:rtl w:val="true"/>
        </w:rPr>
        <w:t xml:space="preserve"> </w:t>
      </w:r>
      <w:r>
        <w:rPr>
          <w:rtl w:val="true"/>
        </w:rPr>
        <w:t xml:space="preserve">חלוקה זו באה לידי ביטוי בעונש הקבוע בצדן של העבירות </w:t>
      </w:r>
      <w:r>
        <w:rPr>
          <w:rtl w:val="true"/>
        </w:rPr>
        <w:t>–</w:t>
      </w:r>
      <w:r>
        <w:rPr>
          <w:rtl w:val="true"/>
        </w:rPr>
        <w:t xml:space="preserve"> העונש המרבי בגין רצח באדישות או בכוונה הוא עונש של מאסר עולם</w:t>
      </w:r>
      <w:r>
        <w:rPr>
          <w:rtl w:val="true"/>
        </w:rPr>
        <w:t xml:space="preserve">; </w:t>
      </w:r>
      <w:r>
        <w:rPr>
          <w:rtl w:val="true"/>
        </w:rPr>
        <w:t>ואילו בגין המתה בקלות דעת</w:t>
      </w:r>
      <w:r>
        <w:rPr>
          <w:rtl w:val="true"/>
        </w:rPr>
        <w:t xml:space="preserve">, </w:t>
      </w:r>
      <w:r>
        <w:rPr>
          <w:rtl w:val="true"/>
        </w:rPr>
        <w:t xml:space="preserve">העונש המרבי הוא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 xml:space="preserve">שנים </w:t>
      </w:r>
      <w:r>
        <w:rPr>
          <w:rtl w:val="true"/>
        </w:rPr>
        <w:t>(</w:t>
      </w:r>
      <w:r>
        <w:rPr>
          <w:rtl w:val="true"/>
        </w:rPr>
        <w:t>לגישות אחרות בדבר הדין הרצוי בעבירות ההמתה</w:t>
      </w:r>
      <w:r>
        <w:rPr>
          <w:rtl w:val="true"/>
        </w:rPr>
        <w:t xml:space="preserve">, </w:t>
      </w:r>
      <w:r>
        <w:rPr>
          <w:rtl w:val="true"/>
        </w:rPr>
        <w:t>ובפרט ביחס לעבירות המתה באדישות</w:t>
      </w:r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עמדת הסניגוריה הציבורית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הדו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23-22</w:t>
      </w:r>
      <w:r>
        <w:rPr>
          <w:rtl w:val="true"/>
        </w:rPr>
        <w:t xml:space="preserve">; </w:t>
      </w:r>
      <w:r>
        <w:rPr>
          <w:rtl w:val="true"/>
        </w:rPr>
        <w:t xml:space="preserve">מרים גור </w:t>
      </w:r>
      <w:hyperlink r:id="rId35">
        <w:r>
          <w:rPr>
            <w:rStyle w:val="Hyperlink"/>
            <w:color w:val="0000FF"/>
            <w:u w:val="single"/>
            <w:rtl w:val="true"/>
          </w:rPr>
          <w:t>אריה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הרפורמה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המוצעת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לעבירות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ההמתה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במשפט הישראלי לפי עיקרון האשמה</w:t>
      </w:r>
      <w:r>
        <w:rPr>
          <w:rtl w:val="true"/>
        </w:rPr>
        <w:t xml:space="preserve">"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משפטים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אתר</w:t>
      </w:r>
      <w:r>
        <w:rPr>
          <w:rtl w:val="true"/>
        </w:rPr>
        <w:t xml:space="preserve"> ה </w:t>
      </w:r>
      <w:r>
        <w:rPr/>
        <w:t>1</w:t>
      </w:r>
      <w:r>
        <w:rPr>
          <w:rtl w:val="true"/>
        </w:rPr>
        <w:t xml:space="preserve"> (</w:t>
      </w:r>
      <w:r>
        <w:rPr/>
        <w:t>2013</w:t>
      </w:r>
      <w:r>
        <w:rPr>
          <w:rtl w:val="true"/>
        </w:rPr>
        <w:t>)).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אם כן</w:t>
      </w:r>
      <w:r>
        <w:rPr>
          <w:rtl w:val="true"/>
        </w:rPr>
        <w:t xml:space="preserve">, </w:t>
      </w:r>
      <w:r>
        <w:rPr>
          <w:rtl w:val="true"/>
        </w:rPr>
        <w:t xml:space="preserve">הרפורמה בעבירות ההמתה החילה שני שינויים משמעותיים על מעשה המתה באדישות </w:t>
      </w:r>
      <w:r>
        <w:rPr>
          <w:rtl w:val="true"/>
        </w:rPr>
        <w:t>–</w:t>
      </w:r>
      <w:r>
        <w:rPr>
          <w:rtl w:val="true"/>
        </w:rPr>
        <w:t xml:space="preserve"> מעשה זה יכונה מעתה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רצח</w:t>
      </w:r>
      <w:r>
        <w:rPr>
          <w:rtl w:val="true"/>
        </w:rPr>
        <w:t xml:space="preserve">", </w:t>
      </w:r>
      <w:r>
        <w:rPr>
          <w:rtl w:val="true"/>
        </w:rPr>
        <w:t>על כל המשתמע מכך לגבי עונשו של הרוצח ו</w:t>
      </w:r>
      <w:r>
        <w:rPr>
          <w:rtl w:val="true"/>
        </w:rPr>
        <w:t>-"</w:t>
      </w:r>
      <w:r>
        <w:rPr>
          <w:rtl w:val="true"/>
        </w:rPr>
        <w:t>אות הקין</w:t>
      </w:r>
      <w:r>
        <w:rPr>
          <w:rtl w:val="true"/>
        </w:rPr>
        <w:t xml:space="preserve">" </w:t>
      </w:r>
      <w:r>
        <w:rPr>
          <w:rtl w:val="true"/>
        </w:rPr>
        <w:t xml:space="preserve">שיישא בעקבות מעשיו </w:t>
      </w:r>
      <w:r>
        <w:rPr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הדו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22-20</w:t>
      </w:r>
      <w:r>
        <w:rPr>
          <w:rtl w:val="true"/>
        </w:rPr>
        <w:t xml:space="preserve">); </w:t>
      </w:r>
      <w:r>
        <w:rPr>
          <w:rtl w:val="true"/>
        </w:rPr>
        <w:t>וכן</w:t>
      </w:r>
      <w:r>
        <w:rPr>
          <w:rtl w:val="true"/>
        </w:rPr>
        <w:t xml:space="preserve">, </w:t>
      </w:r>
      <w:r>
        <w:rPr>
          <w:rtl w:val="true"/>
        </w:rPr>
        <w:t xml:space="preserve">כריכתן יחד תחת עבירה אחת של מעשה המתה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באדישות</w:t>
      </w:r>
      <w:r>
        <w:rPr>
          <w:rtl w:val="true"/>
        </w:rPr>
        <w:t xml:space="preserve"> ומעשה המתה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בכוונה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על פני הדברים</w:t>
      </w:r>
      <w:r>
        <w:rPr>
          <w:rtl w:val="true"/>
        </w:rPr>
        <w:t xml:space="preserve">, </w:t>
      </w:r>
      <w:r>
        <w:rPr>
          <w:rtl w:val="true"/>
        </w:rPr>
        <w:t>שינויים אלו ביחס לעבירת המתה באדישות</w:t>
      </w:r>
      <w:r>
        <w:rPr>
          <w:rtl w:val="true"/>
        </w:rPr>
        <w:t xml:space="preserve">, </w:t>
      </w:r>
      <w:r>
        <w:rPr>
          <w:rtl w:val="true"/>
        </w:rPr>
        <w:t>אינם מובנים מאליהם כלל וכלל</w:t>
      </w:r>
      <w:r>
        <w:rPr>
          <w:rtl w:val="true"/>
        </w:rPr>
        <w:t xml:space="preserve">. </w:t>
      </w:r>
      <w:r>
        <w:rPr>
          <w:rtl w:val="true"/>
        </w:rPr>
        <w:t>לראשונה ב</w:t>
      </w:r>
      <w:hyperlink r:id="rId3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לפנינו עבירה המפרידה בין אדישות לקלות דעת כתנאי להתגבשות העבירה</w:t>
      </w:r>
      <w:r>
        <w:rPr>
          <w:rtl w:val="true"/>
        </w:rPr>
        <w:t xml:space="preserve">, </w:t>
      </w:r>
      <w:r>
        <w:rPr>
          <w:rtl w:val="true"/>
        </w:rPr>
        <w:t xml:space="preserve">ואשר בגדרה אדישות שוכנת לצד כוונה </w:t>
      </w:r>
      <w:r>
        <w:rPr>
          <w:rtl w:val="true"/>
        </w:rPr>
        <w:t>(</w:t>
      </w:r>
      <w:hyperlink r:id="rId37">
        <w:r>
          <w:rPr>
            <w:rStyle w:val="Hyperlink"/>
            <w:rtl w:val="true"/>
          </w:rPr>
          <w:t>מרים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גור</w:t>
        </w:r>
        <w:r>
          <w:rPr>
            <w:rStyle w:val="Hyperlink"/>
            <w:rtl w:val="true"/>
          </w:rPr>
          <w:t>-</w:t>
        </w:r>
        <w:r>
          <w:rPr>
            <w:rStyle w:val="Hyperlink"/>
            <w:rtl w:val="true"/>
          </w:rPr>
          <w:t>אריה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הרפורמה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בעבירות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ההמתה</w:t>
        </w:r>
        <w:r>
          <w:rPr>
            <w:rStyle w:val="Hyperlink"/>
            <w:rtl w:val="true"/>
          </w:rPr>
          <w:t xml:space="preserve">: </w:t>
        </w:r>
        <w:r>
          <w:rPr>
            <w:rStyle w:val="Hyperlink"/>
            <w:rtl w:val="true"/>
          </w:rPr>
          <w:t>על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מדרג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עבירות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ההמתה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ועל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רצח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מתוך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אדישות</w:t>
        </w:r>
        <w:r>
          <w:rPr>
            <w:rStyle w:val="Hyperlink"/>
            <w:rtl w:val="true"/>
          </w:rPr>
          <w:t>"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ספר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יעקב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וינרוט</w:t>
      </w:r>
      <w:r>
        <w:rPr>
          <w:rtl w:val="true"/>
        </w:rPr>
        <w:t xml:space="preserve"> </w:t>
      </w:r>
      <w:r>
        <w:rPr/>
        <w:t>441</w:t>
      </w:r>
      <w:r>
        <w:rPr>
          <w:rtl w:val="true"/>
        </w:rPr>
        <w:t xml:space="preserve">, </w:t>
      </w:r>
      <w:r>
        <w:rPr/>
        <w:t>447-446</w:t>
      </w:r>
      <w:r>
        <w:rPr>
          <w:rtl w:val="true"/>
        </w:rPr>
        <w:t xml:space="preserve"> (</w:t>
      </w:r>
      <w:r>
        <w:rPr>
          <w:rtl w:val="true"/>
        </w:rPr>
        <w:t>גרשון גונטובניק</w:t>
      </w:r>
      <w:r>
        <w:rPr>
          <w:rtl w:val="true"/>
        </w:rPr>
        <w:t xml:space="preserve">, </w:t>
      </w:r>
      <w:r>
        <w:rPr>
          <w:rtl w:val="true"/>
        </w:rPr>
        <w:t>אבי וינרוט</w:t>
      </w:r>
      <w:r>
        <w:rPr>
          <w:rtl w:val="true"/>
        </w:rPr>
        <w:t xml:space="preserve">, </w:t>
      </w:r>
      <w:r>
        <w:rPr>
          <w:rtl w:val="true"/>
        </w:rPr>
        <w:t xml:space="preserve">חיים זיכרמן עורכים </w:t>
      </w:r>
      <w:r>
        <w:rPr/>
        <w:t>2021</w:t>
      </w:r>
      <w:r>
        <w:rPr>
          <w:rtl w:val="true"/>
        </w:rPr>
        <w:t xml:space="preserve">)).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על רקע זה</w:t>
      </w:r>
      <w:r>
        <w:rPr>
          <w:rtl w:val="true"/>
        </w:rPr>
        <w:t xml:space="preserve">, </w:t>
      </w:r>
      <w:r>
        <w:rPr>
          <w:rtl w:val="true"/>
        </w:rPr>
        <w:t>ההיגיון שבכריכתן יחדיו של מעשי המתה באדישות והמתה בכוונה טמון בכך שהאשמה הניכרת ממעשי האדיש יסודה בכך שלא אכפת לו אם הערך החברתי ייפגע אם לאו</w:t>
      </w:r>
      <w:r>
        <w:rPr>
          <w:rtl w:val="true"/>
        </w:rPr>
        <w:t xml:space="preserve">. </w:t>
      </w:r>
      <w:r>
        <w:rPr>
          <w:rtl w:val="true"/>
        </w:rPr>
        <w:t>עבור האדיש</w:t>
      </w:r>
      <w:r>
        <w:rPr>
          <w:rtl w:val="true"/>
        </w:rPr>
        <w:t xml:space="preserve">, </w:t>
      </w:r>
      <w:r>
        <w:rPr>
          <w:rtl w:val="true"/>
        </w:rPr>
        <w:t>היעדר העדפה לגבי התרחשות התוצאה מבטאת בחירה מלאה מצדו לפגיעה אפשרית בערך המוגן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Fonts w:ascii="Century" w:hAnsi="Century" w:cs="Century"/>
          <w:rtl w:val="true"/>
        </w:rPr>
        <w:t>היחס השלילי והמזלזל</w:t>
      </w:r>
      <w:r>
        <w:rPr>
          <w:rtl w:val="true"/>
        </w:rPr>
        <w:t xml:space="preserve"> של האדיש כלפי ערך חיי אדם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והאשמה</w:t>
      </w:r>
      <w:r>
        <w:rPr>
          <w:rtl w:val="true"/>
        </w:rPr>
        <w:t xml:space="preserve"> הנודעת למעשיו בגין יחס זה</w:t>
      </w:r>
      <w:r>
        <w:rPr>
          <w:rtl w:val="true"/>
        </w:rPr>
        <w:t xml:space="preserve">, </w:t>
      </w:r>
      <w:r>
        <w:rPr>
          <w:rtl w:val="true"/>
        </w:rPr>
        <w:t>קרובים יותר למתכוון המייחל להגשמת התוצאה ופועל להוציאה לפועל</w:t>
      </w:r>
      <w:r>
        <w:rPr>
          <w:rtl w:val="true"/>
        </w:rPr>
        <w:t xml:space="preserve">, </w:t>
      </w:r>
      <w:r>
        <w:rPr>
          <w:rtl w:val="true"/>
        </w:rPr>
        <w:t xml:space="preserve">מאשר לקל הדעת המקווה שזו לא תתרחש </w:t>
      </w:r>
      <w:r>
        <w:rPr>
          <w:rtl w:val="true"/>
        </w:rPr>
        <w:t>(</w:t>
      </w:r>
      <w:r>
        <w:rPr>
          <w:rtl w:val="true"/>
        </w:rPr>
        <w:t>ראו בהרחבה</w:t>
      </w:r>
      <w:r>
        <w:rPr>
          <w:rtl w:val="true"/>
        </w:rPr>
        <w:t xml:space="preserve">: </w:t>
      </w:r>
      <w:r>
        <w:rPr>
          <w:rtl w:val="true"/>
        </w:rPr>
        <w:t>מרדכי</w:t>
      </w:r>
      <w:r>
        <w:rPr>
          <w:rtl w:val="true"/>
        </w:rPr>
        <w:t xml:space="preserve"> </w:t>
      </w:r>
      <w:r>
        <w:rPr>
          <w:rtl w:val="true"/>
        </w:rPr>
        <w:t>קרמניצר</w:t>
      </w:r>
      <w:r>
        <w:rPr>
          <w:rtl w:val="true"/>
        </w:rPr>
        <w:t xml:space="preserve"> </w:t>
      </w:r>
      <w:r>
        <w:rPr>
          <w:rtl w:val="true"/>
        </w:rPr>
        <w:t>וחאלד</w:t>
      </w:r>
      <w:r>
        <w:rPr>
          <w:rtl w:val="true"/>
        </w:rPr>
        <w:t xml:space="preserve"> </w:t>
      </w:r>
      <w:hyperlink r:id="rId38">
        <w:r>
          <w:rPr>
            <w:rStyle w:val="Hyperlink"/>
            <w:color w:val="0000FF"/>
            <w:u w:val="single"/>
            <w:rtl w:val="true"/>
          </w:rPr>
          <w:t>גנאים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הרפורמה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בעבירות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ההמתה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2019</w:t>
        </w:r>
      </w:hyperlink>
      <w:r>
        <w:rPr>
          <w:rFonts w:cs="Miriam" w:ascii="Century" w:hAnsi="Century"/>
          <w:b/>
          <w:spacing w:val="0"/>
          <w:szCs w:val="24"/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עקרונות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היסוד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ומחקר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היסטורי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והשוואתי</w:t>
      </w:r>
      <w:r>
        <w:rPr>
          <w:rtl w:val="true"/>
        </w:rPr>
        <w:t xml:space="preserve"> </w:t>
      </w:r>
      <w:r>
        <w:rPr/>
        <w:t>281-262</w:t>
      </w:r>
      <w:r>
        <w:rPr>
          <w:rtl w:val="true"/>
        </w:rPr>
        <w:t xml:space="preserve"> (</w:t>
      </w:r>
      <w:r>
        <w:rPr/>
        <w:t>2020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המחוקק ראה אף הוא באופן זה את מידת האשמה של מעשה המתה באדישות</w:t>
      </w:r>
      <w:r>
        <w:rPr>
          <w:rtl w:val="true"/>
        </w:rPr>
        <w:t xml:space="preserve">, </w:t>
      </w:r>
      <w:r>
        <w:rPr>
          <w:rtl w:val="true"/>
        </w:rPr>
        <w:t>כך בדברי ההסבר לתיקון החוק</w:t>
      </w:r>
      <w:r>
        <w:rPr>
          <w:rtl w:val="true"/>
        </w:rPr>
        <w:t>: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אדישות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בנוסחה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המוצע</w:t>
      </w:r>
      <w:r>
        <w:rPr>
          <w:rtl w:val="true"/>
        </w:rPr>
        <w:t xml:space="preserve">, </w:t>
      </w:r>
      <w:r>
        <w:rPr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מובהקת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העושה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האדיש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חפץ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בהשגת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הקטלנית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דווקא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מהעושה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להעדיף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להתרחשות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לאדיש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התוצאה</w:t>
      </w:r>
      <w:r>
        <w:rPr>
          <w:rtl w:val="true"/>
        </w:rPr>
        <w:t xml:space="preserve">.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יקופחו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זלזול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מובהק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והתנכרות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שבעטיים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מובהק</w:t>
      </w:r>
      <w:r>
        <w:rPr>
          <w:rtl w:val="true"/>
        </w:rPr>
        <w:t>" (</w:t>
      </w:r>
      <w:r>
        <w:rPr>
          <w:rtl w:val="true"/>
        </w:rPr>
        <w:t>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169</w:t>
      </w:r>
      <w:r>
        <w:rPr>
          <w:rtl w:val="true"/>
        </w:rPr>
        <w:t>)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מכלל האמור</w:t>
      </w:r>
      <w:r>
        <w:rPr>
          <w:rtl w:val="true"/>
        </w:rPr>
        <w:t xml:space="preserve">, </w:t>
      </w:r>
      <w:r>
        <w:rPr>
          <w:rtl w:val="true"/>
        </w:rPr>
        <w:t xml:space="preserve">עולה כי בעיני המחוקק המתה הנעשית ביסוד נפשי של אדישות משקפת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יחס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שלילי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וזלזול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ניכר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כלפי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חיי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אדם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3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1464/21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קפוסטין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45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11.</w:t>
      </w:r>
      <w:r>
        <w:rPr/>
        <w:t>9</w:t>
      </w:r>
      <w:r>
        <w:rPr/>
        <w:t>.2022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קפוסטין</w:t>
      </w:r>
      <w:r>
        <w:rPr>
          <w:rtl w:val="true"/>
        </w:rPr>
        <w:t xml:space="preserve">)), </w:t>
      </w:r>
      <w:r>
        <w:rPr>
          <w:rtl w:val="true"/>
        </w:rPr>
        <w:t xml:space="preserve">וכי הרפורמה בעבירות ההמתה מבטאת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החמרה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מהותית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ערכית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ועונשית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tl w:val="true"/>
        </w:rPr>
        <w:t>בענישה במקרה של רצח באדישות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מדיניות המחוקק ברפורמה בעבירות ההמתה היא המנחה את דרכנו</w:t>
      </w:r>
      <w:r>
        <w:rPr>
          <w:rtl w:val="true"/>
        </w:rPr>
        <w:t xml:space="preserve">, </w:t>
      </w:r>
      <w:r>
        <w:rPr>
          <w:rtl w:val="true"/>
        </w:rPr>
        <w:t>עת אנו עוסקים בעיצוב הענישה בעבירת הרצח באדישות בכלל</w:t>
      </w:r>
      <w:r>
        <w:rPr>
          <w:rtl w:val="true"/>
        </w:rPr>
        <w:t xml:space="preserve">, </w:t>
      </w:r>
      <w:r>
        <w:rPr>
          <w:rtl w:val="true"/>
        </w:rPr>
        <w:t>ובגזירת עונשו של המשיב דנן בפרט</w:t>
      </w:r>
      <w:r>
        <w:rPr>
          <w:rtl w:val="true"/>
        </w:rPr>
        <w:t xml:space="preserve">. </w:t>
      </w:r>
      <w:r>
        <w:rPr>
          <w:rtl w:val="true"/>
        </w:rPr>
        <w:t>לכך אפנה כעת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הכלל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הפרט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אשר כעס כששמע על פציעת אחיו</w:t>
      </w:r>
      <w:r>
        <w:rPr>
          <w:rtl w:val="true"/>
        </w:rPr>
        <w:t xml:space="preserve">, </w:t>
      </w:r>
      <w:r>
        <w:rPr>
          <w:rtl w:val="true"/>
        </w:rPr>
        <w:t>הגיע בריצה למקום הקטטה בכפר זרזיר</w:t>
      </w:r>
      <w:r>
        <w:rPr>
          <w:rtl w:val="true"/>
        </w:rPr>
        <w:t xml:space="preserve">, </w:t>
      </w:r>
      <w:r>
        <w:rPr>
          <w:rtl w:val="true"/>
        </w:rPr>
        <w:t xml:space="preserve">נטל קרש עץ מסיבי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והכה באמצעותו את המנוח בחלק האחורי של ראשו</w:t>
      </w:r>
      <w:r>
        <w:rPr>
          <w:rtl w:val="true"/>
        </w:rPr>
        <w:t xml:space="preserve">. </w:t>
      </w:r>
      <w:r>
        <w:rPr>
          <w:rtl w:val="true"/>
        </w:rPr>
        <w:t>המנוח היה קרבן אקראי אשר נקלע לאזור משיצא מביתו</w:t>
      </w:r>
      <w:r>
        <w:rPr>
          <w:rtl w:val="true"/>
        </w:rPr>
        <w:t xml:space="preserve">, </w:t>
      </w:r>
      <w:r>
        <w:rPr>
          <w:rtl w:val="true"/>
        </w:rPr>
        <w:t>יחד עם בני משפחתו</w:t>
      </w:r>
      <w:r>
        <w:rPr>
          <w:rtl w:val="true"/>
        </w:rPr>
        <w:t xml:space="preserve">, </w:t>
      </w:r>
      <w:r>
        <w:rPr>
          <w:rtl w:val="true"/>
        </w:rPr>
        <w:t>כדי לעמוד על הצעקות והרעש שנשמעו בסמוך לביתו</w:t>
      </w:r>
      <w:r>
        <w:rPr>
          <w:rtl w:val="true"/>
        </w:rPr>
        <w:t xml:space="preserve">. </w:t>
      </w:r>
      <w:r>
        <w:rPr>
          <w:rtl w:val="true"/>
        </w:rPr>
        <w:t>לאחר שהמנוח נפל ארצה מעוצמת המכה שהונחתה על ראשו</w:t>
      </w:r>
      <w:r>
        <w:rPr>
          <w:rtl w:val="true"/>
        </w:rPr>
        <w:t xml:space="preserve">, </w:t>
      </w:r>
      <w:r>
        <w:rPr>
          <w:rtl w:val="true"/>
        </w:rPr>
        <w:t>המשיב עזב את המקום ולא הושיט עזרה למנוח השרוע על הארץ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בכפו</w:t>
      </w:r>
      <w:r>
        <w:rPr>
          <w:rtl w:val="true"/>
        </w:rPr>
        <w:t xml:space="preserve">. </w:t>
      </w:r>
      <w:r>
        <w:rPr>
          <w:rtl w:val="true"/>
        </w:rPr>
        <w:t>השרירותיות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בתקפו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באחיו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מחרידה</w:t>
      </w:r>
      <w:r>
        <w:rPr>
          <w:rtl w:val="true"/>
        </w:rPr>
        <w:t xml:space="preserve">.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מעצימה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הנעוץ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באובדן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העוצמתית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הנחית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נגדעו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והומט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מבטאים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בעיניו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עזב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. </w:t>
      </w:r>
      <w:r>
        <w:rPr>
          <w:rtl w:val="true"/>
        </w:rPr>
        <w:t>כשם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</w:t>
      </w:r>
      <w:r>
        <w:rPr>
          <w:rtl w:val="true"/>
        </w:rPr>
        <w:t xml:space="preserve">;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להזעיק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רפואי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להעניק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לוּ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בסיסי</w:t>
      </w:r>
      <w:r>
        <w:rPr>
          <w:rtl w:val="true"/>
        </w:rPr>
        <w:t xml:space="preserve">.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מחייבים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ומרתיעה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מובנים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מדיניות הענישה הנוהגת בעבירות ההמתה לאחר הרפורמה עודנה בשלביה הראשונים</w:t>
      </w:r>
      <w:r>
        <w:rPr>
          <w:rtl w:val="true"/>
        </w:rPr>
        <w:t xml:space="preserve">, </w:t>
      </w:r>
      <w:r>
        <w:rPr>
          <w:rtl w:val="true"/>
        </w:rPr>
        <w:t>והיא נרקמת בהדרגה ממקרה אחד למשנהו</w:t>
      </w:r>
      <w:r>
        <w:rPr>
          <w:rtl w:val="true"/>
        </w:rPr>
        <w:t xml:space="preserve">. </w:t>
      </w:r>
      <w:r>
        <w:rPr>
          <w:rtl w:val="true"/>
        </w:rPr>
        <w:t>בכל זאת</w:t>
      </w:r>
      <w:r>
        <w:rPr>
          <w:rtl w:val="true"/>
        </w:rPr>
        <w:t xml:space="preserve">, </w:t>
      </w:r>
      <w:r>
        <w:rPr>
          <w:rtl w:val="true"/>
        </w:rPr>
        <w:t>כפי שהבהרתי במקרה קודם</w:t>
      </w:r>
      <w:r>
        <w:rPr>
          <w:rtl w:val="true"/>
        </w:rPr>
        <w:t>: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שבמצוות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המחוקק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תוקן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ושונה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המידה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לאורם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יפעל</w:t>
      </w:r>
      <w:r>
        <w:rPr>
          <w:rtl w:val="true"/>
        </w:rPr>
        <w:t>" 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אלקאדי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11</w:t>
      </w:r>
      <w:r>
        <w:rPr>
          <w:rtl w:val="true"/>
        </w:rPr>
        <w:t>).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בהתאם</w:t>
      </w:r>
      <w:r>
        <w:rPr>
          <w:rtl w:val="true"/>
        </w:rPr>
        <w:t xml:space="preserve">, </w:t>
      </w:r>
      <w:r>
        <w:rPr>
          <w:rtl w:val="true"/>
        </w:rPr>
        <w:t>כפי שפורט לעיל בהרחבה</w:t>
      </w:r>
      <w:r>
        <w:rPr>
          <w:rtl w:val="true"/>
        </w:rPr>
        <w:t xml:space="preserve">, </w:t>
      </w:r>
      <w:r>
        <w:rPr>
          <w:rtl w:val="true"/>
        </w:rPr>
        <w:t xml:space="preserve">קביעת המחוקק כי המתה באדישות נכללת תחת עבירת הרצח </w:t>
      </w:r>
      <w:r>
        <w:rPr>
          <w:rtl w:val="true"/>
        </w:rPr>
        <w:t>"</w:t>
      </w:r>
      <w:r>
        <w:rPr>
          <w:rtl w:val="true"/>
        </w:rPr>
        <w:t>הבסיסית</w:t>
      </w:r>
      <w:r>
        <w:rPr>
          <w:rtl w:val="true"/>
        </w:rPr>
        <w:t xml:space="preserve">", </w:t>
      </w:r>
      <w:r>
        <w:rPr>
          <w:rtl w:val="true"/>
        </w:rPr>
        <w:t>לצד מעשה המתה בכוונה</w:t>
      </w:r>
      <w:r>
        <w:rPr>
          <w:rtl w:val="true"/>
        </w:rPr>
        <w:t xml:space="preserve">, </w:t>
      </w:r>
      <w:r>
        <w:rPr>
          <w:rtl w:val="true"/>
        </w:rPr>
        <w:t>מלמדת על שינוי מהותי</w:t>
      </w:r>
      <w:r>
        <w:rPr>
          <w:rtl w:val="true"/>
        </w:rPr>
        <w:t xml:space="preserve">, </w:t>
      </w:r>
      <w:r>
        <w:rPr>
          <w:rtl w:val="true"/>
        </w:rPr>
        <w:t>ערכי ונורמטיבי ביחס אליה</w:t>
      </w:r>
      <w:r>
        <w:rPr>
          <w:rtl w:val="true"/>
        </w:rPr>
        <w:t xml:space="preserve">.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 xml:space="preserve">המחוקק ביקש להוביל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החמרה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tl w:val="true"/>
        </w:rPr>
        <w:t>בענישה המתבטאת הן בעונש המרבי הן בתיוגו של העבריין כרוצח</w:t>
      </w:r>
      <w:r>
        <w:rPr>
          <w:rtl w:val="true"/>
        </w:rPr>
        <w:t xml:space="preserve">. </w:t>
      </w:r>
      <w:r>
        <w:rPr>
          <w:rtl w:val="true"/>
        </w:rPr>
        <w:t>כך כתבתי רק לאחרונה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הכללת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אדישות</w:t>
      </w:r>
      <w:r>
        <w:rPr>
          <w:rtl w:val="true"/>
        </w:rPr>
        <w:t xml:space="preserve">" </w:t>
      </w:r>
      <w:r>
        <w:rPr>
          <w:rtl w:val="true"/>
        </w:rPr>
        <w:t>בגדר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החידושים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החשובים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שבתיקון</w:t>
      </w:r>
      <w:r>
        <w:rPr>
          <w:rFonts w:eastAsia="Arial TUR;Arial" w:cs="Arial TUR;Arial"/>
          <w:rtl w:val="true"/>
        </w:rPr>
        <w:t xml:space="preserve"> </w:t>
      </w:r>
      <w:r>
        <w:rPr/>
        <w:t>137</w:t>
      </w:r>
      <w:r>
        <w:rPr>
          <w:rtl w:val="true"/>
        </w:rPr>
        <w:t xml:space="preserve">. </w:t>
      </w:r>
      <w:r>
        <w:rPr>
          <w:rtl w:val="true"/>
        </w:rPr>
        <w:t>חידוש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נורמטיבית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וממחיש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הגדולה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החפצי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הכוונה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בחידוש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ובתפיסה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לקדושת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האדם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הגוזרים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הממיתים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באדישות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שבתיקון</w:t>
      </w:r>
      <w:r>
        <w:rPr>
          <w:rtl w:val="true"/>
        </w:rPr>
        <w:t xml:space="preserve">, </w:t>
      </w:r>
      <w:r>
        <w:rPr>
          <w:rtl w:val="true"/>
        </w:rPr>
        <w:t>ולצקת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וגבוהה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נוהגת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התיקון</w:t>
      </w:r>
      <w:r>
        <w:rPr>
          <w:rtl w:val="true"/>
        </w:rPr>
        <w:t xml:space="preserve">,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ההריגה</w:t>
      </w:r>
      <w:r>
        <w:rPr>
          <w:rtl w:val="true"/>
        </w:rPr>
        <w:t>" (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קפוסטין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51</w:t>
      </w:r>
      <w:r>
        <w:rPr>
          <w:rtl w:val="true"/>
        </w:rPr>
        <w:t>).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אף מבחינה זו</w:t>
      </w:r>
      <w:r>
        <w:rPr>
          <w:rtl w:val="true"/>
        </w:rPr>
        <w:t xml:space="preserve">, </w:t>
      </w:r>
      <w:r>
        <w:rPr>
          <w:rtl w:val="true"/>
        </w:rPr>
        <w:t>מתחם העונש אשר נקבע בעניינו של המשיב אינו הולם את חומרת מעשיו</w:t>
      </w:r>
      <w:r>
        <w:rPr>
          <w:rtl w:val="true"/>
        </w:rPr>
        <w:t xml:space="preserve">, </w:t>
      </w:r>
      <w:r>
        <w:rPr>
          <w:rtl w:val="true"/>
        </w:rPr>
        <w:t>והעונש אשר נגזר עליו מקל עמו במידה ניכרת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בהקשר זה</w:t>
      </w:r>
      <w:r>
        <w:rPr>
          <w:rtl w:val="true"/>
        </w:rPr>
        <w:t xml:space="preserve">, </w:t>
      </w:r>
      <w:r>
        <w:rPr>
          <w:rtl w:val="true"/>
        </w:rPr>
        <w:t>אעיר כי כפי שקבעתי לא אחת זה מכבר</w:t>
      </w:r>
      <w:r>
        <w:rPr>
          <w:rtl w:val="true"/>
        </w:rPr>
        <w:t xml:space="preserve">, </w:t>
      </w:r>
      <w:r>
        <w:rPr>
          <w:rtl w:val="true"/>
        </w:rPr>
        <w:t xml:space="preserve">ראוי לקבוע מתחם עונש הולם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מצומצם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בעבירות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הרצח</w:t>
      </w:r>
      <w:r>
        <w:rPr>
          <w:rtl w:val="true"/>
        </w:rPr>
        <w:t xml:space="preserve"> אשר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ידגיש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מרכזיות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עיקרון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ההלימה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ויצמצם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השפעתן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נסיבות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שאינן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קשורות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בביצוע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העבירה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באופן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בקנה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הרפורמה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להבניית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שיקול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בענישה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הרפורמה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בעבירות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ההמתה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עקרון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קדושת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האדם</w:t>
      </w:r>
      <w:r>
        <w:rPr>
          <w:rtl w:val="true"/>
        </w:rPr>
        <w:t>" 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קאדר</w:t>
      </w:r>
      <w:r>
        <w:rPr>
          <w:rtl w:val="true"/>
        </w:rPr>
        <w:t xml:space="preserve">, </w:t>
      </w:r>
      <w:r>
        <w:rPr>
          <w:rtl w:val="true"/>
        </w:rPr>
        <w:t>פסק</w:t>
      </w:r>
      <w:r>
        <w:rPr>
          <w:rtl w:val="true"/>
        </w:rPr>
        <w:t>ה</w:t>
      </w:r>
      <w:r>
        <w:rPr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). </w:t>
      </w:r>
      <w:r>
        <w:rPr>
          <w:rtl w:val="true"/>
        </w:rPr>
        <w:t>יוצא אפוא</w:t>
      </w:r>
      <w:r>
        <w:rPr>
          <w:rtl w:val="true"/>
        </w:rPr>
        <w:t xml:space="preserve">, </w:t>
      </w:r>
      <w:r>
        <w:rPr>
          <w:rtl w:val="true"/>
        </w:rPr>
        <w:t>כי מלבד העובדה שמתחם העונש שנקבע מקל עם המשיב במידה ניכרת</w:t>
      </w:r>
      <w:r>
        <w:rPr>
          <w:rtl w:val="true"/>
        </w:rPr>
        <w:t xml:space="preserve">, </w:t>
      </w:r>
      <w:r>
        <w:rPr>
          <w:rtl w:val="true"/>
        </w:rPr>
        <w:t xml:space="preserve">היקף פרישתו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 xml:space="preserve">עד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, </w:t>
      </w:r>
      <w:r>
        <w:rPr>
          <w:rtl w:val="true"/>
        </w:rPr>
        <w:t>רחב יתר על המידה</w:t>
      </w:r>
      <w:r>
        <w:rPr>
          <w:rtl w:val="true"/>
        </w:rPr>
        <w:t xml:space="preserve">, </w:t>
      </w:r>
      <w:r>
        <w:rPr>
          <w:rtl w:val="true"/>
        </w:rPr>
        <w:t>וכתוצאה מכך מקנה משקל חסר לשיקולי הלימה</w:t>
      </w:r>
      <w:r>
        <w:rPr>
          <w:rtl w:val="true"/>
        </w:rPr>
        <w:t xml:space="preserve">, </w:t>
      </w:r>
      <w:r>
        <w:rPr>
          <w:rtl w:val="true"/>
        </w:rPr>
        <w:t>ומשקל יתר לשיקולים אחרים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בהינתן האמור</w:t>
      </w:r>
      <w:r>
        <w:rPr>
          <w:rtl w:val="true"/>
        </w:rPr>
        <w:t xml:space="preserve">, </w:t>
      </w:r>
      <w:r>
        <w:rPr>
          <w:rtl w:val="true"/>
        </w:rPr>
        <w:t xml:space="preserve">אמנם מתחם העונש לו עתרה המערערת בבית המשפט המחוזי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 xml:space="preserve">עד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, </w:t>
      </w:r>
      <w:r>
        <w:rPr>
          <w:rtl w:val="true"/>
        </w:rPr>
        <w:t>רחב אף הוא במידת מה יתר על המידה</w:t>
      </w:r>
      <w:r>
        <w:rPr>
          <w:rtl w:val="true"/>
        </w:rPr>
        <w:t xml:space="preserve">, </w:t>
      </w:r>
      <w:r>
        <w:rPr>
          <w:rtl w:val="true"/>
        </w:rPr>
        <w:t>אולם בנסיבות האמורות מתחם זה הולם את מעשי המשיב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כאן המקום לעמוד על כך שלעמדת המערערת</w:t>
      </w:r>
      <w:r>
        <w:rPr>
          <w:rtl w:val="true"/>
        </w:rPr>
        <w:t xml:space="preserve">, </w:t>
      </w:r>
      <w:r>
        <w:rPr>
          <w:rtl w:val="true"/>
        </w:rPr>
        <w:t>כפי שפורטה בכתב הערעור</w:t>
      </w:r>
      <w:r>
        <w:rPr>
          <w:rtl w:val="true"/>
        </w:rPr>
        <w:t xml:space="preserve">, </w:t>
      </w:r>
      <w:r>
        <w:rPr>
          <w:rtl w:val="true"/>
        </w:rPr>
        <w:t>ובמענה לשאלתי אל באת</w:t>
      </w:r>
      <w:r>
        <w:rPr>
          <w:rtl w:val="true"/>
        </w:rPr>
        <w:t>-</w:t>
      </w:r>
      <w:r>
        <w:rPr>
          <w:rtl w:val="true"/>
        </w:rPr>
        <w:t xml:space="preserve">כוח המערערת במהלך הדיון לפנינו </w:t>
      </w:r>
      <w:r>
        <w:rPr>
          <w:rtl w:val="true"/>
        </w:rPr>
        <w:t>–</w:t>
      </w:r>
      <w:r>
        <w:rPr>
          <w:rtl w:val="true"/>
        </w:rPr>
        <w:t xml:space="preserve"> ככלל</w:t>
      </w:r>
      <w:r>
        <w:rPr>
          <w:rtl w:val="true"/>
        </w:rPr>
        <w:t xml:space="preserve">, </w:t>
      </w:r>
      <w:r>
        <w:rPr>
          <w:rtl w:val="true"/>
        </w:rPr>
        <w:t>מתחם הענישה בעבירת רצח באדישות לא יירד מ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. </w:t>
      </w:r>
      <w:r>
        <w:rPr>
          <w:rtl w:val="true"/>
        </w:rPr>
        <w:t>היינו</w:t>
      </w:r>
      <w:r>
        <w:rPr>
          <w:rtl w:val="true"/>
        </w:rPr>
        <w:t xml:space="preserve">, </w:t>
      </w:r>
      <w:r>
        <w:rPr>
          <w:rtl w:val="true"/>
        </w:rPr>
        <w:t xml:space="preserve">העונש המרבי הקבוע בצד עבירת המתה בקלות דעת </w:t>
      </w:r>
      <w:r>
        <w:rPr>
          <w:rtl w:val="true"/>
        </w:rPr>
        <w:t>(</w:t>
      </w:r>
      <w:r>
        <w:rPr>
          <w:rtl w:val="true"/>
        </w:rPr>
        <w:t xml:space="preserve">פרוטוקול הדיון מיום </w:t>
      </w:r>
      <w:r>
        <w:rPr/>
        <w:t>7.11.2022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23-11</w:t>
      </w:r>
      <w:r>
        <w:rPr>
          <w:rtl w:val="true"/>
        </w:rPr>
        <w:t xml:space="preserve">). </w:t>
      </w:r>
      <w:r>
        <w:rPr>
          <w:rtl w:val="true"/>
        </w:rPr>
        <w:t>במבט ראשון</w:t>
      </w:r>
      <w:r>
        <w:rPr>
          <w:rtl w:val="true"/>
        </w:rPr>
        <w:t xml:space="preserve">, </w:t>
      </w:r>
      <w:r>
        <w:rPr>
          <w:rtl w:val="true"/>
        </w:rPr>
        <w:t>בעמדה</w:t>
      </w:r>
      <w:r>
        <w:rPr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 </w:t>
      </w:r>
      <w:r>
        <w:rPr>
          <w:rtl w:val="true"/>
        </w:rPr>
        <w:t>יש</w:t>
      </w:r>
      <w:r>
        <w:rPr>
          <w:rtl w:val="true"/>
        </w:rPr>
        <w:t xml:space="preserve"> </w:t>
      </w:r>
      <w:r>
        <w:rPr>
          <w:rtl w:val="true"/>
        </w:rPr>
        <w:t>טעם</w:t>
      </w:r>
      <w:r>
        <w:rPr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כמפורט לעיל</w:t>
      </w:r>
      <w:r>
        <w:rPr>
          <w:rtl w:val="true"/>
        </w:rPr>
        <w:t xml:space="preserve">, </w:t>
      </w:r>
      <w:r>
        <w:rPr>
          <w:rtl w:val="true"/>
        </w:rPr>
        <w:t xml:space="preserve">המחוקק ביקש ברפורמה בעבירות ההמתה לעצב מדרג עבירות חדש המשקף נאמנה את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חומרת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המעשים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מידת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אשמתו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מבצעם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tl w:val="true"/>
        </w:rPr>
        <w:t xml:space="preserve">, </w:t>
      </w:r>
      <w:r>
        <w:rPr>
          <w:rtl w:val="true"/>
        </w:rPr>
        <w:t>המחוקק הגדיר מחדש את עבירות ההמתה</w:t>
      </w:r>
      <w:r>
        <w:rPr>
          <w:rtl w:val="true"/>
        </w:rPr>
        <w:t xml:space="preserve">, </w:t>
      </w:r>
      <w:r>
        <w:rPr>
          <w:rtl w:val="true"/>
        </w:rPr>
        <w:t xml:space="preserve">בין היתר </w:t>
      </w:r>
      <w:r>
        <w:rPr>
          <w:rtl w:val="true"/>
        </w:rPr>
        <w:t>–</w:t>
      </w:r>
      <w:r>
        <w:rPr>
          <w:rtl w:val="true"/>
        </w:rPr>
        <w:t xml:space="preserve"> עבירת הרצח בנסיבות מחמירות</w:t>
      </w:r>
      <w:r>
        <w:rPr>
          <w:rtl w:val="true"/>
        </w:rPr>
        <w:t xml:space="preserve">; </w:t>
      </w:r>
      <w:r>
        <w:rPr>
          <w:rtl w:val="true"/>
        </w:rPr>
        <w:t xml:space="preserve">עבירת הרצח </w:t>
      </w:r>
      <w:r>
        <w:rPr>
          <w:rtl w:val="true"/>
        </w:rPr>
        <w:t>"</w:t>
      </w:r>
      <w:r>
        <w:rPr>
          <w:rtl w:val="true"/>
        </w:rPr>
        <w:t>הבסיסית</w:t>
      </w:r>
      <w:r>
        <w:rPr>
          <w:rtl w:val="true"/>
        </w:rPr>
        <w:t xml:space="preserve">"; </w:t>
      </w:r>
      <w:r>
        <w:rPr>
          <w:rtl w:val="true"/>
        </w:rPr>
        <w:t>ועבירת המתה בקלות דעת</w:t>
      </w:r>
      <w:r>
        <w:rPr>
          <w:rtl w:val="true"/>
        </w:rPr>
        <w:t xml:space="preserve">.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tl w:val="true"/>
        </w:rPr>
        <w:t xml:space="preserve"> </w:t>
      </w:r>
      <w:r>
        <w:rPr>
          <w:rtl w:val="true"/>
        </w:rPr>
        <w:t>הגיון</w:t>
      </w:r>
      <w:r>
        <w:rPr>
          <w:rtl w:val="true"/>
        </w:rPr>
        <w:t xml:space="preserve"> </w:t>
      </w:r>
      <w:r>
        <w:rPr>
          <w:rtl w:val="true"/>
        </w:rPr>
        <w:t>מסוים בכך</w:t>
      </w:r>
      <w:r>
        <w:rPr>
          <w:rtl w:val="true"/>
        </w:rPr>
        <w:t xml:space="preserve"> </w:t>
      </w:r>
      <w:r>
        <w:rPr>
          <w:rtl w:val="true"/>
        </w:rPr>
        <w:t>שמתחם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 </w:t>
      </w:r>
      <w:r>
        <w:rPr>
          <w:rtl w:val="true"/>
        </w:rPr>
        <w:t>הנקבע</w:t>
      </w:r>
      <w:r>
        <w:rPr>
          <w:rtl w:val="true"/>
        </w:rPr>
        <w:t xml:space="preserve"> </w:t>
      </w:r>
      <w:r>
        <w:rPr>
          <w:rtl w:val="true"/>
        </w:rPr>
        <w:t>בעבירת</w:t>
      </w:r>
      <w:r>
        <w:rPr>
          <w:rtl w:val="true"/>
        </w:rPr>
        <w:t xml:space="preserve"> </w:t>
      </w:r>
      <w:r>
        <w:rPr>
          <w:rtl w:val="true"/>
        </w:rPr>
        <w:t>המתה</w:t>
      </w:r>
      <w:r>
        <w:rPr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יזלוג</w:t>
      </w:r>
      <w:r>
        <w:rPr>
          <w:rtl w:val="true"/>
        </w:rPr>
        <w:t xml:space="preserve"> </w:t>
      </w:r>
      <w:r>
        <w:rPr>
          <w:rtl w:val="true"/>
        </w:rPr>
        <w:t>לתחומה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עבירת</w:t>
      </w:r>
      <w:r>
        <w:rPr>
          <w:rtl w:val="true"/>
        </w:rPr>
        <w:t xml:space="preserve"> </w:t>
      </w:r>
      <w:r>
        <w:rPr>
          <w:rtl w:val="true"/>
        </w:rPr>
        <w:t>המתה</w:t>
      </w:r>
      <w:r>
        <w:rPr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 – </w:t>
      </w:r>
      <w:r>
        <w:rPr>
          <w:rtl w:val="true"/>
        </w:rPr>
        <w:t>קלה</w:t>
      </w:r>
      <w:r>
        <w:rPr>
          <w:rtl w:val="true"/>
        </w:rPr>
        <w:t xml:space="preserve"> </w:t>
      </w:r>
      <w:r>
        <w:rPr>
          <w:rtl w:val="true"/>
        </w:rPr>
        <w:t>הימנה</w:t>
      </w:r>
      <w:r>
        <w:rPr>
          <w:rtl w:val="true"/>
        </w:rPr>
        <w:t xml:space="preserve">.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 xml:space="preserve">ניתן לטעון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המתה</w:t>
      </w:r>
      <w:r>
        <w:rPr>
          <w:rtl w:val="true"/>
        </w:rPr>
        <w:t xml:space="preserve"> </w:t>
      </w:r>
      <w:r>
        <w:rPr>
          <w:rtl w:val="true"/>
        </w:rPr>
        <w:t>באדישות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tl w:val="true"/>
        </w:rPr>
        <w:t xml:space="preserve"> </w:t>
      </w:r>
      <w:r>
        <w:rPr>
          <w:rtl w:val="true"/>
        </w:rPr>
        <w:t>ברף</w:t>
      </w:r>
      <w:r>
        <w:rPr>
          <w:rtl w:val="true"/>
        </w:rPr>
        <w:t xml:space="preserve"> </w:t>
      </w:r>
      <w:r>
        <w:rPr>
          <w:rtl w:val="true"/>
        </w:rPr>
        <w:t>החומרה</w:t>
      </w:r>
      <w:r>
        <w:rPr>
          <w:rtl w:val="true"/>
        </w:rPr>
        <w:t xml:space="preserve"> </w:t>
      </w:r>
      <w:r>
        <w:rPr>
          <w:rtl w:val="true"/>
        </w:rPr>
        <w:t>התחתון</w:t>
      </w:r>
      <w:r>
        <w:rPr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, </w:t>
      </w:r>
      <w:r>
        <w:rPr>
          <w:rtl w:val="true"/>
        </w:rPr>
        <w:t>עודנה</w:t>
      </w:r>
      <w:r>
        <w:rPr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 </w:t>
      </w:r>
      <w:r>
        <w:rPr>
          <w:rtl w:val="true"/>
        </w:rPr>
        <w:t>מהמתה</w:t>
      </w:r>
      <w:r>
        <w:rPr>
          <w:rtl w:val="true"/>
        </w:rPr>
        <w:t xml:space="preserve"> </w:t>
      </w:r>
      <w:r>
        <w:rPr>
          <w:rtl w:val="true"/>
        </w:rPr>
        <w:t>בקלות</w:t>
      </w:r>
      <w:r>
        <w:rPr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בולט בחריגותו המתחם שנקבע בענייננו</w:t>
      </w:r>
      <w:r>
        <w:rPr>
          <w:rtl w:val="true"/>
        </w:rPr>
        <w:t xml:space="preserve">, </w:t>
      </w:r>
      <w:r>
        <w:rPr>
          <w:rtl w:val="true"/>
        </w:rPr>
        <w:t xml:space="preserve">אשר הרף התחתון שלו הוא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, </w:t>
      </w:r>
      <w:r>
        <w:rPr>
          <w:rtl w:val="true"/>
        </w:rPr>
        <w:t xml:space="preserve">בעוד בגין המתה בקלות דעת ניתן לגזור עונש מרבי של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בבד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היגיון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שכזה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הרפורמה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מתעצבת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בהדרגה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להעדיף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תישמר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גמישות</w:t>
      </w:r>
      <w:r>
        <w:rPr>
          <w:rtl w:val="true"/>
        </w:rPr>
        <w:t xml:space="preserve">" </w:t>
      </w:r>
      <w:r>
        <w:rPr>
          <w:rtl w:val="true"/>
        </w:rPr>
        <w:t>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לנסיבותיו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עד כאן באשר לקביעת גבולות מתחם העונש ההולם</w:t>
      </w:r>
      <w:r>
        <w:rPr>
          <w:rtl w:val="true"/>
        </w:rPr>
        <w:t xml:space="preserve">. </w:t>
      </w:r>
      <w:r>
        <w:rPr>
          <w:rtl w:val="true"/>
        </w:rPr>
        <w:t>אף בגדרי מתחם העונש שנקבע</w:t>
      </w:r>
      <w:r>
        <w:rPr>
          <w:rtl w:val="true"/>
        </w:rPr>
        <w:t xml:space="preserve">, </w:t>
      </w:r>
      <w:r>
        <w:rPr>
          <w:rtl w:val="true"/>
        </w:rPr>
        <w:t>בית המשפט המחוזי גזר על המשיב עונש המקל עמו במידה ניכרת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בדין נלקחו בחשבון נסיבותיו האישיות והמשפחתיות של המשיב</w:t>
      </w:r>
      <w:r>
        <w:rPr>
          <w:rtl w:val="true"/>
        </w:rPr>
        <w:t xml:space="preserve">, </w:t>
      </w:r>
      <w:r>
        <w:rPr>
          <w:rtl w:val="true"/>
        </w:rPr>
        <w:t>ובכללן</w:t>
      </w:r>
      <w:r>
        <w:rPr>
          <w:rtl w:val="true"/>
        </w:rPr>
        <w:t xml:space="preserve">, </w:t>
      </w:r>
      <w:r>
        <w:rPr>
          <w:rtl w:val="true"/>
        </w:rPr>
        <w:t>הודאתו במעשים</w:t>
      </w:r>
      <w:r>
        <w:rPr>
          <w:rtl w:val="true"/>
        </w:rPr>
        <w:t xml:space="preserve">, </w:t>
      </w:r>
      <w:r>
        <w:rPr>
          <w:rtl w:val="true"/>
        </w:rPr>
        <w:t>נטילת האחריות מצדו</w:t>
      </w:r>
      <w:r>
        <w:rPr>
          <w:rtl w:val="true"/>
        </w:rPr>
        <w:t xml:space="preserve">, </w:t>
      </w:r>
      <w:r>
        <w:rPr>
          <w:rtl w:val="true"/>
        </w:rPr>
        <w:t>והיותו נשוי ואב לילדים פעוטים</w:t>
      </w:r>
      <w:r>
        <w:rPr>
          <w:rtl w:val="true"/>
        </w:rPr>
        <w:t xml:space="preserve">. </w:t>
      </w:r>
      <w:r>
        <w:rPr>
          <w:rtl w:val="true"/>
        </w:rPr>
        <w:t>אולם נסיבות אלו נמדדות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 xml:space="preserve">למול עוצמת הפגיעה של המשיב בערכים המוגנים בעבירת הרצח </w:t>
      </w:r>
      <w:r>
        <w:rPr>
          <w:rtl w:val="true"/>
        </w:rPr>
        <w:t>(</w:t>
      </w:r>
      <w:hyperlink r:id="rId4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3223/21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שפק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18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2.3.2022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תקיפתו האקראית של המנוח בידי המשיב על לא עוול בכפו</w:t>
      </w:r>
      <w:r>
        <w:rPr>
          <w:rtl w:val="true"/>
        </w:rPr>
        <w:t xml:space="preserve">, </w:t>
      </w:r>
      <w:r>
        <w:rPr>
          <w:rtl w:val="true"/>
        </w:rPr>
        <w:t>אשר הובילה למותו</w:t>
      </w:r>
      <w:r>
        <w:rPr>
          <w:rtl w:val="true"/>
        </w:rPr>
        <w:t xml:space="preserve">, </w:t>
      </w:r>
      <w:r>
        <w:rPr>
          <w:rtl w:val="true"/>
        </w:rPr>
        <w:t>מקהה במידת מה את משקלן של נסיבותיו האישיות של המשיב לזכותו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במקרים של אלימות במרחב הציבורי</w:t>
      </w:r>
      <w:r>
        <w:rPr>
          <w:rtl w:val="true"/>
        </w:rPr>
        <w:t xml:space="preserve">, </w:t>
      </w:r>
      <w:r>
        <w:rPr>
          <w:rtl w:val="true"/>
        </w:rPr>
        <w:t>יש ליתן ביטוי לשיקולי הרתעת היחיד והרבים במסגרת גזירת העונש בגדרי המתחם</w:t>
      </w:r>
      <w:r>
        <w:rPr>
          <w:rtl w:val="true"/>
        </w:rPr>
        <w:t xml:space="preserve">, </w:t>
      </w:r>
      <w:r>
        <w:rPr>
          <w:rtl w:val="true"/>
        </w:rPr>
        <w:t xml:space="preserve">זאת כדי לסייע במיגור תופעה מגונה זו אשר קנתה מקום במחוזותינו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4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8900/21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מחאג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9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14.</w:t>
      </w:r>
      <w:r>
        <w:rPr/>
        <w:t>8</w:t>
      </w:r>
      <w:r>
        <w:rPr/>
        <w:t>.2022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ענייננו מדגים היטב את תחלואיה של האלימות במרחב הציבורי</w:t>
      </w:r>
      <w:r>
        <w:rPr>
          <w:rtl w:val="true"/>
        </w:rPr>
        <w:t xml:space="preserve">, </w:t>
      </w:r>
      <w:r>
        <w:rPr>
          <w:rtl w:val="true"/>
        </w:rPr>
        <w:t>אשר מלבד סיכון ונזק למתפרעים ולצדדים היריבים</w:t>
      </w:r>
      <w:r>
        <w:rPr>
          <w:rtl w:val="true"/>
        </w:rPr>
        <w:t xml:space="preserve">, </w:t>
      </w:r>
      <w:r>
        <w:rPr>
          <w:rtl w:val="true"/>
        </w:rPr>
        <w:t>עלולה להסב נזק לאזרחים תמימים וחפי פשע הנקלעים בסמוך לזירת האלימות</w:t>
      </w:r>
      <w:r>
        <w:rPr>
          <w:rtl w:val="true"/>
        </w:rPr>
        <w:t xml:space="preserve">, </w:t>
      </w:r>
      <w:r>
        <w:rPr>
          <w:rtl w:val="true"/>
        </w:rPr>
        <w:t xml:space="preserve">עד כדי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במסגרת גזירת העונש בגדרי המתחם</w:t>
      </w:r>
      <w:r>
        <w:rPr>
          <w:rtl w:val="true"/>
        </w:rPr>
        <w:t xml:space="preserve">, </w:t>
      </w:r>
      <w:r>
        <w:rPr>
          <w:rtl w:val="true"/>
        </w:rPr>
        <w:t>בית המשפט התחשב</w:t>
      </w:r>
      <w:r>
        <w:rPr>
          <w:rtl w:val="true"/>
        </w:rPr>
        <w:t xml:space="preserve">, </w:t>
      </w:r>
      <w:r>
        <w:rPr>
          <w:rtl w:val="true"/>
        </w:rPr>
        <w:t>כמצוות המחוקק</w:t>
      </w:r>
      <w:r>
        <w:rPr>
          <w:rtl w:val="true"/>
        </w:rPr>
        <w:t xml:space="preserve">, </w:t>
      </w:r>
      <w:r>
        <w:rPr>
          <w:rtl w:val="true"/>
        </w:rPr>
        <w:t>בנזק אשר נגרם למשפחת המנוח</w:t>
      </w:r>
      <w:r>
        <w:rPr>
          <w:rtl w:val="true"/>
        </w:rPr>
        <w:t xml:space="preserve">. </w:t>
      </w:r>
      <w:r>
        <w:rPr>
          <w:rtl w:val="true"/>
        </w:rPr>
        <w:t>עיון בתסקיר נפגעי העבירה מלמד כי בני משפחת המנוח מתקשים לאחות את השבר הגדול שפקד את חייהם</w:t>
      </w:r>
      <w:r>
        <w:rPr>
          <w:rtl w:val="true"/>
        </w:rPr>
        <w:t xml:space="preserve">. </w:t>
      </w:r>
      <w:r>
        <w:rPr>
          <w:rtl w:val="true"/>
        </w:rPr>
        <w:t>כך מתואר כי עובר לרצח</w:t>
      </w:r>
      <w:r>
        <w:rPr>
          <w:rtl w:val="true"/>
        </w:rPr>
        <w:t xml:space="preserve">, </w:t>
      </w:r>
      <w:r>
        <w:rPr>
          <w:rtl w:val="true"/>
        </w:rPr>
        <w:t xml:space="preserve">משפחתו של המנוח הייתה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מלוכדת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ושמחה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עטופים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זוג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ערכים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חיוביים</w:t>
      </w:r>
      <w:r>
        <w:rPr>
          <w:rtl w:val="true"/>
        </w:rPr>
        <w:t xml:space="preserve">", </w:t>
      </w:r>
      <w:r>
        <w:rPr>
          <w:rtl w:val="true"/>
        </w:rPr>
        <w:t xml:space="preserve">ואולם הרצח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לרעידת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אדמה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טראגית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וקשה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שזעזעה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ילדי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המשפחה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חווים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עצב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ויגון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בלתי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נסבלים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ולמעשה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טרם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בעיבוד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ממשי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האובדן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הכבד</w:t>
      </w:r>
      <w:r>
        <w:rPr>
          <w:rtl w:val="true"/>
        </w:rPr>
        <w:t xml:space="preserve">". </w:t>
      </w:r>
      <w:r>
        <w:rPr>
          <w:rtl w:val="true"/>
        </w:rPr>
        <w:t>מפאת כבודם של בני המשפחה</w:t>
      </w:r>
      <w:r>
        <w:rPr>
          <w:rtl w:val="true"/>
        </w:rPr>
        <w:t xml:space="preserve">, </w:t>
      </w:r>
      <w:r>
        <w:rPr>
          <w:rtl w:val="true"/>
        </w:rPr>
        <w:t>לא ארחיב בפרטים נוספים על אודות האובדן האישי שנושא כל אחד מהם</w:t>
      </w:r>
      <w:r>
        <w:rPr>
          <w:rtl w:val="true"/>
        </w:rPr>
        <w:t xml:space="preserve">, </w:t>
      </w:r>
      <w:r>
        <w:rPr>
          <w:rtl w:val="true"/>
        </w:rPr>
        <w:t>די בכך שאציין כי רצח אבי המשפחה נחרט בבשרם ובנפשם של בני המשפחה</w:t>
      </w:r>
      <w:r>
        <w:rPr>
          <w:rtl w:val="true"/>
        </w:rPr>
        <w:t xml:space="preserve">, </w:t>
      </w:r>
      <w:r>
        <w:rPr>
          <w:rtl w:val="true"/>
        </w:rPr>
        <w:t>גדולים כקטנים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עוד יש להעיר כי כפי שנקבע בעבר</w:t>
      </w:r>
      <w:r>
        <w:rPr>
          <w:rtl w:val="true"/>
        </w:rPr>
        <w:t xml:space="preserve">, </w:t>
      </w:r>
      <w:r>
        <w:rPr>
          <w:rtl w:val="true"/>
        </w:rPr>
        <w:t>העובדה כי במקרה שבו מעשה הרצח נעשה בכוונה ולנגד עיניהם של ילדיו הקטנים של המנוח</w:t>
      </w:r>
      <w:r>
        <w:rPr>
          <w:rtl w:val="true"/>
        </w:rPr>
        <w:t xml:space="preserve">, </w:t>
      </w:r>
      <w:r>
        <w:rPr>
          <w:rtl w:val="true"/>
        </w:rPr>
        <w:t>עלולה לעלות</w:t>
      </w:r>
      <w:r>
        <w:rPr>
          <w:rtl w:val="true"/>
        </w:rPr>
        <w:t xml:space="preserve">, </w:t>
      </w:r>
      <w:r>
        <w:rPr>
          <w:rtl w:val="true"/>
        </w:rPr>
        <w:t>בנסיבות המתאימות</w:t>
      </w:r>
      <w:r>
        <w:rPr>
          <w:rtl w:val="true"/>
        </w:rPr>
        <w:t xml:space="preserve">, </w:t>
      </w:r>
      <w:r>
        <w:rPr>
          <w:rtl w:val="true"/>
        </w:rPr>
        <w:t xml:space="preserve">כדי נסיבה לחומרה של אכזריות מיוחדת </w:t>
      </w:r>
      <w:r>
        <w:rPr>
          <w:rtl w:val="true"/>
        </w:rPr>
        <w:t>הקבוע</w:t>
      </w:r>
      <w:r>
        <w:rPr>
          <w:rtl w:val="true"/>
        </w:rPr>
        <w:t>ה</w:t>
      </w:r>
      <w:r>
        <w:rPr>
          <w:rtl w:val="true"/>
        </w:rPr>
        <w:t xml:space="preserve"> </w:t>
      </w:r>
      <w:hyperlink r:id="rId42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7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</w:t>
      </w:r>
      <w:r>
        <w:rPr>
          <w:rtl w:val="true"/>
        </w:rPr>
        <w:t>(</w:t>
      </w:r>
      <w:hyperlink r:id="rId4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3168/19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איילין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 xml:space="preserve">לחוות דעתו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הנדל</w:t>
      </w:r>
      <w:r>
        <w:rPr>
          <w:rtl w:val="true"/>
        </w:rPr>
        <w:t xml:space="preserve"> ופסקה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לחוות דעתי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26.</w:t>
      </w:r>
      <w:r>
        <w:rPr/>
        <w:t>1</w:t>
      </w:r>
      <w:r>
        <w:rPr/>
        <w:t>.2022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המשיב לא הואשם ברצח בנסיבות מחמירות ועל כן סוגיה זו אינה מונחת לפתחנו</w:t>
      </w:r>
      <w:r>
        <w:rPr>
          <w:rtl w:val="true"/>
        </w:rPr>
        <w:t xml:space="preserve">. </w:t>
      </w:r>
      <w:r>
        <w:rPr>
          <w:rtl w:val="true"/>
        </w:rPr>
        <w:t>הדבר אינו גורע מכך שיש ליתן משקל במסגרת גזירת עונשו של המשיב לעובדה כי הרצח בוצע לנגד עיני ילדיו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בשולי הדברים אך לא בשולי חשיבותם</w:t>
      </w:r>
      <w:r>
        <w:rPr>
          <w:rtl w:val="true"/>
        </w:rPr>
        <w:t xml:space="preserve">, </w:t>
      </w:r>
      <w:r>
        <w:rPr>
          <w:rtl w:val="true"/>
        </w:rPr>
        <w:t xml:space="preserve">יש לשוב ולהעיר על משמעותם של הסכמי </w:t>
      </w:r>
      <w:r>
        <w:rPr>
          <w:rtl w:val="true"/>
        </w:rPr>
        <w:t>"</w:t>
      </w:r>
      <w:r>
        <w:rPr>
          <w:rtl w:val="true"/>
        </w:rPr>
        <w:t>סולחה</w:t>
      </w:r>
      <w:r>
        <w:rPr>
          <w:rtl w:val="true"/>
        </w:rPr>
        <w:t xml:space="preserve">" </w:t>
      </w:r>
      <w:r>
        <w:rPr>
          <w:rtl w:val="true"/>
        </w:rPr>
        <w:t>בין העבריין למשפחת קורבן העבירה במסגרת גזירת עונשו של נאשם</w:t>
      </w:r>
      <w:r>
        <w:rPr>
          <w:rtl w:val="true"/>
        </w:rPr>
        <w:t xml:space="preserve">. </w:t>
      </w:r>
      <w:r>
        <w:rPr>
          <w:rtl w:val="true"/>
        </w:rPr>
        <w:t>על כך הבעתי דעתי בעבר</w:t>
      </w:r>
      <w:r>
        <w:rPr>
          <w:rtl w:val="true"/>
        </w:rPr>
        <w:t xml:space="preserve">, </w:t>
      </w:r>
      <w:r>
        <w:rPr>
          <w:rtl w:val="true"/>
        </w:rPr>
        <w:t>והדברים מתאימים אף לענייננו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גושפנקה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סולחות</w:t>
      </w:r>
      <w:r>
        <w:rPr>
          <w:rtl w:val="true"/>
        </w:rPr>
        <w:t xml:space="preserve">" </w:t>
      </w:r>
      <w:r>
        <w:rPr>
          <w:rtl w:val="true"/>
        </w:rPr>
        <w:t>כמעין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מרכיב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משלים</w:t>
      </w:r>
      <w:r>
        <w:rPr>
          <w:rtl w:val="true"/>
        </w:rPr>
        <w:t xml:space="preserve">" </w:t>
      </w:r>
      <w:r>
        <w:rPr>
          <w:rtl w:val="true"/>
        </w:rPr>
        <w:t>לדרכי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ההסכמות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שהשלמה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פועלים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מחלוקותיהם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בדרכי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שלום</w:t>
      </w:r>
      <w:r>
        <w:rPr>
          <w:rtl w:val="true"/>
        </w:rPr>
        <w:t xml:space="preserve">" </w:t>
      </w:r>
      <w:r>
        <w:rPr>
          <w:rtl w:val="true"/>
        </w:rPr>
        <w:t>חותר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. </w:t>
      </w:r>
      <w:r>
        <w:rPr>
          <w:rtl w:val="true"/>
        </w:rPr>
        <w:t>איתותה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סולחה</w:t>
      </w:r>
      <w:r>
        <w:rPr>
          <w:rtl w:val="true"/>
        </w:rPr>
        <w:t xml:space="preserve">" </w:t>
      </w:r>
      <w:r>
        <w:rPr>
          <w:rtl w:val="true"/>
        </w:rPr>
        <w:t>עשויה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מחליש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וחושף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ללחצים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פסולים</w:t>
      </w:r>
      <w:r>
        <w:rPr>
          <w:rtl w:val="true"/>
        </w:rPr>
        <w:t>" (</w:t>
      </w:r>
      <w:hyperlink r:id="rId4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4406/19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סובח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5.11.2019</w:t>
      </w:r>
      <w:r>
        <w:rPr>
          <w:rtl w:val="true"/>
        </w:rPr>
        <w:t>)</w:t>
      </w:r>
      <w:r>
        <w:rPr>
          <w:rtl w:val="true"/>
        </w:rPr>
        <w:t>).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בנסיבות האמורות</w:t>
      </w:r>
      <w:r>
        <w:rPr>
          <w:rtl w:val="true"/>
        </w:rPr>
        <w:t xml:space="preserve">, </w:t>
      </w:r>
      <w:r>
        <w:rPr>
          <w:rtl w:val="true"/>
        </w:rPr>
        <w:t xml:space="preserve">נוכח העובדה שקיימות נסיבות שאינן קשורות בביצוע העבירה </w:t>
      </w:r>
      <w:r>
        <w:rPr>
          <w:rtl w:val="true"/>
        </w:rPr>
        <w:t>–</w:t>
      </w:r>
      <w:r>
        <w:rPr>
          <w:rtl w:val="true"/>
        </w:rPr>
        <w:t xml:space="preserve"> לזכותו ולחובתו של המשיב</w:t>
      </w:r>
      <w:r>
        <w:rPr>
          <w:rtl w:val="true"/>
        </w:rPr>
        <w:t xml:space="preserve">, </w:t>
      </w:r>
      <w:r>
        <w:rPr>
          <w:rtl w:val="true"/>
        </w:rPr>
        <w:t>ונוכח שיקולי הרתעת הרבים בעבירות אלימות במרחב הציבורי</w:t>
      </w:r>
      <w:r>
        <w:rPr>
          <w:rtl w:val="true"/>
        </w:rPr>
        <w:t xml:space="preserve">. </w:t>
      </w:r>
      <w:r>
        <w:rPr>
          <w:rtl w:val="true"/>
        </w:rPr>
        <w:t xml:space="preserve">ברי כי העונש אשר בית המשפט המחוזי גזר על המשיב מקל עמו יתר על המידה </w:t>
      </w:r>
      <w:r>
        <w:rPr>
          <w:rtl w:val="true"/>
        </w:rPr>
        <w:t>(</w:t>
      </w:r>
      <w:hyperlink r:id="rId4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3244/22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ערן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17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20.</w:t>
      </w:r>
      <w:r>
        <w:rPr/>
        <w:t>9</w:t>
      </w:r>
      <w:r>
        <w:rPr/>
        <w:t>.2022</w:t>
      </w:r>
      <w:r>
        <w:rPr>
          <w:rtl w:val="true"/>
        </w:rPr>
        <w:t>)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2"/>
        </w:numPr>
        <w:ind w:hanging="0" w:start="0" w:end="0"/>
        <w:jc w:val="both"/>
        <w:rPr/>
      </w:pPr>
      <w:r>
        <w:rPr>
          <w:rFonts w:ascii="Century" w:hAnsi="Century" w:cs="Century"/>
          <w:sz w:val="22"/>
          <w:sz w:val="22"/>
          <w:rtl w:val="true"/>
        </w:rPr>
        <w:t>אשר על כן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</w:t>
      </w:r>
      <w:r>
        <w:rPr>
          <w:rtl w:val="true"/>
        </w:rPr>
        <w:t>בשים</w:t>
      </w:r>
      <w:r>
        <w:rPr>
          <w:rtl w:val="true"/>
        </w:rPr>
        <w:t xml:space="preserve"> </w:t>
      </w:r>
      <w:r>
        <w:rPr>
          <w:rtl w:val="true"/>
        </w:rPr>
        <w:t>לב</w:t>
      </w:r>
      <w:r>
        <w:rPr>
          <w:rtl w:val="true"/>
        </w:rPr>
        <w:t xml:space="preserve"> </w:t>
      </w:r>
      <w:r>
        <w:rPr>
          <w:rtl w:val="true"/>
        </w:rPr>
        <w:t>לכלל</w:t>
      </w:r>
      <w:r>
        <w:rPr>
          <w:rtl w:val="true"/>
        </w:rPr>
        <w:t xml:space="preserve"> </w:t>
      </w:r>
      <w:r>
        <w:rPr>
          <w:rtl w:val="true"/>
        </w:rPr>
        <w:t>הידוע</w:t>
      </w:r>
      <w:r>
        <w:rPr>
          <w:rtl w:val="true"/>
        </w:rPr>
        <w:t xml:space="preserve"> </w:t>
      </w:r>
      <w:r>
        <w:rPr>
          <w:rtl w:val="true"/>
        </w:rPr>
        <w:t>לפיו</w:t>
      </w:r>
      <w:r>
        <w:rPr>
          <w:rtl w:val="true"/>
        </w:rPr>
        <w:t xml:space="preserve"> </w:t>
      </w:r>
      <w:r>
        <w:rPr>
          <w:rtl w:val="true"/>
        </w:rPr>
        <w:t>ערכאת</w:t>
      </w:r>
      <w:r>
        <w:rPr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 </w:t>
      </w:r>
      <w:r>
        <w:rPr>
          <w:rtl w:val="true"/>
        </w:rPr>
        <w:t>אינה</w:t>
      </w:r>
      <w:r>
        <w:rPr>
          <w:rtl w:val="true"/>
        </w:rPr>
        <w:t xml:space="preserve"> </w:t>
      </w:r>
      <w:r>
        <w:rPr>
          <w:rtl w:val="true"/>
        </w:rPr>
        <w:t>ממצה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מלוא</w:t>
      </w:r>
      <w:r>
        <w:rPr>
          <w:rtl w:val="true"/>
        </w:rPr>
        <w:t xml:space="preserve"> </w:t>
      </w:r>
      <w:r>
        <w:rPr>
          <w:rtl w:val="true"/>
        </w:rPr>
        <w:t>חומרת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אציע</w:t>
      </w:r>
      <w:r>
        <w:rPr>
          <w:rtl w:val="true"/>
        </w:rPr>
        <w:t xml:space="preserve"> </w:t>
      </w:r>
      <w:r>
        <w:rPr>
          <w:rtl w:val="true"/>
        </w:rPr>
        <w:t>לחבר</w:t>
      </w:r>
      <w:r>
        <w:rPr>
          <w:rtl w:val="true"/>
        </w:rPr>
        <w:t>ותיי</w:t>
      </w:r>
      <w:r>
        <w:rPr>
          <w:rtl w:val="true"/>
        </w:rPr>
        <w:t xml:space="preserve"> </w:t>
      </w:r>
      <w:r>
        <w:rPr>
          <w:rtl w:val="true"/>
        </w:rPr>
        <w:t>לקבל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ערעור</w:t>
      </w:r>
      <w:r>
        <w:rPr>
          <w:rtl w:val="true"/>
        </w:rPr>
        <w:t xml:space="preserve"> </w:t>
      </w:r>
      <w:r>
        <w:rPr>
          <w:rtl w:val="true"/>
        </w:rPr>
        <w:t>המערערת</w:t>
      </w:r>
      <w:r>
        <w:rPr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 </w:t>
      </w:r>
      <w:r>
        <w:rPr>
          <w:rtl w:val="true"/>
        </w:rPr>
        <w:t>שעונשו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 </w:t>
      </w:r>
      <w:r>
        <w:rPr>
          <w:rtl w:val="true"/>
        </w:rPr>
        <w:t>יעמוד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, </w:t>
      </w:r>
      <w:r>
        <w:rPr>
          <w:rtl w:val="true"/>
        </w:rPr>
        <w:t>חלף</w:t>
      </w:r>
      <w:r>
        <w:rPr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 מאסר בפועל שנגזרו עליו בבית המשפט המחוזי</w:t>
      </w:r>
      <w:r>
        <w:rPr>
          <w:rtl w:val="true"/>
        </w:rPr>
        <w:t xml:space="preserve">. </w:t>
      </w:r>
      <w:r>
        <w:rPr>
          <w:rtl w:val="true"/>
        </w:rPr>
        <w:t>יתר רכיבי גזר הדין יוותרו על כנם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הנשיאה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חיות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וילנר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23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20.11.2022</w:t>
      </w:r>
      <w:r>
        <w:rPr>
          <w:rtl w:val="true"/>
        </w:rPr>
        <w:t xml:space="preserve">). </w:t>
      </w:r>
      <w:bookmarkEnd w:id="23"/>
    </w:p>
    <w:p>
      <w:pPr>
        <w:pStyle w:val="Ruller4"/>
        <w:ind w:end="0"/>
        <w:jc w:val="end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rtl w:val="true"/>
              </w:rPr>
              <w:t>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ה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22058060</w:t>
      </w:r>
      <w:r>
        <w:rPr>
          <w:sz w:val="16"/>
          <w:rtl w:val="true"/>
        </w:rPr>
        <w:t>_</w:t>
      </w:r>
      <w:r>
        <w:rPr>
          <w:sz w:val="16"/>
        </w:rPr>
        <w:t>J01.docx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עע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46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אלרון </w:t>
      </w:r>
      <w:r>
        <w:rPr>
          <w:rFonts w:cs="David" w:ascii="David" w:hAnsi="David"/>
          <w:color w:val="000000"/>
          <w:szCs w:val="22"/>
        </w:rPr>
        <w:t>54678313-5806/22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47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48"/>
      <w:footerReference w:type="default" r:id="rId49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17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5806/22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גריפאת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lang w:val="en-US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BodyText"/>
    <w:qFormat/>
    <w:pPr>
      <w:numPr>
        <w:ilvl w:val="0"/>
        <w:numId w:val="1"/>
      </w:numPr>
      <w:overflowPunct w:val="true"/>
      <w:autoSpaceDE w:val="true"/>
      <w:bidi w:val="0"/>
      <w:spacing w:before="280" w:after="280"/>
      <w:textAlignment w:val="auto"/>
      <w:outlineLvl w:val="0"/>
    </w:pPr>
    <w:rPr>
      <w:rFonts w:cs="Times New Roman"/>
      <w:b/>
      <w:bCs/>
      <w:kern w:val="2"/>
      <w:sz w:val="48"/>
      <w:szCs w:val="48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lang w:val="en-US"/>
    </w:rPr>
  </w:style>
  <w:style w:type="character" w:styleId="WW8Num12z0">
    <w:name w:val="WW8Num12z0"/>
    <w:qFormat/>
    <w:rPr>
      <w:rFonts w:ascii="Symbol" w:hAnsi="Symbol" w:eastAsia="Times New Roman" w:cs="FrankRueh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CharChar5">
    <w:name w:val=" Char Char5"/>
    <w:qFormat/>
    <w:rPr>
      <w:b/>
      <w:bCs/>
      <w:kern w:val="2"/>
      <w:sz w:val="48"/>
      <w:szCs w:val="48"/>
    </w:rPr>
  </w:style>
  <w:style w:type="character" w:styleId="CharChar4">
    <w:name w:val=" Char Char4"/>
    <w:qFormat/>
    <w:rPr>
      <w:rFonts w:cs="David"/>
      <w:szCs w:val="24"/>
    </w:rPr>
  </w:style>
  <w:style w:type="character" w:styleId="CharChar3">
    <w:name w:val=" Char Char3"/>
    <w:qFormat/>
    <w:rPr>
      <w:rFonts w:cs="David"/>
      <w:szCs w:val="24"/>
    </w:rPr>
  </w:style>
  <w:style w:type="character" w:styleId="field">
    <w:name w:val="field"/>
    <w:basedOn w:val="DefaultParagraphFon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2"/>
      </w:numPr>
    </w:pPr>
    <w:rPr>
      <w:rFonts w:ascii="Garamond" w:hAnsi="Garamond" w:cs="Garamond"/>
      <w:sz w:val="24"/>
    </w:rPr>
  </w:style>
  <w:style w:type="paragraph" w:styleId="Ruller42">
    <w:name w:val="Ruller4 אלפביתי"/>
    <w:basedOn w:val="Ruller4"/>
    <w:next w:val="Ruller4"/>
    <w:qFormat/>
    <w:pPr>
      <w:numPr>
        <w:ilvl w:val="0"/>
        <w:numId w:val="3"/>
      </w:numPr>
    </w:pPr>
    <w:rPr/>
  </w:style>
  <w:style w:type="paragraph" w:styleId="Style13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7348508" TargetMode="External"/><Relationship Id="rId3" Type="http://schemas.openxmlformats.org/officeDocument/2006/relationships/hyperlink" Target="http://www.nevo.co.il/safrut/book/7017" TargetMode="External"/><Relationship Id="rId4" Type="http://schemas.openxmlformats.org/officeDocument/2006/relationships/hyperlink" Target="http://www.nevo.co.il/safrut/book/7017" TargetMode="External"/><Relationship Id="rId5" Type="http://schemas.openxmlformats.org/officeDocument/2006/relationships/hyperlink" Target="http://www.nevo.co.il/safrut/book/48576" TargetMode="External"/><Relationship Id="rId6" Type="http://schemas.openxmlformats.org/officeDocument/2006/relationships/hyperlink" Target="http://www.nevo.co.il/safrut/book/13736" TargetMode="External"/><Relationship Id="rId7" Type="http://schemas.openxmlformats.org/officeDocument/2006/relationships/hyperlink" Target="http://www.nevo.co.il/safrut/bookgroup/2063" TargetMode="External"/><Relationship Id="rId8" Type="http://schemas.openxmlformats.org/officeDocument/2006/relationships/hyperlink" Target="http://www.nevo.co.il/safrut/bookgroup/2063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20.a.2.a" TargetMode="External"/><Relationship Id="rId11" Type="http://schemas.openxmlformats.org/officeDocument/2006/relationships/hyperlink" Target="http://www.nevo.co.il/law/70301/298" TargetMode="External"/><Relationship Id="rId12" Type="http://schemas.openxmlformats.org/officeDocument/2006/relationships/hyperlink" Target="http://www.nevo.co.il/law/70301/300.a" TargetMode="External"/><Relationship Id="rId13" Type="http://schemas.openxmlformats.org/officeDocument/2006/relationships/hyperlink" Target="http://www.nevo.co.il/law/70301/301a.a.7" TargetMode="External"/><Relationship Id="rId14" Type="http://schemas.openxmlformats.org/officeDocument/2006/relationships/hyperlink" Target="http://www.nevo.co.il/law/70301/301c" TargetMode="External"/><Relationship Id="rId15" Type="http://schemas.openxmlformats.org/officeDocument/2006/relationships/hyperlink" Target="http://www.nevo.co.il/law/70301/20.a.2.a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301a.a.7" TargetMode="External"/><Relationship Id="rId18" Type="http://schemas.openxmlformats.org/officeDocument/2006/relationships/hyperlink" Target="http://www.nevo.co.il/case/27348508" TargetMode="External"/><Relationship Id="rId19" Type="http://schemas.openxmlformats.org/officeDocument/2006/relationships/hyperlink" Target="http://www.nevo.co.il/law/70301/300.a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case/27697306" TargetMode="External"/><Relationship Id="rId23" Type="http://schemas.openxmlformats.org/officeDocument/2006/relationships/hyperlink" Target="http://www.nevo.co.il/case/28326750" TargetMode="External"/><Relationship Id="rId24" Type="http://schemas.openxmlformats.org/officeDocument/2006/relationships/hyperlink" Target="http://www.nevo.co.il/law/70301/20.a.2.a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safrut/book/7017" TargetMode="External"/><Relationship Id="rId27" Type="http://schemas.openxmlformats.org/officeDocument/2006/relationships/hyperlink" Target="http://www.nevo.co.il/law/70301/298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case/28313659" TargetMode="External"/><Relationship Id="rId30" Type="http://schemas.openxmlformats.org/officeDocument/2006/relationships/hyperlink" Target="http://www.nevo.co.il/case/26995434" TargetMode="External"/><Relationship Id="rId31" Type="http://schemas.openxmlformats.org/officeDocument/2006/relationships/hyperlink" Target="http://www.nevo.co.il/case/27608313" TargetMode="External"/><Relationship Id="rId32" Type="http://schemas.openxmlformats.org/officeDocument/2006/relationships/hyperlink" Target="http://www.nevo.co.il/law/70301/300.a" TargetMode="External"/><Relationship Id="rId33" Type="http://schemas.openxmlformats.org/officeDocument/2006/relationships/hyperlink" Target="http://www.nevo.co.il/law/70301/301c" TargetMode="External"/><Relationship Id="rId34" Type="http://schemas.openxmlformats.org/officeDocument/2006/relationships/hyperlink" Target="http://www.nevo.co.il/case/26329687" TargetMode="External"/><Relationship Id="rId35" Type="http://schemas.openxmlformats.org/officeDocument/2006/relationships/hyperlink" Target="http://www.nevo.co.il/safrut/book/13736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safrut/book/48576" TargetMode="External"/><Relationship Id="rId38" Type="http://schemas.openxmlformats.org/officeDocument/2006/relationships/hyperlink" Target="http://www.nevo.co.il/safrut/bookgroup/2063" TargetMode="External"/><Relationship Id="rId39" Type="http://schemas.openxmlformats.org/officeDocument/2006/relationships/hyperlink" Target="http://www.nevo.co.il/case/27443208" TargetMode="External"/><Relationship Id="rId40" Type="http://schemas.openxmlformats.org/officeDocument/2006/relationships/hyperlink" Target="http://www.nevo.co.il/case/27608320" TargetMode="External"/><Relationship Id="rId41" Type="http://schemas.openxmlformats.org/officeDocument/2006/relationships/hyperlink" Target="http://www.nevo.co.il/case/28207045" TargetMode="External"/><Relationship Id="rId42" Type="http://schemas.openxmlformats.org/officeDocument/2006/relationships/hyperlink" Target="http://www.nevo.co.il/law/70301/301a.a.7" TargetMode="External"/><Relationship Id="rId43" Type="http://schemas.openxmlformats.org/officeDocument/2006/relationships/hyperlink" Target="http://www.nevo.co.il/case/25679793" TargetMode="External"/><Relationship Id="rId44" Type="http://schemas.openxmlformats.org/officeDocument/2006/relationships/hyperlink" Target="http://www.nevo.co.il/case/25824863" TargetMode="External"/><Relationship Id="rId45" Type="http://schemas.openxmlformats.org/officeDocument/2006/relationships/hyperlink" Target="http://www.nevo.co.il/case/28606523" TargetMode="External"/><Relationship Id="rId46" Type="http://schemas.openxmlformats.org/officeDocument/2006/relationships/hyperlink" Target="https://supreme.court.gov.il/" TargetMode="External"/><Relationship Id="rId47" Type="http://schemas.openxmlformats.org/officeDocument/2006/relationships/hyperlink" Target="http://www.nevo.co.il/advertisements/nevo-100.doc" TargetMode="External"/><Relationship Id="rId48" Type="http://schemas.openxmlformats.org/officeDocument/2006/relationships/header" Target="header1.xml"/><Relationship Id="rId49" Type="http://schemas.openxmlformats.org/officeDocument/2006/relationships/footer" Target="footer1.xml"/><Relationship Id="rId50" Type="http://schemas.openxmlformats.org/officeDocument/2006/relationships/numbering" Target="numbering.xml"/><Relationship Id="rId51" Type="http://schemas.openxmlformats.org/officeDocument/2006/relationships/fontTable" Target="fontTable.xml"/><Relationship Id="rId52" Type="http://schemas.openxmlformats.org/officeDocument/2006/relationships/settings" Target="settings.xml"/><Relationship Id="rId5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2022-11-21T08:17:00Z</dcterms:created>
  <dc:creator>h4</dc:creator>
  <dc:description/>
  <cp:keywords/>
  <dc:language>en-IL</dc:language>
  <cp:lastModifiedBy>orly</cp:lastModifiedBy>
  <cp:lastPrinted>2022-11-20T08:02:00Z</cp:lastPrinted>
  <dcterms:modified xsi:type="dcterms:W3CDTF">2022-11-21T08:17:00Z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מוחמד גריפאת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BOOKGROUPTMP1">
    <vt:lpwstr>2063</vt:lpwstr>
  </property>
  <property fmtid="{D5CDD505-2E9C-101B-9397-08002B2CF9AE}" pid="9" name="BOOKLISTTMP1">
    <vt:lpwstr>7017;48576;13736</vt:lpwstr>
  </property>
  <property fmtid="{D5CDD505-2E9C-101B-9397-08002B2CF9AE}" pid="10" name="CASESLISTTMP1">
    <vt:lpwstr>27348508:2;27697306;28326750;28313659;26995434;27608313;26329687;27443208;27608320;28207045;25679793;25824863;28606523</vt:lpwstr>
  </property>
  <property fmtid="{D5CDD505-2E9C-101B-9397-08002B2CF9AE}" pid="11" name="CITY">
    <vt:lpwstr/>
  </property>
  <property fmtid="{D5CDD505-2E9C-101B-9397-08002B2CF9AE}" pid="12" name="DATE">
    <vt:lpwstr>20221120</vt:lpwstr>
  </property>
  <property fmtid="{D5CDD505-2E9C-101B-9397-08002B2CF9AE}" pid="13" name="DELEMATA">
    <vt:lpwstr/>
  </property>
  <property fmtid="{D5CDD505-2E9C-101B-9397-08002B2CF9AE}" pid="14" name="ISABSTRACT">
    <vt:lpwstr>Y</vt:lpwstr>
  </property>
  <property fmtid="{D5CDD505-2E9C-101B-9397-08002B2CF9AE}" pid="15" name="JUDGE">
    <vt:lpwstr>י' אלרון;י' וילנר;א' חיות</vt:lpwstr>
  </property>
  <property fmtid="{D5CDD505-2E9C-101B-9397-08002B2CF9AE}" pid="16" name="LAWLISTTMP1">
    <vt:lpwstr>70301/300.a:2;020.a.2.a;298;301c;301a.a.7</vt:lpwstr>
  </property>
  <property fmtid="{D5CDD505-2E9C-101B-9397-08002B2CF9AE}" pid="17" name="LAWYER">
    <vt:lpwstr>תומר שוורץ;אפרת גולדשטיין רוזן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METAKZER">
    <vt:lpwstr>נעה</vt:lpwstr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NOSE11">
    <vt:lpwstr>עונשין</vt:lpwstr>
  </property>
  <property fmtid="{D5CDD505-2E9C-101B-9397-08002B2CF9AE}" pid="29" name="NOSE110">
    <vt:lpwstr/>
  </property>
  <property fmtid="{D5CDD505-2E9C-101B-9397-08002B2CF9AE}" pid="30" name="NOSE12">
    <vt:lpwstr>עונשין</vt:lpwstr>
  </property>
  <property fmtid="{D5CDD505-2E9C-101B-9397-08002B2CF9AE}" pid="31" name="NOSE13">
    <vt:lpwstr>עונשין</vt:lpwstr>
  </property>
  <property fmtid="{D5CDD505-2E9C-101B-9397-08002B2CF9AE}" pid="32" name="NOSE14">
    <vt:lpwstr>עונשין</vt:lpwstr>
  </property>
  <property fmtid="{D5CDD505-2E9C-101B-9397-08002B2CF9AE}" pid="33" name="NOSE15">
    <vt:lpwstr>עונשין</vt:lpwstr>
  </property>
  <property fmtid="{D5CDD505-2E9C-101B-9397-08002B2CF9AE}" pid="34" name="NOSE16">
    <vt:lpwstr/>
  </property>
  <property fmtid="{D5CDD505-2E9C-101B-9397-08002B2CF9AE}" pid="35" name="NOSE17">
    <vt:lpwstr/>
  </property>
  <property fmtid="{D5CDD505-2E9C-101B-9397-08002B2CF9AE}" pid="36" name="NOSE18">
    <vt:lpwstr/>
  </property>
  <property fmtid="{D5CDD505-2E9C-101B-9397-08002B2CF9AE}" pid="37" name="NOSE19">
    <vt:lpwstr/>
  </property>
  <property fmtid="{D5CDD505-2E9C-101B-9397-08002B2CF9AE}" pid="38" name="NOSE1ID">
    <vt:lpwstr>77;77;77;77;77</vt:lpwstr>
  </property>
  <property fmtid="{D5CDD505-2E9C-101B-9397-08002B2CF9AE}" pid="39" name="NOSE21">
    <vt:lpwstr>עבירת הרצח</vt:lpwstr>
  </property>
  <property fmtid="{D5CDD505-2E9C-101B-9397-08002B2CF9AE}" pid="40" name="NOSE210">
    <vt:lpwstr/>
  </property>
  <property fmtid="{D5CDD505-2E9C-101B-9397-08002B2CF9AE}" pid="41" name="NOSE22">
    <vt:lpwstr>עבירת הרצח</vt:lpwstr>
  </property>
  <property fmtid="{D5CDD505-2E9C-101B-9397-08002B2CF9AE}" pid="42" name="NOSE23">
    <vt:lpwstr>ענישה</vt:lpwstr>
  </property>
  <property fmtid="{D5CDD505-2E9C-101B-9397-08002B2CF9AE}" pid="43" name="NOSE24">
    <vt:lpwstr>ענישה</vt:lpwstr>
  </property>
  <property fmtid="{D5CDD505-2E9C-101B-9397-08002B2CF9AE}" pid="44" name="NOSE25">
    <vt:lpwstr>ענישה</vt:lpwstr>
  </property>
  <property fmtid="{D5CDD505-2E9C-101B-9397-08002B2CF9AE}" pid="45" name="NOSE26">
    <vt:lpwstr/>
  </property>
  <property fmtid="{D5CDD505-2E9C-101B-9397-08002B2CF9AE}" pid="46" name="NOSE27">
    <vt:lpwstr/>
  </property>
  <property fmtid="{D5CDD505-2E9C-101B-9397-08002B2CF9AE}" pid="47" name="NOSE28">
    <vt:lpwstr/>
  </property>
  <property fmtid="{D5CDD505-2E9C-101B-9397-08002B2CF9AE}" pid="48" name="NOSE29">
    <vt:lpwstr/>
  </property>
  <property fmtid="{D5CDD505-2E9C-101B-9397-08002B2CF9AE}" pid="49" name="NOSE2ID">
    <vt:lpwstr>12455;12455;1446;1446;1446</vt:lpwstr>
  </property>
  <property fmtid="{D5CDD505-2E9C-101B-9397-08002B2CF9AE}" pid="50" name="NOSE31">
    <vt:lpwstr>רצח באדישות</vt:lpwstr>
  </property>
  <property fmtid="{D5CDD505-2E9C-101B-9397-08002B2CF9AE}" pid="51" name="NOSE310">
    <vt:lpwstr/>
  </property>
  <property fmtid="{D5CDD505-2E9C-101B-9397-08002B2CF9AE}" pid="52" name="NOSE32">
    <vt:lpwstr>תיקון 137</vt:lpwstr>
  </property>
  <property fmtid="{D5CDD505-2E9C-101B-9397-08002B2CF9AE}" pid="53" name="NOSE33">
    <vt:lpwstr>מדיניות ענישה: עבירת רצח</vt:lpwstr>
  </property>
  <property fmtid="{D5CDD505-2E9C-101B-9397-08002B2CF9AE}" pid="54" name="NOSE34">
    <vt:lpwstr>מתחם הענישה</vt:lpwstr>
  </property>
  <property fmtid="{D5CDD505-2E9C-101B-9397-08002B2CF9AE}" pid="55" name="NOSE35">
    <vt:lpwstr>מדיניות ענישה: התערבות ערכאת ערעור</vt:lpwstr>
  </property>
  <property fmtid="{D5CDD505-2E9C-101B-9397-08002B2CF9AE}" pid="56" name="NOSE36">
    <vt:lpwstr/>
  </property>
  <property fmtid="{D5CDD505-2E9C-101B-9397-08002B2CF9AE}" pid="57" name="NOSE37">
    <vt:lpwstr/>
  </property>
  <property fmtid="{D5CDD505-2E9C-101B-9397-08002B2CF9AE}" pid="58" name="NOSE38">
    <vt:lpwstr/>
  </property>
  <property fmtid="{D5CDD505-2E9C-101B-9397-08002B2CF9AE}" pid="59" name="NOSE39">
    <vt:lpwstr/>
  </property>
  <property fmtid="{D5CDD505-2E9C-101B-9397-08002B2CF9AE}" pid="60" name="NOSE3ID">
    <vt:lpwstr>19512;18905;14615;14985;8982</vt:lpwstr>
  </property>
  <property fmtid="{D5CDD505-2E9C-101B-9397-08002B2CF9AE}" pid="61" name="PADIDATE">
    <vt:lpwstr>20221121</vt:lpwstr>
  </property>
  <property fmtid="{D5CDD505-2E9C-101B-9397-08002B2CF9AE}" pid="62" name="PADIMAIL">
    <vt:lpwstr>YES</vt:lpwstr>
  </property>
  <property fmtid="{D5CDD505-2E9C-101B-9397-08002B2CF9AE}" pid="63" name="PAGE">
    <vt:lpwstr/>
  </property>
  <property fmtid="{D5CDD505-2E9C-101B-9397-08002B2CF9AE}" pid="64" name="PART">
    <vt:lpwstr/>
  </property>
  <property fmtid="{D5CDD505-2E9C-101B-9397-08002B2CF9AE}" pid="65" name="PROCESS">
    <vt:lpwstr>עפ</vt:lpwstr>
  </property>
  <property fmtid="{D5CDD505-2E9C-101B-9397-08002B2CF9AE}" pid="66" name="PROCNUM">
    <vt:lpwstr>5806</vt:lpwstr>
  </property>
  <property fmtid="{D5CDD505-2E9C-101B-9397-08002B2CF9AE}" pid="67" name="PROCYEAR">
    <vt:lpwstr>22</vt:lpwstr>
  </property>
  <property fmtid="{D5CDD505-2E9C-101B-9397-08002B2CF9AE}" pid="68" name="PSAKDIN">
    <vt:lpwstr>פסק-דין</vt:lpwstr>
  </property>
  <property fmtid="{D5CDD505-2E9C-101B-9397-08002B2CF9AE}" pid="69" name="TYPE">
    <vt:lpwstr>1</vt:lpwstr>
  </property>
  <property fmtid="{D5CDD505-2E9C-101B-9397-08002B2CF9AE}" pid="70" name="TYPE_ABS_DATE">
    <vt:lpwstr>410120221120</vt:lpwstr>
  </property>
  <property fmtid="{D5CDD505-2E9C-101B-9397-08002B2CF9AE}" pid="71" name="TYPE_N_DATE">
    <vt:lpwstr>41020221120</vt:lpwstr>
  </property>
  <property fmtid="{D5CDD505-2E9C-101B-9397-08002B2CF9AE}" pid="72" name="VOLUME">
    <vt:lpwstr/>
  </property>
  <property fmtid="{D5CDD505-2E9C-101B-9397-08002B2CF9AE}" pid="73" name="WORDNUMPAGES">
    <vt:lpwstr>16</vt:lpwstr>
  </property>
</Properties>
</file>