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5813/21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5896/21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5813/21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5896/21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אגבריה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טובי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13.7.2021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62613-06-19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12.5.2022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5813/21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5896/21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יניב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גם עבירת החזקת נשק הנסובה על החזקת רובה ציד מצדיקה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נשק הוא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מדובר בכלי משחית המסוגל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להמית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ליתן ביטוי לסוג הנשק בבחינת נסיבות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החזקת נשק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החזקת נשק ללא רשיון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 נגזרו על המערער ב</w:t>
      </w:r>
      <w:hyperlink r:id="rId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5896/21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המערער ב</w:t>
      </w:r>
      <w:hyperlink r:id="rId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5813/21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זאת בעקבות הרשעתם במסגרת הסדר טיעון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החזקת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הנסובה על החזקת רובה ציד ותחמושת תואמת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חיות והמשנה 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בדרך כלל נעשית על מנת להחמיר בעונשם של עברייני נשק ולא להקל עמם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בכדי המחוקק ביקש להכליל בגדר המונח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מנעד רחב של כלים ואביזרים המסוגלים לגרום למותו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כלי נשק מסוגים שונים שהושגו שלא כדין מובילים לא פעם לפגיעה בחיי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והצורך לשרש רעה חולה זו באמצעות ענישה מחמירה ומרתיעה חל על כל סוגי כלי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אפוא שאין לקבל את טענת המערערים כי שגה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בהתייחסו אל עבירת החזקת הנשק בנסיבות 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הנסובה על החזקת רובה ציד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כעבירה המצדיקה ענישה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כי עבירת החזקת רובה ציד איננה חומקת מהכלל המכתיב ענישה 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אכן מקום ליתן ביטוי לסוג הנשק בבחינת נסיבות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המושת על נאשם בגין עבירות המתבצעות בנשק צריך להיות מושפע מפוטנציאל הסיכון הטמון בנשק המוחזק שלא כדין תוך התייחסות בין היתר לסוג הנשק הספציפי בו בוצעה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 הדבר גם בא לידי ביטוי בגזר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בחישוב הכולל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לומר כלל כי העונש שהושת על המערערים הוא חמור יתר על המידה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 עונשם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שקל את מכלול 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בהתייחס בין היתר לכך שהמערערים הודו בעובדות כתב האישום בשלב מוקדם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לשיהוי שחלף בהגשת כתב האישום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שנתיים וחצי מקרות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ולנסיבות חייהם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צדק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בכך שלקח בחשבון את העובדה שהעונשים הקודמים שהוטלו על המערערים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לתקופות ממושכות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הרתיעו אותם מלשוב ולהסתבך בעבירות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 כי 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עברם הפלילי המכביד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לומר כי העונשים שהושתו עליהם אף מקלים עמם במידה לא מועטה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לטענת המערערים כי היה מקום ליתן משקל רב יותר לנסיבותיהם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לטענת המערערים כי הפוטנציאל השיקומי שלהם לא נלקח דיו בחשבון – על פי התרשמות שירות המבחן שני המערערים הולכים ומתרחקים מלהפנים את מעשיהם ואת הבעייתיות הגלומה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 שאף לעמדת שירות המבחן כיום אין לבוא בהמלצה טיפולית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שיקומית בעניינם של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אפוא לדחות את טענתם כי היה צריך ליתן מקום מרכזי יותר להמלצתו הקודמת לאפשר בחינת התאמתם להליך טיפולי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הייתה מתקבלת טענת המערערים כי החזקת הנשק נעשתה על רקע היערכותם לציד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הדבר מצדיק כל הקלה נוספת בעונשם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לקח בחשבון בבחינת נסיבות ביצוע העבירה את סוג הנשק ואת היותו כלי אשר נועד ברגיל לציד בעלי 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הקלה נוספת בקשר לאופי השימוש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באה בחשבון בנסיבות 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בכל הנוגע לטענת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להפרת עיקרון אחידות הענישה – אף כי על פי עיקרון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 בו מרשעים שניים בביצוע עבירה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להטיל עליהם עונש דומה בהתאם לאחריותם המשותפת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מדובר בחזות הכל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המייחדות שותף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 או לחומרה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בהשוואה לשותפו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עשויות להצדיק אבחונו משותפו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לשני המערערים עבר פלילי מכביד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עברו הפלילי של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 בהרבה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נפל כל פגם באבחונו ממערער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בדמות הטלת עונש מאסר לתקופה ארוכה יותר בת מספר חודשים ספורים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באמור כל חריגה מעיקרון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ודאי לא כזו המצדיקה התערבות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b/>
          <w:bCs/>
          <w:spacing w:val="0"/>
          <w:sz w:val="24"/>
          <w:szCs w:val="26"/>
        </w:rPr>
      </w:pPr>
      <w:r>
        <w:rPr>
          <w:rFonts w:cs="Times New Roman"/>
          <w:b/>
          <w:bCs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15" w:name="Start_Writ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טובי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13.7.2021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62613-06-19</w:t>
        </w:r>
      </w:hyperlink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5896/21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)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5813/21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)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הרקע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לערעור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מערערים </w:t>
      </w:r>
      <w:r>
        <w:rPr>
          <w:rtl w:val="true"/>
        </w:rPr>
        <w:t xml:space="preserve">הורשעו על סמך הודאתם </w:t>
      </w:r>
      <w:r>
        <w:rPr>
          <w:rtl w:val="true"/>
        </w:rPr>
        <w:t xml:space="preserve">בכתב אישום מתוקן </w:t>
      </w:r>
      <w:r>
        <w:rPr>
          <w:rtl w:val="true"/>
        </w:rPr>
        <w:t xml:space="preserve">במסגרת הסדר טיעון בעבירת </w:t>
      </w:r>
      <w:r>
        <w:rPr>
          <w:rtl w:val="true"/>
        </w:rPr>
        <w:t xml:space="preserve">החזקת </w:t>
      </w:r>
      <w:r>
        <w:rPr>
          <w:rtl w:val="true"/>
        </w:rPr>
        <w:t xml:space="preserve">נשק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 xml:space="preserve">ההסדר לא כלל הסכמה </w:t>
      </w:r>
      <w:r>
        <w:rPr>
          <w:rtl w:val="true"/>
        </w:rPr>
        <w:t>לגבי העונש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בכתב האישום נאמר כי ביום </w:t>
      </w:r>
      <w:r>
        <w:rPr/>
        <w:t>31.1.</w:t>
      </w:r>
      <w:r>
        <w:rPr/>
        <w:t>20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שעה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נסעו ה</w:t>
      </w:r>
      <w:r>
        <w:rPr>
          <w:rtl w:val="true"/>
        </w:rPr>
        <w:t xml:space="preserve">מערערים </w:t>
      </w:r>
      <w:r>
        <w:rPr>
          <w:rtl w:val="true"/>
        </w:rPr>
        <w:t xml:space="preserve">ברכב מכיוון שכונת </w:t>
      </w:r>
      <w:r>
        <w:rPr>
          <w:rtl w:val="true"/>
        </w:rPr>
        <w:t>'</w:t>
      </w:r>
      <w:r>
        <w:rPr>
          <w:rtl w:val="true"/>
        </w:rPr>
        <w:t>אסכנדר</w:t>
      </w:r>
      <w:r>
        <w:rPr>
          <w:rtl w:val="true"/>
        </w:rPr>
        <w:t xml:space="preserve">' </w:t>
      </w:r>
      <w:r>
        <w:rPr>
          <w:rtl w:val="true"/>
        </w:rPr>
        <w:t xml:space="preserve">לכיוון </w:t>
      </w:r>
      <w:r>
        <w:rPr>
          <w:rtl w:val="true"/>
        </w:rPr>
        <w:t>'</w:t>
      </w:r>
      <w:r>
        <w:rPr>
          <w:rtl w:val="true"/>
        </w:rPr>
        <w:t>שרפה</w:t>
      </w:r>
      <w:r>
        <w:rPr>
          <w:rtl w:val="true"/>
        </w:rPr>
        <w:t xml:space="preserve">' </w:t>
      </w:r>
      <w:r>
        <w:rPr>
          <w:rtl w:val="true"/>
        </w:rPr>
        <w:t>שבאום אל פחם</w:t>
      </w:r>
      <w:r>
        <w:rPr>
          <w:rtl w:val="true"/>
        </w:rPr>
        <w:t xml:space="preserve">, </w:t>
      </w:r>
      <w:r>
        <w:rPr>
          <w:rtl w:val="true"/>
        </w:rPr>
        <w:t>סמוך לגדר מערכת</w:t>
      </w:r>
      <w:r>
        <w:rPr>
          <w:rtl w:val="true"/>
        </w:rPr>
        <w:t xml:space="preserve"> הביטחון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המערערים נתפסו על ידי שני שוטרים שנסעו אחריהם ובחיפוש שנעשה במקום נמצא כי המערערים </w:t>
      </w:r>
      <w:r>
        <w:rPr>
          <w:rtl w:val="true"/>
        </w:rPr>
        <w:t>החזיקו בצוותא שלא כדין ברובה ציד דו קני</w:t>
      </w:r>
      <w:r>
        <w:rPr>
          <w:rtl w:val="true"/>
        </w:rPr>
        <w:t xml:space="preserve">, </w:t>
      </w:r>
      <w:r>
        <w:rPr>
          <w:rtl w:val="true"/>
        </w:rPr>
        <w:t>תוצרת ספרד</w:t>
      </w:r>
      <w:r>
        <w:rPr>
          <w:rtl w:val="true"/>
        </w:rPr>
        <w:t xml:space="preserve">, </w:t>
      </w:r>
      <w:r>
        <w:rPr>
          <w:rtl w:val="true"/>
        </w:rPr>
        <w:t xml:space="preserve">מודל </w:t>
      </w:r>
      <w:r>
        <w:rPr/>
        <w:t>PHANTOM</w:t>
      </w:r>
      <w:r>
        <w:rPr>
          <w:rtl w:val="true"/>
        </w:rPr>
        <w:t xml:space="preserve">, </w:t>
      </w:r>
      <w:r>
        <w:rPr>
          <w:rtl w:val="true"/>
        </w:rPr>
        <w:t xml:space="preserve">קליבר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ייג</w:t>
      </w:r>
      <w:r>
        <w:rPr>
          <w:rtl w:val="true"/>
        </w:rPr>
        <w:t xml:space="preserve">', </w:t>
      </w:r>
      <w:r>
        <w:rPr>
          <w:rtl w:val="true"/>
        </w:rPr>
        <w:t>אשר ה</w:t>
      </w:r>
      <w:r>
        <w:rPr>
          <w:rtl w:val="true"/>
        </w:rPr>
        <w:t>י</w:t>
      </w:r>
      <w:r>
        <w:rPr>
          <w:rtl w:val="true"/>
        </w:rPr>
        <w:t xml:space="preserve">נו כלי </w:t>
      </w:r>
      <w:r>
        <w:rPr>
          <w:rtl w:val="true"/>
        </w:rPr>
        <w:t>המס</w:t>
      </w:r>
      <w:r>
        <w:rPr>
          <w:rtl w:val="true"/>
        </w:rPr>
        <w:t>וגל לירות כדור שבכוחו להמית אדם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הרובה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הרובה היה טעון בשני כדורי תחמושת תואמים</w:t>
      </w:r>
      <w:r>
        <w:rPr>
          <w:rtl w:val="true"/>
        </w:rPr>
        <w:t xml:space="preserve">. </w:t>
      </w:r>
      <w:r>
        <w:rPr>
          <w:rtl w:val="true"/>
        </w:rPr>
        <w:t xml:space="preserve">עוד נמצאה ברכב </w:t>
      </w:r>
      <w:r>
        <w:rPr>
          <w:rtl w:val="true"/>
        </w:rPr>
        <w:t xml:space="preserve">חגורה ייעודית לתחמושת ובתוכה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 המתאימים לרובה</w:t>
      </w:r>
      <w:r>
        <w:rPr>
          <w:rtl w:val="true"/>
        </w:rPr>
        <w:t>.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sz w:val="22"/>
        </w:rPr>
      </w:pPr>
      <w:r>
        <w:rPr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בתסקיר שירות המבחן מיום </w:t>
      </w:r>
      <w:r>
        <w:rPr/>
        <w:t>27.5.</w:t>
      </w:r>
      <w:r>
        <w:rPr/>
        <w:t>20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לגבי 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צוין כי ה</w:t>
      </w:r>
      <w:r>
        <w:rPr>
          <w:rtl w:val="true"/>
        </w:rPr>
        <w:t xml:space="preserve">וא </w:t>
      </w:r>
      <w:r>
        <w:rPr>
          <w:rtl w:val="true"/>
        </w:rPr>
        <w:t xml:space="preserve">בן </w:t>
      </w:r>
      <w:r>
        <w:rPr/>
        <w:t>44</w:t>
      </w:r>
      <w:r>
        <w:rPr>
          <w:rtl w:val="true"/>
        </w:rPr>
        <w:t xml:space="preserve">, </w:t>
      </w:r>
      <w:r>
        <w:rPr>
          <w:rtl w:val="true"/>
        </w:rPr>
        <w:t xml:space="preserve">נשוי ואב לארבעה ילדים בגילאים </w:t>
      </w:r>
      <w:r>
        <w:rPr/>
        <w:t>22-18</w:t>
      </w:r>
      <w:r>
        <w:rPr>
          <w:rtl w:val="true"/>
        </w:rPr>
        <w:t xml:space="preserve">. </w:t>
      </w:r>
      <w:r>
        <w:rPr>
          <w:rtl w:val="true"/>
        </w:rPr>
        <w:t xml:space="preserve">לאחר שסיים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 xml:space="preserve">השתלב בשוק העבודה ושמר על רצף תעסוקתי בתחום הבנייה עד לפציעתו בתאונת עבודה בשנת </w:t>
      </w:r>
      <w:r>
        <w:rPr/>
        <w:t>1995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בשנתיים האחרונות הוא עובד בעבודות מזדמנות ומתקיים מקצ</w:t>
      </w:r>
      <w:r>
        <w:rPr>
          <w:rtl w:val="true"/>
        </w:rPr>
        <w:t>ב</w:t>
      </w:r>
      <w:r>
        <w:rPr>
          <w:rtl w:val="true"/>
        </w:rPr>
        <w:t>ת נכות</w:t>
      </w:r>
      <w:r>
        <w:rPr>
          <w:rtl w:val="true"/>
        </w:rPr>
        <w:t xml:space="preserve">, </w:t>
      </w:r>
      <w:r>
        <w:rPr>
          <w:rtl w:val="true"/>
        </w:rPr>
        <w:t>סועד את אביו ה</w:t>
      </w:r>
      <w:r>
        <w:rPr>
          <w:rtl w:val="true"/>
        </w:rPr>
        <w:t>סובל משיתוק בכל גופו בשל אירוע מוחי בו לקה</w:t>
      </w:r>
      <w:r>
        <w:rPr>
          <w:rtl w:val="true"/>
        </w:rPr>
        <w:t xml:space="preserve">. </w:t>
      </w:r>
      <w:r>
        <w:rPr>
          <w:rtl w:val="true"/>
        </w:rPr>
        <w:t xml:space="preserve">לחובתו </w:t>
      </w:r>
      <w:r>
        <w:rPr>
          <w:rtl w:val="true"/>
        </w:rPr>
        <w:t xml:space="preserve">של המערער </w:t>
      </w:r>
      <w:r>
        <w:rPr>
          <w:rtl w:val="true"/>
        </w:rPr>
        <w:t xml:space="preserve">הרשעה משנת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בעבירות נשק ואלימות</w:t>
      </w:r>
      <w:r>
        <w:rPr>
          <w:rtl w:val="true"/>
        </w:rPr>
        <w:t xml:space="preserve">, </w:t>
      </w:r>
      <w:r>
        <w:rPr>
          <w:rtl w:val="true"/>
        </w:rPr>
        <w:t xml:space="preserve">בגינה נידון למאסר בפועל לתקופה בת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לחובתו הרשעה בעבירה של מסירת עדויות סותרות</w:t>
      </w:r>
      <w:r>
        <w:rPr>
          <w:rtl w:val="true"/>
        </w:rPr>
        <w:t xml:space="preserve">. </w:t>
      </w:r>
      <w:r>
        <w:rPr>
          <w:rtl w:val="true"/>
        </w:rPr>
        <w:t>בהתייחס לעבירות בהן הורשע בעבר</w:t>
      </w:r>
      <w:r>
        <w:rPr>
          <w:rtl w:val="true"/>
        </w:rPr>
        <w:t xml:space="preserve">, </w:t>
      </w:r>
      <w:r>
        <w:rPr>
          <w:rtl w:val="true"/>
        </w:rPr>
        <w:t xml:space="preserve">ציין </w:t>
      </w:r>
      <w:r>
        <w:rPr>
          <w:rtl w:val="true"/>
        </w:rPr>
        <w:t xml:space="preserve">המערער </w:t>
      </w:r>
      <w:r>
        <w:rPr>
          <w:rtl w:val="true"/>
        </w:rPr>
        <w:t>כי מאז שחרורו ממאסר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הוא עשה שינוי משמעותי בחייו וניתק </w:t>
      </w:r>
      <w:r>
        <w:rPr>
          <w:rtl w:val="true"/>
        </w:rPr>
        <w:t xml:space="preserve">את </w:t>
      </w:r>
      <w:r>
        <w:rPr>
          <w:rtl w:val="true"/>
        </w:rPr>
        <w:t>קשריו עם גורמים שוליים עמם היה בקשר בעבר</w:t>
      </w:r>
      <w:r>
        <w:rPr>
          <w:rtl w:val="true"/>
        </w:rPr>
        <w:t xml:space="preserve">. </w:t>
      </w:r>
      <w:r>
        <w:rPr>
          <w:rtl w:val="true"/>
        </w:rPr>
        <w:t>באשר לעבירה בה הורשע בתיק זה</w:t>
      </w:r>
      <w:r>
        <w:rPr>
          <w:rtl w:val="true"/>
        </w:rPr>
        <w:t xml:space="preserve">, </w:t>
      </w:r>
      <w:r>
        <w:rPr>
          <w:rtl w:val="true"/>
        </w:rPr>
        <w:t xml:space="preserve">הודה </w:t>
      </w:r>
      <w:r>
        <w:rPr>
          <w:rtl w:val="true"/>
        </w:rPr>
        <w:t xml:space="preserve">המערער </w:t>
      </w:r>
      <w:r>
        <w:rPr>
          <w:rtl w:val="true"/>
        </w:rPr>
        <w:t xml:space="preserve">במיוחס לו </w:t>
      </w:r>
      <w:r>
        <w:rPr>
          <w:rtl w:val="true"/>
        </w:rPr>
        <w:t xml:space="preserve">אך </w:t>
      </w:r>
      <w:r>
        <w:rPr>
          <w:rtl w:val="true"/>
        </w:rPr>
        <w:t>נשא באחריות חלקית למעשיו</w:t>
      </w:r>
      <w:r>
        <w:rPr>
          <w:rtl w:val="true"/>
        </w:rPr>
        <w:t xml:space="preserve">. </w:t>
      </w:r>
      <w:r>
        <w:rPr>
          <w:rtl w:val="true"/>
        </w:rPr>
        <w:t xml:space="preserve">הוא השליך את האחריות בעיקר על 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אשר הציע לו </w:t>
      </w:r>
      <w:r>
        <w:rPr>
          <w:rtl w:val="true"/>
        </w:rPr>
        <w:t>להצטרף אליו לציד ביער</w:t>
      </w:r>
      <w:r>
        <w:rPr>
          <w:rtl w:val="true"/>
        </w:rPr>
        <w:t xml:space="preserve">, </w:t>
      </w:r>
      <w:r>
        <w:rPr>
          <w:rtl w:val="true"/>
        </w:rPr>
        <w:t>והוא נענה להצעה זו מתוך סקרנות והתלהבות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>
          <w:rtl w:val="true"/>
        </w:rPr>
        <w:t>שלל כוונה פלילית לעשות שימוש בנשק ובכלל זה לפגוע באמצעותו בזולת</w:t>
      </w:r>
      <w:r>
        <w:rPr>
          <w:rtl w:val="true"/>
        </w:rPr>
        <w:t xml:space="preserve">. </w:t>
      </w:r>
      <w:r>
        <w:rPr>
          <w:rtl w:val="true"/>
        </w:rPr>
        <w:t>הוא ביטא חרטה על התנהלותו</w:t>
      </w:r>
      <w:r>
        <w:rPr>
          <w:rtl w:val="true"/>
        </w:rPr>
        <w:t xml:space="preserve">, </w:t>
      </w:r>
      <w:r>
        <w:rPr>
          <w:rtl w:val="true"/>
        </w:rPr>
        <w:t xml:space="preserve">אך שירות המבחן </w:t>
      </w:r>
      <w:r>
        <w:rPr>
          <w:rtl w:val="true"/>
        </w:rPr>
        <w:t xml:space="preserve">התרשם </w:t>
      </w:r>
      <w:r>
        <w:rPr>
          <w:rtl w:val="true"/>
        </w:rPr>
        <w:t xml:space="preserve">כי דבריו משקפים צמצום של חומרת מעשיו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הפנמה של החומרה ושל מעורבותו במעשים</w:t>
      </w:r>
      <w:r>
        <w:rPr>
          <w:rtl w:val="true"/>
        </w:rPr>
        <w:t xml:space="preserve">. </w:t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נאמר כי </w:t>
      </w:r>
      <w:r>
        <w:rPr>
          <w:rtl w:val="true"/>
        </w:rPr>
        <w:t xml:space="preserve">המערער </w:t>
      </w:r>
      <w:r>
        <w:rPr>
          <w:rtl w:val="true"/>
        </w:rPr>
        <w:t xml:space="preserve">ביטא יכולת התחלתית להכיר </w:t>
      </w:r>
      <w:r>
        <w:rPr>
          <w:rtl w:val="true"/>
        </w:rPr>
        <w:t>בבעייתיות ש</w:t>
      </w:r>
      <w:r>
        <w:rPr>
          <w:rtl w:val="true"/>
        </w:rPr>
        <w:t>בהתנהלותו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בשקלול גורמי הסיכון להישנות התנהלות עבריינית בעתיד אל מול סיכויי השיקום</w:t>
      </w:r>
      <w:r>
        <w:rPr>
          <w:rtl w:val="true"/>
        </w:rPr>
        <w:t xml:space="preserve">, </w:t>
      </w:r>
      <w:r>
        <w:rPr>
          <w:rtl w:val="true"/>
        </w:rPr>
        <w:t>קבע שירות המבחן כי מדובר ברמת מסוכנות נמוכה להישנות מעשים דומים בעתיד</w:t>
      </w:r>
      <w:r>
        <w:rPr>
          <w:rtl w:val="true"/>
        </w:rPr>
        <w:t xml:space="preserve">. </w:t>
      </w:r>
      <w:r>
        <w:rPr>
          <w:rtl w:val="true"/>
        </w:rPr>
        <w:t>שירות המבחן ציין כי ה</w:t>
      </w:r>
      <w:r>
        <w:rPr>
          <w:rtl w:val="true"/>
        </w:rPr>
        <w:t xml:space="preserve">מערער </w:t>
      </w:r>
      <w:r>
        <w:rPr>
          <w:rtl w:val="true"/>
        </w:rPr>
        <w:t>הביע נכונות מילולית להשתלב בהליך טיפולי</w:t>
      </w:r>
      <w:r>
        <w:rPr>
          <w:rtl w:val="true"/>
        </w:rPr>
        <w:t xml:space="preserve">, </w:t>
      </w:r>
      <w:r>
        <w:rPr>
          <w:rtl w:val="true"/>
        </w:rPr>
        <w:t xml:space="preserve">ועל כן </w:t>
      </w:r>
      <w:r>
        <w:rPr>
          <w:rtl w:val="true"/>
        </w:rPr>
        <w:t>המליץ על דחיית הדיון ל</w:t>
      </w:r>
      <w:r>
        <w:rPr>
          <w:rtl w:val="true"/>
        </w:rPr>
        <w:t xml:space="preserve">מספר </w:t>
      </w:r>
      <w:r>
        <w:rPr>
          <w:rtl w:val="true"/>
        </w:rPr>
        <w:t>חודש</w:t>
      </w:r>
      <w:r>
        <w:rPr>
          <w:rtl w:val="true"/>
        </w:rPr>
        <w:t xml:space="preserve">ים </w:t>
      </w:r>
      <w:r>
        <w:rPr>
          <w:rtl w:val="true"/>
        </w:rPr>
        <w:t>לצורך מעקב אחר שילובו במערך הטיפולי וגיבוש המלצה בעניינו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דחה בקשה זו הואיל ו</w:t>
      </w:r>
      <w:r>
        <w:rPr>
          <w:rtl w:val="true"/>
        </w:rPr>
        <w:t xml:space="preserve">מדובר בנאשם בשנות הארבעים לחייו שלחובתו עבר פלילי בלתי מבוטל ולכן </w:t>
      </w:r>
      <w:r>
        <w:rPr>
          <w:rtl w:val="true"/>
        </w:rPr>
        <w:t xml:space="preserve">לא מצא </w:t>
      </w:r>
      <w:r>
        <w:rPr>
          <w:rtl w:val="true"/>
        </w:rPr>
        <w:t>מקום להפנותו בשנית לשירות המבחן לצורך בחינת דרכי שיקום</w:t>
      </w:r>
      <w:r>
        <w:rPr>
          <w:rtl w:val="true"/>
        </w:rPr>
        <w:t xml:space="preserve">. </w:t>
      </w:r>
      <w:r>
        <w:rPr>
          <w:rtl w:val="true"/>
        </w:rPr>
        <w:t>נקבע כי ניתן יהיה לטעון לעניין זה במסגרת הטיעונים לעונש</w:t>
      </w:r>
      <w:r>
        <w:rPr>
          <w:rtl w:val="true"/>
        </w:rPr>
        <w:t xml:space="preserve">. </w:t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sz w:val="22"/>
        </w:rPr>
      </w:pPr>
      <w:r>
        <w:rPr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בתסקיר שירות המבחן מיום </w:t>
      </w:r>
      <w:r>
        <w:rPr/>
        <w:t>27.5.</w:t>
      </w:r>
      <w:r>
        <w:rPr/>
        <w:t>20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המתייחס ל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צוין כי מדובר בגבר </w:t>
      </w:r>
      <w:r>
        <w:rPr>
          <w:rtl w:val="true"/>
        </w:rPr>
        <w:t>כ</w:t>
      </w:r>
      <w:r>
        <w:rPr>
          <w:rtl w:val="true"/>
        </w:rPr>
        <w:t xml:space="preserve">בן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 xml:space="preserve">נשוי ואב לשני ילדים </w:t>
      </w:r>
      <w:r>
        <w:rPr>
          <w:rtl w:val="true"/>
        </w:rPr>
        <w:t xml:space="preserve">בגירים בני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מתמודד עם מחלות</w:t>
      </w:r>
      <w:r>
        <w:rPr>
          <w:rtl w:val="true"/>
        </w:rPr>
        <w:t xml:space="preserve"> רבות</w:t>
      </w:r>
      <w:r>
        <w:rPr>
          <w:rtl w:val="true"/>
        </w:rPr>
        <w:t xml:space="preserve">. </w:t>
      </w:r>
      <w:r>
        <w:rPr>
          <w:rtl w:val="true"/>
        </w:rPr>
        <w:t>אינו עובד מזה שנים ומתקיים מקצבת הבטחת הכנסה מהמוסד לביטוח לאומי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שירות המבחן ציין כי מעיון בגיליון רישומו הפלילי עולה כי לחובתו תשע הרשעות קודמות בשלל עבירות</w:t>
      </w:r>
      <w:r>
        <w:rPr>
          <w:rtl w:val="true"/>
        </w:rPr>
        <w:t xml:space="preserve">, </w:t>
      </w:r>
      <w:r>
        <w:rPr>
          <w:rtl w:val="true"/>
        </w:rPr>
        <w:t>ובכללן עבירות נשק</w:t>
      </w:r>
      <w:r>
        <w:rPr>
          <w:rtl w:val="true"/>
        </w:rPr>
        <w:t xml:space="preserve">, </w:t>
      </w:r>
      <w:r>
        <w:rPr>
          <w:rtl w:val="true"/>
        </w:rPr>
        <w:t>אלימות ועבירות ביטחוניות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1989</w:t>
      </w:r>
      <w:r>
        <w:rPr>
          <w:rtl w:val="true"/>
        </w:rPr>
        <w:t xml:space="preserve"> </w:t>
      </w:r>
      <w:r>
        <w:rPr>
          <w:rtl w:val="true"/>
        </w:rPr>
        <w:t xml:space="preserve">נידון למאסר בפועל למשך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 בגין עבירות בטחון</w:t>
      </w:r>
      <w:r>
        <w:rPr>
          <w:rtl w:val="true"/>
        </w:rPr>
        <w:t xml:space="preserve">. </w:t>
      </w:r>
      <w:r>
        <w:rPr>
          <w:rtl w:val="true"/>
        </w:rPr>
        <w:t>בהתייחס לעבירה בה הורשע בתיק זה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מערער </w:t>
      </w:r>
      <w:r>
        <w:rPr>
          <w:rtl w:val="true"/>
        </w:rPr>
        <w:t>הודה במיוחס לו</w:t>
      </w:r>
      <w:r>
        <w:rPr>
          <w:rtl w:val="true"/>
        </w:rPr>
        <w:t xml:space="preserve"> אך הוא נו</w:t>
      </w:r>
      <w:r>
        <w:rPr>
          <w:rtl w:val="true"/>
        </w:rPr>
        <w:t>שא באחריות חלקית למעשיו</w:t>
      </w:r>
      <w:r>
        <w:rPr>
          <w:rtl w:val="true"/>
        </w:rPr>
        <w:t xml:space="preserve">, </w:t>
      </w:r>
      <w:r>
        <w:rPr>
          <w:rtl w:val="true"/>
        </w:rPr>
        <w:t xml:space="preserve">תוך שציין כי </w:t>
      </w:r>
      <w:r>
        <w:rPr>
          <w:rtl w:val="true"/>
        </w:rPr>
        <w:t xml:space="preserve">הצטייד </w:t>
      </w:r>
      <w:r>
        <w:rPr>
          <w:rtl w:val="true"/>
        </w:rPr>
        <w:t>לצורכי ציד</w:t>
      </w:r>
      <w:r>
        <w:rPr>
          <w:rtl w:val="true"/>
        </w:rPr>
        <w:t xml:space="preserve"> </w:t>
      </w:r>
      <w:r>
        <w:rPr>
          <w:rtl w:val="true"/>
        </w:rPr>
        <w:t xml:space="preserve">ברובה </w:t>
      </w:r>
      <w:r>
        <w:rPr>
          <w:rtl w:val="true"/>
        </w:rPr>
        <w:t>שהיה שייך לאביו המנוח אליו היה מתלווה במסעות ציד</w:t>
      </w:r>
      <w:r>
        <w:rPr>
          <w:rtl w:val="true"/>
        </w:rPr>
        <w:t xml:space="preserve">. </w:t>
      </w:r>
      <w:r>
        <w:rPr>
          <w:rtl w:val="true"/>
        </w:rPr>
        <w:t>הוא זה ש</w:t>
      </w:r>
      <w:r>
        <w:rPr>
          <w:rtl w:val="true"/>
        </w:rPr>
        <w:t>הציע ל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להצטרף אליו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מערער </w:t>
      </w:r>
      <w:r>
        <w:rPr>
          <w:rtl w:val="true"/>
        </w:rPr>
        <w:t xml:space="preserve">ביטא חרטה על התנהלותו והבנה מסוימת </w:t>
      </w:r>
      <w:r>
        <w:rPr>
          <w:rtl w:val="true"/>
        </w:rPr>
        <w:t xml:space="preserve">לבעייתיות הטמונה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 xml:space="preserve">אולם </w:t>
      </w:r>
      <w:r>
        <w:rPr>
          <w:rtl w:val="true"/>
        </w:rPr>
        <w:t>להתרשמות שירות המבחן אין מדובר בהפנמה מלאה של חומרת המעשים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מערער מחזיק בעמדות הנותנות לגיטימציה להחזקת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 רקע הסביבה המשפחתית והתרבותית שבה גדל</w:t>
      </w:r>
      <w:r>
        <w:rPr>
          <w:rtl w:val="true"/>
        </w:rPr>
        <w:t xml:space="preserve">. </w:t>
      </w:r>
      <w:r>
        <w:rPr>
          <w:rtl w:val="true"/>
        </w:rPr>
        <w:t>נוכח דיווחי המערער כי מאז שחרורו ממאסר הוא החל לצרוך אלכוהול ולהשתמש סמים</w:t>
      </w:r>
      <w:r>
        <w:rPr>
          <w:rtl w:val="true"/>
        </w:rPr>
        <w:t xml:space="preserve">, </w:t>
      </w:r>
      <w:r>
        <w:rPr>
          <w:rtl w:val="true"/>
        </w:rPr>
        <w:t>הוא הופנה לאבחון ב</w:t>
      </w:r>
      <w:r>
        <w:rPr>
          <w:rtl w:val="true"/>
        </w:rPr>
        <w:t>יחידה לנפגעי אלכוהול וסמים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היחידה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להערכת שירות המבחן</w:t>
      </w:r>
      <w:r>
        <w:rPr>
          <w:rtl w:val="true"/>
        </w:rPr>
        <w:t xml:space="preserve">, </w:t>
      </w:r>
      <w:r>
        <w:rPr>
          <w:rtl w:val="true"/>
        </w:rPr>
        <w:t>ניכר סיכון להישנות התנהלות עבריינית 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הוצע לבחון את שיתוף הפעולה </w:t>
      </w:r>
      <w:r>
        <w:rPr>
          <w:rtl w:val="true"/>
        </w:rPr>
        <w:t xml:space="preserve">של המערער </w:t>
      </w:r>
      <w:r>
        <w:rPr>
          <w:rtl w:val="true"/>
        </w:rPr>
        <w:t xml:space="preserve">במסגרת הליך אבחון וטיפול </w:t>
      </w:r>
      <w:r>
        <w:rPr>
          <w:rtl w:val="true"/>
        </w:rPr>
        <w:t xml:space="preserve">ביחידה </w:t>
      </w:r>
      <w:r>
        <w:rPr>
          <w:rtl w:val="true"/>
        </w:rPr>
        <w:t>בטרם תגובש הערכת סיכון מלאה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לצורך כך </w:t>
      </w:r>
      <w:r>
        <w:rPr>
          <w:rtl w:val="true"/>
        </w:rPr>
        <w:t xml:space="preserve">גם בעניינו </w:t>
      </w:r>
      <w:r>
        <w:rPr>
          <w:rtl w:val="true"/>
        </w:rPr>
        <w:t xml:space="preserve">התבקשה דחייה </w:t>
      </w:r>
      <w:r>
        <w:rPr>
          <w:rtl w:val="true"/>
        </w:rPr>
        <w:t>במשפטו</w:t>
      </w:r>
      <w:r>
        <w:rPr>
          <w:rtl w:val="true"/>
        </w:rPr>
        <w:t xml:space="preserve">. </w:t>
      </w:r>
      <w:r>
        <w:rPr>
          <w:rtl w:val="true"/>
        </w:rPr>
        <w:t xml:space="preserve">בדומה להחלטה שניתנה לגבי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גם </w:t>
      </w:r>
      <w:r>
        <w:rPr>
          <w:rtl w:val="true"/>
        </w:rPr>
        <w:t xml:space="preserve">בקשת שירות המבחן בעניינו של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 xml:space="preserve">נקבע כי נוכח גילו ועברו הפלילי המכביד של </w:t>
      </w:r>
      <w:r>
        <w:rPr>
          <w:rtl w:val="true"/>
        </w:rPr>
        <w:t xml:space="preserve">המערער </w:t>
      </w:r>
      <w:r>
        <w:rPr>
          <w:rtl w:val="true"/>
        </w:rPr>
        <w:t>אין מקום לדחייה המבוקשת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וכי </w:t>
      </w:r>
      <w:r>
        <w:rPr>
          <w:rtl w:val="true"/>
        </w:rPr>
        <w:t xml:space="preserve">גם בעניינו </w:t>
      </w:r>
      <w:r>
        <w:rPr>
          <w:rtl w:val="true"/>
        </w:rPr>
        <w:t>ניתן יה</w:t>
      </w:r>
      <w:r>
        <w:rPr>
          <w:rtl w:val="true"/>
        </w:rPr>
        <w:t>יה</w:t>
      </w:r>
      <w:r>
        <w:rPr>
          <w:rtl w:val="true"/>
        </w:rPr>
        <w:t xml:space="preserve"> להפנות לנסיבותיו האישיות במסגרת הטיעונים לעונש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המשיבה טען כי מתחם העונש ההולם במקרה זה עומד על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 לגבי שני המערערים</w:t>
      </w:r>
      <w:r>
        <w:rPr>
          <w:rtl w:val="true"/>
        </w:rPr>
        <w:t xml:space="preserve">; </w:t>
      </w:r>
      <w:r>
        <w:rPr>
          <w:rtl w:val="true"/>
        </w:rPr>
        <w:t xml:space="preserve">וכי ראוי להשית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על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על מערער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מנגד טענו באי כוח המערערים כי מתחם העונש לגבי שני המערערים צריך לעמוד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שירוצו בעבודות שירות ועד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בית המשפט עמד על חומרתן היתרה של עבירות הנשק</w:t>
      </w:r>
      <w:r>
        <w:rPr>
          <w:rtl w:val="true"/>
        </w:rPr>
        <w:t xml:space="preserve">, </w:t>
      </w:r>
      <w:r>
        <w:rPr>
          <w:rtl w:val="true"/>
        </w:rPr>
        <w:t>לאור פוטנציאל הנזק האדיר הטמון בשימוש בכלי נשק</w:t>
      </w:r>
      <w:r>
        <w:rPr>
          <w:rtl w:val="true"/>
        </w:rPr>
        <w:t xml:space="preserve">, </w:t>
      </w:r>
      <w:r>
        <w:rPr>
          <w:rtl w:val="true"/>
        </w:rPr>
        <w:t>וציין את מגמת ההחמרה במדיניות הענישה גם כאשר מדובר בהחזקת נשק בלבד</w:t>
      </w:r>
      <w:r>
        <w:rPr>
          <w:rtl w:val="true"/>
        </w:rPr>
        <w:t xml:space="preserve">. </w:t>
      </w:r>
      <w:r>
        <w:rPr>
          <w:rtl w:val="true"/>
        </w:rPr>
        <w:t>בהתחשב בכך</w:t>
      </w:r>
      <w:r>
        <w:rPr>
          <w:rtl w:val="true"/>
        </w:rPr>
        <w:t xml:space="preserve">, </w:t>
      </w:r>
      <w:r>
        <w:rPr>
          <w:rtl w:val="true"/>
        </w:rPr>
        <w:t>כמו גם במידת הפגיעה בערכים החברתיים שנפגעו כתוצאה מביצוע העבירה</w:t>
      </w:r>
      <w:r>
        <w:rPr>
          <w:rtl w:val="true"/>
        </w:rPr>
        <w:t xml:space="preserve">; </w:t>
      </w:r>
      <w:r>
        <w:rPr>
          <w:rtl w:val="true"/>
        </w:rPr>
        <w:t>ובנסיבות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העובדה שמדובר ברובה ציד שאינו מיועד ברגיל לגרום להרג או לפגיעה בבני אדם </w:t>
      </w:r>
      <w:r>
        <w:rPr>
          <w:rtl w:val="true"/>
        </w:rPr>
        <w:t>–</w:t>
      </w:r>
      <w:r>
        <w:rPr>
          <w:rtl w:val="true"/>
        </w:rPr>
        <w:t xml:space="preserve"> קבע בית המשפט כי מתחם העונש ההולם לגבי שני המערערים עומד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עד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. </w:t>
      </w:r>
      <w:r>
        <w:rPr>
          <w:rtl w:val="true"/>
        </w:rPr>
        <w:t>יצוין כי בית המשפט דחה את טענת המערערים כי יש בחומר החקירה ראיות המלמדות על כך שברכב בו נתפסו היו נוצות וכתמי דם של עופות</w:t>
      </w:r>
      <w:r>
        <w:rPr>
          <w:rtl w:val="true"/>
        </w:rPr>
        <w:t xml:space="preserve">, </w:t>
      </w:r>
      <w:r>
        <w:rPr>
          <w:rtl w:val="true"/>
        </w:rPr>
        <w:t>באופן שהיה יכול להביא להקלה בעונשם</w:t>
      </w:r>
      <w:r>
        <w:rPr>
          <w:rtl w:val="true"/>
        </w:rPr>
        <w:t xml:space="preserve">. </w:t>
      </w:r>
      <w:r>
        <w:rPr>
          <w:rtl w:val="true"/>
        </w:rPr>
        <w:t>זאת משנקבע כי מדובר בעובדות החורגות מאלה שהוסכמו בכתב האישום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נלקחו בחשבון הודאת המערערים בעובדות כתב האישום בשלב מוקדם של הדיון ועובר לשמיעת הראיות בתיק</w:t>
      </w:r>
      <w:r>
        <w:rPr>
          <w:rtl w:val="true"/>
        </w:rPr>
        <w:t xml:space="preserve">; </w:t>
      </w:r>
      <w:r>
        <w:rPr>
          <w:rtl w:val="true"/>
        </w:rPr>
        <w:t>פרק הזמן הארוך שחלף מאז האירוע ועד שהוגש כתב אישום</w:t>
      </w:r>
      <w:r>
        <w:rPr>
          <w:rtl w:val="true"/>
        </w:rPr>
        <w:t xml:space="preserve">; </w:t>
      </w:r>
      <w:r>
        <w:rPr>
          <w:rtl w:val="true"/>
        </w:rPr>
        <w:t>ונסיבות חייהם האישיות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מצא לזקוף לחומרה את עברם המכביד של שני המערערים אשר לא מנע מהם לשוב ולהסתבך בעבירות נשק</w:t>
      </w:r>
      <w:r>
        <w:rPr>
          <w:rtl w:val="true"/>
        </w:rPr>
        <w:t xml:space="preserve">. </w:t>
      </w:r>
      <w:r>
        <w:rPr>
          <w:rtl w:val="true"/>
        </w:rPr>
        <w:t>על בסיס האמור</w:t>
      </w:r>
      <w:r>
        <w:rPr>
          <w:rtl w:val="true"/>
        </w:rPr>
        <w:t xml:space="preserve">, </w:t>
      </w:r>
      <w:r>
        <w:rPr>
          <w:rtl w:val="true"/>
        </w:rPr>
        <w:t>החליט בית המשפט להשית עליהם את העונשים שפורטו לעיל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לשלמות התמונה יצוין כי עובר לדיון נערכו בעניינם של כל אחד מהמערערים שני תסקירים עדכניים</w:t>
      </w:r>
      <w:r>
        <w:rPr>
          <w:rtl w:val="true"/>
        </w:rPr>
        <w:t xml:space="preserve">, </w:t>
      </w:r>
      <w:r>
        <w:rPr>
          <w:rtl w:val="true"/>
        </w:rPr>
        <w:t xml:space="preserve">האחד ביום </w:t>
      </w:r>
      <w:r>
        <w:rPr/>
        <w:t>31.10.2021</w:t>
      </w:r>
      <w:r>
        <w:rPr>
          <w:rtl w:val="true"/>
        </w:rPr>
        <w:t xml:space="preserve"> </w:t>
      </w:r>
      <w:r>
        <w:rPr>
          <w:rtl w:val="true"/>
        </w:rPr>
        <w:t xml:space="preserve">והשני ביום </w:t>
      </w:r>
      <w:r>
        <w:rPr/>
        <w:t>15.2.2022</w:t>
      </w:r>
      <w:r>
        <w:rPr>
          <w:rtl w:val="true"/>
        </w:rPr>
        <w:t xml:space="preserve">. </w:t>
      </w:r>
      <w:r>
        <w:rPr>
          <w:rtl w:val="true"/>
        </w:rPr>
        <w:t xml:space="preserve">בעניינו של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צוין בתסקיר מיום </w:t>
      </w:r>
      <w:r>
        <w:rPr/>
        <w:t>31.10.2021</w:t>
      </w:r>
      <w:r>
        <w:rPr>
          <w:rtl w:val="true"/>
        </w:rPr>
        <w:t xml:space="preserve"> </w:t>
      </w:r>
      <w:r>
        <w:rPr>
          <w:rtl w:val="true"/>
        </w:rPr>
        <w:t>כי לא נראה שחל כיום שינוי חיובי בעמדותיו</w:t>
      </w:r>
      <w:r>
        <w:rPr>
          <w:rtl w:val="true"/>
        </w:rPr>
        <w:t xml:space="preserve">, </w:t>
      </w:r>
      <w:r>
        <w:rPr>
          <w:rtl w:val="true"/>
        </w:rPr>
        <w:t>והוא אף התייחס לרצונו להתנסות בציד</w:t>
      </w:r>
      <w:r>
        <w:rPr>
          <w:rtl w:val="true"/>
        </w:rPr>
        <w:t xml:space="preserve">. </w:t>
      </w:r>
      <w:r>
        <w:rPr>
          <w:rtl w:val="true"/>
        </w:rPr>
        <w:t>ממידע שהתקבל מגורמי הטיפול ביחידה עולה כי על אף השתלבותו בהליך אבחון בין החודשים אפריל</w:t>
      </w:r>
      <w:r>
        <w:rPr>
          <w:rtl w:val="true"/>
        </w:rPr>
        <w:t>-</w:t>
      </w:r>
      <w:r>
        <w:rPr>
          <w:rtl w:val="true"/>
        </w:rPr>
        <w:t xml:space="preserve">יוני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 xml:space="preserve">הקשר עמו נותק מאז חודש יוני </w:t>
      </w:r>
      <w:r>
        <w:rPr/>
        <w:t>2021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טיפולית</w:t>
      </w:r>
      <w:r>
        <w:rPr>
          <w:rtl w:val="true"/>
        </w:rPr>
        <w:t>-</w:t>
      </w:r>
      <w:r>
        <w:rPr>
          <w:rtl w:val="true"/>
        </w:rPr>
        <w:t>שיקומית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למסקנה זהה הגיע שירות המבחן גם בתסקיר מיום </w:t>
      </w:r>
      <w:r>
        <w:rPr/>
        <w:t>15.2.2022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בעניינו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צוין בתסקיר מיום </w:t>
      </w:r>
      <w:r>
        <w:rPr/>
        <w:t>31.10.2021</w:t>
      </w:r>
      <w:r>
        <w:rPr>
          <w:rtl w:val="true"/>
        </w:rPr>
        <w:t xml:space="preserve"> </w:t>
      </w:r>
      <w:r>
        <w:rPr>
          <w:rtl w:val="true"/>
        </w:rPr>
        <w:t xml:space="preserve">כי להתרשמות שירות המבחן חל שינוי מסוים </w:t>
      </w:r>
      <w:r>
        <w:rPr>
          <w:rtl w:val="true"/>
        </w:rPr>
        <w:t>–</w:t>
      </w:r>
      <w:r>
        <w:rPr>
          <w:rtl w:val="true"/>
        </w:rPr>
        <w:t xml:space="preserve"> לרעה </w:t>
      </w:r>
      <w:r>
        <w:rPr>
          <w:rtl w:val="true"/>
        </w:rPr>
        <w:t>–</w:t>
      </w:r>
      <w:r>
        <w:rPr>
          <w:rtl w:val="true"/>
        </w:rPr>
        <w:t xml:space="preserve"> בעמדותיו</w:t>
      </w:r>
      <w:r>
        <w:rPr>
          <w:rtl w:val="true"/>
        </w:rPr>
        <w:t xml:space="preserve">, </w:t>
      </w:r>
      <w:r>
        <w:rPr>
          <w:rtl w:val="true"/>
        </w:rPr>
        <w:t>כאשר הוא מצמצם עוד יותר את חומרת מעשיו ומביע עמדה קורבנית ביחס לנסיבות ביצועהּ</w:t>
      </w:r>
      <w:r>
        <w:rPr>
          <w:rtl w:val="true"/>
        </w:rPr>
        <w:t xml:space="preserve">. </w:t>
      </w:r>
      <w:r>
        <w:rPr>
          <w:rtl w:val="true"/>
        </w:rPr>
        <w:t>על רקע עמדותיו המעודכנות</w:t>
      </w:r>
      <w:r>
        <w:rPr>
          <w:rtl w:val="true"/>
        </w:rPr>
        <w:t xml:space="preserve">, </w:t>
      </w:r>
      <w:r>
        <w:rPr>
          <w:rtl w:val="true"/>
        </w:rPr>
        <w:t>לא נמצא כי ניתן להתאים למערער תכנית טיפול ייעודית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גם בעניינו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צוין כי לא ניתן לבוא בהמלצה טיפולית שיש ביכולתה להפחית את הסיכון להישנות עבירות</w:t>
      </w:r>
      <w:r>
        <w:rPr>
          <w:rtl w:val="true"/>
        </w:rPr>
        <w:t xml:space="preserve">. </w:t>
      </w:r>
      <w:r>
        <w:rPr>
          <w:rtl w:val="true"/>
        </w:rPr>
        <w:t xml:space="preserve">בתסקיר העדכני מיום </w:t>
      </w:r>
      <w:r>
        <w:rPr/>
        <w:t>15.2.2022</w:t>
      </w:r>
      <w:r>
        <w:rPr>
          <w:rtl w:val="true"/>
        </w:rPr>
        <w:t xml:space="preserve">, </w:t>
      </w:r>
      <w:r>
        <w:rPr>
          <w:rtl w:val="true"/>
        </w:rPr>
        <w:t>צוין כי בפגישה עם המערער הוא חזר על עמדותיו כפי שהביע בעבר בזמן שהתנהל ההליך בבית המשפט המחוזי</w:t>
      </w:r>
      <w:r>
        <w:rPr>
          <w:rtl w:val="true"/>
        </w:rPr>
        <w:t xml:space="preserve">, </w:t>
      </w:r>
      <w:r>
        <w:rPr>
          <w:rtl w:val="true"/>
        </w:rPr>
        <w:t>והוא ביטא הכרה מסוימת בדפוסי אישיות שעמדו ברקע למעשיו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צוין כי המערער מתקשה להסביר את השינוי בעמדותיו בפגישות השונות עמו וניכר כי הוא ממוקד בקידום מצבו המשפטי</w:t>
      </w:r>
      <w:r>
        <w:rPr>
          <w:rtl w:val="true"/>
        </w:rPr>
        <w:t xml:space="preserve">. </w:t>
      </w:r>
      <w:r>
        <w:rPr>
          <w:rtl w:val="true"/>
        </w:rPr>
        <w:t>להתרשמות שירות המבחן</w:t>
      </w:r>
      <w:r>
        <w:rPr>
          <w:rtl w:val="true"/>
        </w:rPr>
        <w:t xml:space="preserve">, </w:t>
      </w:r>
      <w:r>
        <w:rPr>
          <w:rtl w:val="true"/>
        </w:rPr>
        <w:t>התבטאויותיו הנוכחיות מונעות מאימת הדין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שירות המבחן לא בא בהמלצה טיפולית בעניינו</w:t>
      </w:r>
      <w:r>
        <w:rPr>
          <w:rtl w:val="true"/>
        </w:rPr>
        <w:t xml:space="preserve">, </w:t>
      </w:r>
      <w:r>
        <w:rPr>
          <w:rtl w:val="true"/>
        </w:rPr>
        <w:t>גם הפעם הזו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 כי בית המשפט המחוזי טעה בקביעת מתחם העונש</w:t>
      </w:r>
      <w:r>
        <w:rPr>
          <w:rtl w:val="true"/>
        </w:rPr>
        <w:t xml:space="preserve">, </w:t>
      </w:r>
      <w:r>
        <w:rPr>
          <w:rtl w:val="true"/>
        </w:rPr>
        <w:t>כמו גם בגזירת העונש שהושת לבסוף בגדרי המתחם האמור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 המשפט לא תמך את קביעותיו בפסיקה הנוהגת בעבירות נשק שעה שמדובר בהחזקת רובה ציד לזמן קצר</w:t>
      </w:r>
      <w:r>
        <w:rPr>
          <w:rtl w:val="true"/>
        </w:rPr>
        <w:t xml:space="preserve">. </w:t>
      </w:r>
      <w:r>
        <w:rPr>
          <w:rtl w:val="true"/>
        </w:rPr>
        <w:t>בתמיכה לעמדה זו</w:t>
      </w:r>
      <w:r>
        <w:rPr>
          <w:rtl w:val="true"/>
        </w:rPr>
        <w:t xml:space="preserve">, </w:t>
      </w:r>
      <w:r>
        <w:rPr>
          <w:rtl w:val="true"/>
        </w:rPr>
        <w:t>הפנה בא</w:t>
      </w:r>
      <w:r>
        <w:rPr>
          <w:rtl w:val="true"/>
        </w:rPr>
        <w:t>-</w:t>
      </w:r>
      <w:r>
        <w:rPr>
          <w:rtl w:val="true"/>
        </w:rPr>
        <w:t>כוח המערער לשורה של פסקי דין בהם נקבע מתחם עונש מתון יותר</w:t>
      </w:r>
      <w:r>
        <w:rPr>
          <w:rtl w:val="true"/>
        </w:rPr>
        <w:t xml:space="preserve">, </w:t>
      </w:r>
      <w:r>
        <w:rPr>
          <w:rtl w:val="true"/>
        </w:rPr>
        <w:t>בנסיבות שבהן יוחסו לנאשמים עבירות חמורות יותר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משהחליט שלא לאפשר למערערים להגיש ראיות מטעמם מהן ניתן היה ללמוד על 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לו הייתה ניתנת למערער האפשרות להביא ראיות מטעמו</w:t>
      </w:r>
      <w:r>
        <w:rPr>
          <w:rtl w:val="true"/>
        </w:rPr>
        <w:t xml:space="preserve">, </w:t>
      </w:r>
      <w:r>
        <w:rPr>
          <w:rtl w:val="true"/>
        </w:rPr>
        <w:t>הוא יכול היה להוכיח את התכלית לשמה החזיק את הרובה</w:t>
      </w:r>
      <w:r>
        <w:rPr>
          <w:rtl w:val="true"/>
        </w:rPr>
        <w:t xml:space="preserve">, </w:t>
      </w:r>
      <w:r>
        <w:rPr>
          <w:rtl w:val="true"/>
        </w:rPr>
        <w:t>היינו שלא על מנת לפגוע באיש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התעלם מממצאי תסקיר שירות המבחן ואף דחה את בקשתו לדחיית הדיון כדי לאפשר למערער להתחיל בהליך שיקומי נצרך</w:t>
      </w:r>
      <w:r>
        <w:rPr>
          <w:rtl w:val="true"/>
        </w:rPr>
        <w:t xml:space="preserve">. </w:t>
      </w:r>
      <w:r>
        <w:rPr>
          <w:rtl w:val="true"/>
        </w:rPr>
        <w:t>לבסוף נטען כי בית המשפט טעה בקביעת העונש בתוך המתחם תוך התעלמות ממכלול הנתונים שפורטו בתסקיר שירות המבחן</w:t>
      </w:r>
      <w:r>
        <w:rPr>
          <w:rtl w:val="true"/>
        </w:rPr>
        <w:t xml:space="preserve">; </w:t>
      </w:r>
      <w:r>
        <w:rPr>
          <w:rtl w:val="true"/>
        </w:rPr>
        <w:t>מכך שהעבירה בוצעה כארבע שנים וחצי עובר למתן גזר הדין</w:t>
      </w:r>
      <w:r>
        <w:rPr>
          <w:rtl w:val="true"/>
        </w:rPr>
        <w:t xml:space="preserve">; </w:t>
      </w:r>
      <w:r>
        <w:rPr>
          <w:rtl w:val="true"/>
        </w:rPr>
        <w:t>מכך שהמערער הודה בביצוע העבירה בהזדמנות הראשונה</w:t>
      </w:r>
      <w:r>
        <w:rPr>
          <w:rtl w:val="true"/>
        </w:rPr>
        <w:t xml:space="preserve">, </w:t>
      </w:r>
      <w:r>
        <w:rPr>
          <w:rtl w:val="true"/>
        </w:rPr>
        <w:t>חסך זמן שיפוטי</w:t>
      </w:r>
      <w:r>
        <w:rPr>
          <w:rtl w:val="true"/>
        </w:rPr>
        <w:t xml:space="preserve">, </w:t>
      </w:r>
      <w:r>
        <w:rPr>
          <w:rtl w:val="true"/>
        </w:rPr>
        <w:t>לקח אחריות מלאה על מעשיו והביע חרטה כנה על מה שעשה</w:t>
      </w:r>
      <w:r>
        <w:rPr>
          <w:rtl w:val="true"/>
        </w:rPr>
        <w:t xml:space="preserve">. </w:t>
      </w:r>
      <w:r>
        <w:rPr>
          <w:rtl w:val="true"/>
        </w:rPr>
        <w:t>יש למתק אפוא את עונשו של המערער באופן משמעותי</w:t>
      </w:r>
      <w:r>
        <w:rPr>
          <w:rtl w:val="true"/>
        </w:rPr>
        <w:t xml:space="preserve">, </w:t>
      </w:r>
      <w:r>
        <w:rPr>
          <w:rtl w:val="true"/>
        </w:rPr>
        <w:t>או לחלופין למקם את העונש בתחתית המתחם שקבע בית המשפט המחוזי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 כי בית המשפט לא נתן משקל ראוי להודאת המערער והחיסכון בזמן שיפוטי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לא לקח בחשבון את נסיבותיו האישיות של המערער והתעלם מהמלצת שירות המבחן</w:t>
      </w:r>
      <w:r>
        <w:rPr>
          <w:rtl w:val="true"/>
        </w:rPr>
        <w:t xml:space="preserve">. </w:t>
      </w:r>
      <w:r>
        <w:rPr>
          <w:rtl w:val="true"/>
        </w:rPr>
        <w:t>בית המשפט גם שגה בכך שלא סטה ממתחם העונש ההולם בשל שיקולי שיקום ולאור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זאת חרף חומרת העבירה אותה ביצע</w:t>
      </w:r>
      <w:r>
        <w:rPr>
          <w:rtl w:val="true"/>
        </w:rPr>
        <w:t xml:space="preserve">. </w:t>
      </w:r>
      <w:r>
        <w:rPr>
          <w:rtl w:val="true"/>
        </w:rPr>
        <w:t>בנוסף על האמור בית המשפט היה צריך לקחת בחשבון את השיהוי שנפל בהגשת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לכך שהעבירה בוצעה ביום </w:t>
      </w:r>
      <w:r>
        <w:rPr/>
        <w:t>31.1.2017</w:t>
      </w:r>
      <w:r>
        <w:rPr>
          <w:rtl w:val="true"/>
        </w:rPr>
        <w:t xml:space="preserve"> </w:t>
      </w:r>
      <w:r>
        <w:rPr>
          <w:rtl w:val="true"/>
        </w:rPr>
        <w:t xml:space="preserve">ואילו כתב האישום הוגש רק ביום </w:t>
      </w:r>
      <w:r>
        <w:rPr/>
        <w:t>27.6.2019</w:t>
      </w:r>
      <w:r>
        <w:rPr>
          <w:rtl w:val="true"/>
        </w:rPr>
        <w:t xml:space="preserve">, </w:t>
      </w:r>
      <w:r>
        <w:rPr>
          <w:rtl w:val="true"/>
        </w:rPr>
        <w:t>בחלוף שנתיים וחצי</w:t>
      </w:r>
      <w:r>
        <w:rPr>
          <w:rtl w:val="true"/>
        </w:rPr>
        <w:t xml:space="preserve">. </w:t>
      </w:r>
      <w:r>
        <w:rPr>
          <w:rtl w:val="true"/>
        </w:rPr>
        <w:t>בית המשפט גם התעלם מסוג הנשק ומנסיבות המקרה</w:t>
      </w:r>
      <w:r>
        <w:rPr>
          <w:rtl w:val="true"/>
        </w:rPr>
        <w:t xml:space="preserve">. </w:t>
      </w:r>
      <w:r>
        <w:rPr>
          <w:rtl w:val="true"/>
        </w:rPr>
        <w:t>מדובר כאמור ברובה ציד והמערער החזיק ברובה במקום מרוחק מכל אדם</w:t>
      </w:r>
      <w:r>
        <w:rPr>
          <w:rtl w:val="true"/>
        </w:rPr>
        <w:t xml:space="preserve">. </w:t>
      </w:r>
      <w:r>
        <w:rPr>
          <w:rtl w:val="true"/>
        </w:rPr>
        <w:t>לבסוף נטען כי בית המשפט חרג מרמת הענישה הנוהגת כמו גם מעיקרון אחדות הענישה בשים לב לכך שהוטלו עליו שלושה חודשי מאסר בפועל יותר מחברו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טען כי העונש שהושת על שני המערערים הינו עונש הולם</w:t>
      </w:r>
      <w:r>
        <w:rPr>
          <w:rtl w:val="true"/>
        </w:rPr>
        <w:t xml:space="preserve">, </w:t>
      </w:r>
      <w:r>
        <w:rPr>
          <w:rtl w:val="true"/>
        </w:rPr>
        <w:t>כאשר במסגרת גזר הדין נלקחו בחשבון מכלול הנסיבות</w:t>
      </w:r>
      <w:r>
        <w:rPr>
          <w:rtl w:val="true"/>
        </w:rPr>
        <w:t xml:space="preserve">, </w:t>
      </w:r>
      <w:r>
        <w:rPr>
          <w:rtl w:val="true"/>
        </w:rPr>
        <w:t>כולל נסיבותיהם האישיות של שני המערערים ועברם הפלילי המכביד</w:t>
      </w:r>
      <w:r>
        <w:rPr>
          <w:rtl w:val="true"/>
        </w:rPr>
        <w:t xml:space="preserve">. </w:t>
      </w:r>
      <w:r>
        <w:rPr>
          <w:rtl w:val="true"/>
        </w:rPr>
        <w:t>כלי הנשק מושא כתב האישום מתואר ככלי נשק שבכוחו להמית אדם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סוג הנשק במקרה זה אינו רלוונטי לעניין</w:t>
      </w:r>
      <w:r>
        <w:rPr>
          <w:rtl w:val="true"/>
        </w:rPr>
        <w:t xml:space="preserve">. </w:t>
      </w:r>
      <w:r>
        <w:rPr>
          <w:rtl w:val="true"/>
        </w:rPr>
        <w:t>באשר לטענת המערערים לגבי הגשת ראיות בשלב הטיעונים לעונש</w:t>
      </w:r>
      <w:r>
        <w:rPr>
          <w:rtl w:val="true"/>
        </w:rPr>
        <w:t xml:space="preserve">, </w:t>
      </w:r>
      <w:r>
        <w:rPr>
          <w:rtl w:val="true"/>
        </w:rPr>
        <w:t>מדובר במערערים שכפרו בתחילה בכתב האישום והוא תוקן בהסכמה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היה מקום לאפשר להם בשלב הטיעונים לעונש להוסיף ראיות נוספות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גם אם נניח כי היה מדובר במערערים שיצאו בזמן תפיסתם לציד</w:t>
      </w:r>
      <w:r>
        <w:rPr>
          <w:rtl w:val="true"/>
        </w:rPr>
        <w:t xml:space="preserve">, </w:t>
      </w:r>
      <w:r>
        <w:rPr>
          <w:rtl w:val="true"/>
        </w:rPr>
        <w:t>השאלה מה ביקשו לעשות עם הרובה באותו הזמן היא שאלה משנית</w:t>
      </w:r>
      <w:r>
        <w:rPr>
          <w:rtl w:val="true"/>
        </w:rPr>
        <w:t xml:space="preserve">. </w:t>
      </w:r>
      <w:r>
        <w:rPr>
          <w:rtl w:val="true"/>
        </w:rPr>
        <w:t>בנסיבות אלו אין מקום להצדיק סטייה מהעונש ההולם</w:t>
      </w:r>
      <w:r>
        <w:rPr>
          <w:rtl w:val="true"/>
        </w:rPr>
        <w:t xml:space="preserve">. </w:t>
      </w:r>
      <w:r>
        <w:rPr>
          <w:rtl w:val="true"/>
        </w:rPr>
        <w:t>בקשר לחלוף הזמן מאז קרות האירוע ועד להגשת כתב האישום</w:t>
      </w:r>
      <w:r>
        <w:rPr>
          <w:rtl w:val="true"/>
        </w:rPr>
        <w:t xml:space="preserve">, </w:t>
      </w:r>
      <w:r>
        <w:rPr>
          <w:rtl w:val="true"/>
        </w:rPr>
        <w:t>נטען כי בסופו של דבר בהסתכלות כוללת על משך זמן טיפול התביעה באישום</w:t>
      </w:r>
      <w:r>
        <w:rPr>
          <w:rtl w:val="true"/>
        </w:rPr>
        <w:t xml:space="preserve">, </w:t>
      </w:r>
      <w:r>
        <w:rPr>
          <w:rtl w:val="true"/>
        </w:rPr>
        <w:t>אין מדובר בחריגה מלוח זמנים סביר</w:t>
      </w:r>
      <w:r>
        <w:rPr>
          <w:rtl w:val="true"/>
        </w:rPr>
        <w:t xml:space="preserve">. </w:t>
      </w:r>
      <w:r>
        <w:rPr>
          <w:rtl w:val="true"/>
        </w:rPr>
        <w:t>לבסוף נטען כי עיון בתסקירי שירות המבחן העדכניים שהוגשו במסגרת הערעור מלמד כי שירות המבחן לא בא בהמלצה טיפולית לגבי שני המערערים והתסקירים לגבי שניהם אינם חיוביים</w:t>
      </w:r>
      <w:r>
        <w:rPr>
          <w:rtl w:val="true"/>
        </w:rPr>
        <w:t xml:space="preserve">. </w:t>
      </w:r>
      <w:r>
        <w:rPr>
          <w:rtl w:val="true"/>
        </w:rPr>
        <w:t>לפיכך יש לדחות את שני הערעורים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tl w:val="true"/>
        </w:rPr>
        <w:t xml:space="preserve">. </w:t>
      </w:r>
      <w:r>
        <w:rPr>
          <w:rtl w:val="true"/>
        </w:rPr>
        <w:t xml:space="preserve">אם </w:t>
      </w:r>
      <w:r>
        <w:rPr>
          <w:rtl w:val="true"/>
        </w:rPr>
        <w:t>קיימת התערבות</w:t>
      </w:r>
      <w:r>
        <w:rPr>
          <w:rtl w:val="true"/>
        </w:rPr>
        <w:t xml:space="preserve">, </w:t>
      </w:r>
      <w:r>
        <w:rPr>
          <w:rtl w:val="true"/>
        </w:rPr>
        <w:t>היא בדרך כלל נעשית על מנת להחמיר בעונשם של עברייני נשק ולא להקל עמם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 xml:space="preserve">נאמרו על ידִי הדברים הבאים במסגרת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בסילה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28.12.2021</w:t>
      </w:r>
      <w:r>
        <w:rPr>
          <w:rtl w:val="true"/>
        </w:rPr>
        <w:t xml:space="preserve">):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עראר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28.7.2021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אגבאריה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21.6.2021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23.12.2020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6277/20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24.3.2021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וערכאת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עראר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4232/20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12.11.2020</w:t>
      </w:r>
      <w:r>
        <w:rPr>
          <w:rtl w:val="true"/>
        </w:rPr>
        <w:t xml:space="preserve">)).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עראר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start="2160" w:end="1843"/>
        <w:jc w:val="both"/>
        <w:rPr/>
      </w:pPr>
      <w:r>
        <w:rPr>
          <w:rtl w:val="true"/>
        </w:rPr>
        <w:t>'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מחאמיד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29.6.2021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5993/21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29.11.2021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עייאט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2.9.2021</w:t>
      </w:r>
      <w:r>
        <w:rPr>
          <w:rtl w:val="true"/>
        </w:rPr>
        <w:t xml:space="preserve">)).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'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כפועל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מנעד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מושפעים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אלקיעאן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15.9.2020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אלהוזייל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25.8.2020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18.3.2019</w:t>
      </w:r>
      <w:r>
        <w:rPr>
          <w:rtl w:val="true"/>
        </w:rPr>
        <w:t>))"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9-7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 xml:space="preserve">אין מקום לקבל את טרוניית המערערים כי גזר הדין שניתן בעניינם אינו מביא לידי ביטוי את העובדה כי מדובר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בהחזקת נשק מסוג רובה ציד</w:t>
      </w:r>
      <w:r>
        <w:rPr>
          <w:rtl w:val="true"/>
        </w:rPr>
        <w:t xml:space="preserve">. </w:t>
      </w:r>
      <w:r>
        <w:rPr>
          <w:rtl w:val="true"/>
        </w:rPr>
        <w:t>נשק הוא נשק</w:t>
      </w:r>
      <w:r>
        <w:rPr>
          <w:rtl w:val="true"/>
        </w:rPr>
        <w:t xml:space="preserve">. </w:t>
      </w:r>
      <w:r>
        <w:rPr>
          <w:rtl w:val="true"/>
        </w:rPr>
        <w:t xml:space="preserve">מדובר בכלי משחית המסוגל </w:t>
      </w:r>
      <w:r>
        <w:rPr>
          <w:rtl w:val="true"/>
        </w:rPr>
        <w:t>"</w:t>
      </w:r>
      <w:r>
        <w:rPr>
          <w:rtl w:val="true"/>
        </w:rPr>
        <w:t>להמית אדם</w:t>
      </w:r>
      <w:r>
        <w:rPr>
          <w:rtl w:val="true"/>
        </w:rPr>
        <w:t xml:space="preserve">" </w:t>
      </w:r>
      <w:r>
        <w:rPr>
          <w:rtl w:val="true"/>
        </w:rPr>
        <w:t xml:space="preserve">כלשון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לא בכדי המחוקק ביקש להכליל בגדר המונח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מנעד רחב של כלים ואביזרים המסוגלים לגרום למותו של אדם</w:t>
      </w:r>
      <w:r>
        <w:rPr>
          <w:rtl w:val="true"/>
        </w:rPr>
        <w:t xml:space="preserve">. </w:t>
      </w:r>
      <w:r>
        <w:rPr>
          <w:rtl w:val="true"/>
        </w:rPr>
        <w:t>כלי נשק מסוגים שונים שהושגו שלא כדין מובילים לא פעם לפגיעה בחיי אדם</w:t>
      </w:r>
      <w:r>
        <w:rPr>
          <w:rtl w:val="true"/>
        </w:rPr>
        <w:t xml:space="preserve">, </w:t>
      </w:r>
      <w:r>
        <w:rPr>
          <w:rtl w:val="true"/>
        </w:rPr>
        <w:t>והצורך לשרש רעה חולה זו באמצעות ענישה מחמירה ומרתיעה חל על כל סוגי כלי הנשק</w:t>
      </w:r>
      <w:r>
        <w:rPr>
          <w:rtl w:val="true"/>
        </w:rPr>
        <w:t xml:space="preserve">. </w:t>
      </w:r>
      <w:r>
        <w:rPr>
          <w:rtl w:val="true"/>
        </w:rPr>
        <w:t>מכאן אפוא שאין לקבל את טענת המערערים כי שגה בית המשפט בהתייחסו אל עבירת החזקת הנשק בנסיבות ענייננו</w:t>
      </w:r>
      <w:r>
        <w:rPr>
          <w:rtl w:val="true"/>
        </w:rPr>
        <w:t xml:space="preserve">, </w:t>
      </w:r>
      <w:r>
        <w:rPr>
          <w:rtl w:val="true"/>
        </w:rPr>
        <w:t>הנסובה על החזקת רובה ציד</w:t>
      </w:r>
      <w:r>
        <w:rPr>
          <w:rtl w:val="true"/>
        </w:rPr>
        <w:t xml:space="preserve">, </w:t>
      </w:r>
      <w:r>
        <w:rPr>
          <w:rtl w:val="true"/>
        </w:rPr>
        <w:t>כעבירה המצדיקה ענישה מחמירה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הגם כי עבירת החזקת רובה ציד איננה חומקת מהכלל המכתיב ענישה מרתיעה</w:t>
      </w:r>
      <w:r>
        <w:rPr>
          <w:rtl w:val="true"/>
        </w:rPr>
        <w:t xml:space="preserve">, </w:t>
      </w:r>
      <w:r>
        <w:rPr>
          <w:rtl w:val="true"/>
        </w:rPr>
        <w:t>יש אכן מקום ליתן ביטוי לסוג הנשק בבחינת 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העונש המושת על נאשם בגין עבירות המתבצעות בנשק צריך להיות מושפע מפוטנציאל הסיכון הטמון בנשק המוחזק שלא כדין תוך התייחסות בין היתר לסוג הנשק הספציפי בו בוצעה העבירה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)). </w:t>
      </w:r>
      <w:r>
        <w:rPr>
          <w:rtl w:val="true"/>
        </w:rPr>
        <w:t>וכך הדבר גם בא לידי ביטוי בגזר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בית המשפט לא התעלם מנסיבה זו</w:t>
      </w:r>
      <w:r>
        <w:rPr>
          <w:rtl w:val="true"/>
        </w:rPr>
        <w:t xml:space="preserve">, </w:t>
      </w:r>
      <w:r>
        <w:rPr>
          <w:rtl w:val="true"/>
        </w:rPr>
        <w:t>וציין בעת בחינת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כי מדובר בהחזקת רובה ציד</w:t>
      </w:r>
      <w:r>
        <w:rPr>
          <w:rtl w:val="true"/>
        </w:rPr>
        <w:t xml:space="preserve">. </w:t>
      </w:r>
      <w:r>
        <w:rPr>
          <w:rtl w:val="true"/>
        </w:rPr>
        <w:t>מכאן שאין לקבל את טענת המערערים כי נסיבה זו לא הובאה בחשבון בעת קביעת מתחם הענישה והעונש בעניינם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בחישוב הכולל</w:t>
      </w:r>
      <w:r>
        <w:rPr>
          <w:rtl w:val="true"/>
        </w:rPr>
        <w:t xml:space="preserve">, </w:t>
      </w:r>
      <w:r>
        <w:rPr>
          <w:rtl w:val="true"/>
        </w:rPr>
        <w:t>לא ניתן לומר כלל כי העונש שהושת על המערערים הוא חמור יתר על המידה</w:t>
      </w:r>
      <w:r>
        <w:rPr>
          <w:rtl w:val="true"/>
        </w:rPr>
        <w:t xml:space="preserve">. </w:t>
      </w:r>
      <w:r>
        <w:rPr>
          <w:rtl w:val="true"/>
        </w:rPr>
        <w:t>בגזירת עונשם בית המשפט שקל את מכלול הנסיבות</w:t>
      </w:r>
      <w:r>
        <w:rPr>
          <w:rtl w:val="true"/>
        </w:rPr>
        <w:t xml:space="preserve">, </w:t>
      </w:r>
      <w:r>
        <w:rPr>
          <w:rtl w:val="true"/>
        </w:rPr>
        <w:t>בהתייחס בין היתר לכך שהמערערים הודו בעובדות כתב האישום בשלב מוקדם</w:t>
      </w:r>
      <w:r>
        <w:rPr>
          <w:rtl w:val="true"/>
        </w:rPr>
        <w:t xml:space="preserve">, </w:t>
      </w:r>
      <w:r>
        <w:rPr>
          <w:rtl w:val="true"/>
        </w:rPr>
        <w:t>לשיהוי שחלף בהגשת כתב האישום ולנסיבות חייהם האישיות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צדק בית המשפט בכך שלקח בחשבון את העובדה שהעונשים הקודמים שהוטלו על המערערים </w:t>
      </w:r>
      <w:r>
        <w:rPr>
          <w:rtl w:val="true"/>
        </w:rPr>
        <w:t>(</w:t>
      </w:r>
      <w:r>
        <w:rPr>
          <w:rtl w:val="true"/>
        </w:rPr>
        <w:t xml:space="preserve">שניהם כאמור נידונו בעבר למאסר לתקופות ממושכות </w:t>
      </w:r>
      <w:r>
        <w:rPr>
          <w:rtl w:val="true"/>
        </w:rPr>
        <w:t>–</w:t>
      </w:r>
      <w:r>
        <w:rPr>
          <w:rtl w:val="true"/>
        </w:rPr>
        <w:t xml:space="preserve">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למאסר בן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וחצי שנים</w:t>
      </w:r>
      <w:r>
        <w:rPr>
          <w:rtl w:val="true"/>
        </w:rPr>
        <w:t xml:space="preserve">; </w:t>
      </w:r>
      <w:r>
        <w:rPr>
          <w:rtl w:val="true"/>
        </w:rPr>
        <w:t xml:space="preserve">ומערער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למאסר במשך לא פחות 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לא הרתיעו אותם מלשוב ולהסתבך בעבירות נשק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דומה כי בנסיבות אלו</w:t>
      </w:r>
      <w:r>
        <w:rPr>
          <w:rtl w:val="true"/>
        </w:rPr>
        <w:t xml:space="preserve">, </w:t>
      </w:r>
      <w:r>
        <w:rPr>
          <w:rtl w:val="true"/>
        </w:rPr>
        <w:t>נוכח עברם הפלילי המכביד של המערערים</w:t>
      </w:r>
      <w:r>
        <w:rPr>
          <w:rtl w:val="true"/>
        </w:rPr>
        <w:t xml:space="preserve">, </w:t>
      </w:r>
      <w:r>
        <w:rPr>
          <w:rtl w:val="true"/>
        </w:rPr>
        <w:t>ניתן לומר כי העונשים שהושתו עליהם אף מקלים עמם במידה לא מועטה</w:t>
      </w:r>
      <w:r>
        <w:rPr>
          <w:rtl w:val="true"/>
        </w:rPr>
        <w:t xml:space="preserve">. </w:t>
      </w:r>
      <w:r>
        <w:rPr>
          <w:rtl w:val="true"/>
        </w:rPr>
        <w:t>בשים לב לאמור</w:t>
      </w:r>
      <w:r>
        <w:rPr>
          <w:rtl w:val="true"/>
        </w:rPr>
        <w:t xml:space="preserve">, </w:t>
      </w:r>
      <w:r>
        <w:rPr>
          <w:rtl w:val="true"/>
        </w:rPr>
        <w:t>אין מקום לטענת המערערים כי היה מקום ליתן משקל רב יותר לנסיבותיהם האישיות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למותר לציין כי בשל החומרה היתרה שבעבירות נשק והסיכון הגבוה הגלום בהן לשלום הציבור</w:t>
      </w:r>
      <w:r>
        <w:rPr>
          <w:rtl w:val="true"/>
        </w:rPr>
        <w:t xml:space="preserve">, </w:t>
      </w:r>
      <w:r>
        <w:rPr>
          <w:rtl w:val="true"/>
        </w:rPr>
        <w:t xml:space="preserve">נקבע כי יש לתת משקל רב יותר לאינטרס הציבורי ולשיקולי הרתעה מאשר לנסיבותיו האישיות של הנאשם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בראנסי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16.8.2018</w:t>
      </w:r>
      <w:r>
        <w:rPr>
          <w:rtl w:val="true"/>
        </w:rPr>
        <w:t xml:space="preserve">)). </w:t>
      </w:r>
      <w:r>
        <w:rPr>
          <w:rtl w:val="true"/>
        </w:rPr>
        <w:t>זאת בוודאי במקרה זה</w:t>
      </w:r>
      <w:r>
        <w:rPr>
          <w:rtl w:val="true"/>
        </w:rPr>
        <w:t xml:space="preserve">, </w:t>
      </w:r>
      <w:r>
        <w:rPr>
          <w:rtl w:val="true"/>
        </w:rPr>
        <w:t>כאשר הרתעת המערערים מביצוע עבירות נוספות נדרשת ביתר שאת</w:t>
      </w:r>
      <w:r>
        <w:rPr>
          <w:rtl w:val="true"/>
        </w:rPr>
        <w:t xml:space="preserve">, </w:t>
      </w:r>
      <w:r>
        <w:rPr>
          <w:rtl w:val="true"/>
        </w:rPr>
        <w:t>נוכח העובדה שמאסרם הקודם לא הרתיעם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דין טענת המערערים כי לא ניתן די משקל לעניין השיהוי שחלף בהגשת כתב האישום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שיהוי שנגרם בעטיין של רשויות התביעה יכול להביא להקלה בעונשו של נאשם</w:t>
      </w:r>
      <w:r>
        <w:rPr>
          <w:rtl w:val="true"/>
        </w:rPr>
        <w:t xml:space="preserve">, </w:t>
      </w:r>
      <w:r>
        <w:rPr>
          <w:rtl w:val="true"/>
        </w:rPr>
        <w:t>אולם שאלת המשקל המדויק שיש ליתן לשיהוי תוכרע לאחר בחינת מכלול 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בשים לב בין היתר לפגיעה שנגרמה לנאשם מעצם השיהוי ולאינטרס הציבורי העומד על הפרק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6922/08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1.2.2010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 המשפט אכן לקח בחשבון שיהוי זה כנסיבה לקולא</w:t>
      </w:r>
      <w:r>
        <w:rPr>
          <w:rtl w:val="true"/>
        </w:rPr>
        <w:t xml:space="preserve">, </w:t>
      </w:r>
      <w:r>
        <w:rPr>
          <w:rtl w:val="true"/>
        </w:rPr>
        <w:t>ונראה כי בהתחשב במכלול הנסיבות לא מדובר בשיהוי שהיה בו כדי להצדיק הקלה נוספת בעונשם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ובאשר לטענת המערערים כי הפוטנציאל השיקומי שלהם לא נלקח דיו בחשבון</w:t>
      </w:r>
      <w:r>
        <w:rPr>
          <w:rtl w:val="true"/>
        </w:rPr>
        <w:t xml:space="preserve">, </w:t>
      </w:r>
      <w:r>
        <w:rPr>
          <w:rtl w:val="true"/>
        </w:rPr>
        <w:t>משלא התקבלה בקשת שירות המבחן לדחיית מועד הדיון לשם בירור התאמתם להליך טיפולי</w:t>
      </w:r>
      <w:r>
        <w:rPr>
          <w:rtl w:val="true"/>
        </w:rPr>
        <w:t xml:space="preserve">. </w:t>
      </w:r>
      <w:r>
        <w:rPr>
          <w:rtl w:val="true"/>
        </w:rPr>
        <w:t>גם אם במהלך הדיון בבית המשפט המחוזי נותר ספק כלשהו בשאלה אם המערערים מתאימים להשתלב בהליך טיפולי</w:t>
      </w:r>
      <w:r>
        <w:rPr>
          <w:rtl w:val="true"/>
        </w:rPr>
        <w:t xml:space="preserve">, </w:t>
      </w:r>
      <w:r>
        <w:rPr>
          <w:rtl w:val="true"/>
        </w:rPr>
        <w:t>הרי שספק זה הוסר בהינתן תמונת המצב העולה מהתסקירים העדכניים שהוגשו לפנינו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על פי התרשמות שירות המבחן שני המערערים הולכים ומתרחקים מלהפנים את מעשיהם ואת הבעייתיות הגלומה בהם</w:t>
      </w:r>
      <w:r>
        <w:rPr>
          <w:rtl w:val="true"/>
        </w:rPr>
        <w:t xml:space="preserve">. </w:t>
      </w:r>
      <w:r>
        <w:rPr>
          <w:rtl w:val="true"/>
        </w:rPr>
        <w:t>שעה שאף לעמדת שירות המבחן כיום אין לבוא בהמלצה טיפולית</w:t>
      </w:r>
      <w:r>
        <w:rPr>
          <w:rtl w:val="true"/>
        </w:rPr>
        <w:t>-</w:t>
      </w:r>
      <w:r>
        <w:rPr>
          <w:rtl w:val="true"/>
        </w:rPr>
        <w:t>שיקומית בעניינם של המערערים</w:t>
      </w:r>
      <w:r>
        <w:rPr>
          <w:rtl w:val="true"/>
        </w:rPr>
        <w:t xml:space="preserve">, </w:t>
      </w:r>
      <w:r>
        <w:rPr>
          <w:rtl w:val="true"/>
        </w:rPr>
        <w:t>יש אפוא לדחות את טענתם כי היה צריך ליתן מקום מרכזי יותר להמלצתו הקודמת לאפשר בחינת התאמתם להליך טיפולי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 אציין כי בנסיבות שפורטו אין גם מקום להידרש לטענת המערערים באשר לכך שנמנעה מהם האפשרות להגיש ראיות המצביעות על כך שברכבם נמצאו נוצות או שאריות דם של עופות</w:t>
      </w:r>
      <w:r>
        <w:rPr>
          <w:rtl w:val="true"/>
        </w:rPr>
        <w:t xml:space="preserve">. </w:t>
      </w:r>
      <w:r>
        <w:rPr>
          <w:rtl w:val="true"/>
        </w:rPr>
        <w:t>אף אם הייתה מתקבלת טענת המערערים כי החזקת הנשק נעשתה על רקע היערכותם לציד</w:t>
      </w:r>
      <w:r>
        <w:rPr>
          <w:rtl w:val="true"/>
        </w:rPr>
        <w:t xml:space="preserve">, </w:t>
      </w:r>
      <w:r>
        <w:rPr>
          <w:rtl w:val="true"/>
        </w:rPr>
        <w:t>אין הדבר מצדיק כל הקלה נוספת בעונשם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בית המשפט לקח בחשבון בבחינת נסיבות ביצוע העבירה את סוג הנשק ואת היותו כלי אשר נועד ברגיל לציד בעלי חיים</w:t>
      </w:r>
      <w:r>
        <w:rPr>
          <w:rtl w:val="true"/>
        </w:rPr>
        <w:t xml:space="preserve">. </w:t>
      </w:r>
      <w:r>
        <w:rPr>
          <w:rtl w:val="true"/>
        </w:rPr>
        <w:t>הקלה נוספת בקשר לאופי השימוש בנשק</w:t>
      </w:r>
      <w:r>
        <w:rPr>
          <w:rtl w:val="true"/>
        </w:rPr>
        <w:t xml:space="preserve">, </w:t>
      </w:r>
      <w:r>
        <w:rPr>
          <w:rtl w:val="true"/>
        </w:rPr>
        <w:t>אינה באה בחשבון בנסיבות מקרה 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ממש בטענת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באשר להפרת עיקרון אחידות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טענה הנשענת על העובדה כי הוטלו עליו שלושה חודשי מאסר בפועל </w:t>
      </w:r>
      <w:r>
        <w:rPr>
          <w:rtl w:val="true"/>
        </w:rPr>
        <w:t>"</w:t>
      </w:r>
      <w:r>
        <w:rPr>
          <w:rtl w:val="true"/>
        </w:rPr>
        <w:t>עודפים</w:t>
      </w:r>
      <w:r>
        <w:rPr>
          <w:rtl w:val="true"/>
        </w:rPr>
        <w:t xml:space="preserve">" </w:t>
      </w:r>
      <w:r>
        <w:rPr>
          <w:rtl w:val="true"/>
        </w:rPr>
        <w:t xml:space="preserve">על פני חודשי המאסר בפועל שהושתו על מערער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כלל הוא כי </w:t>
      </w:r>
      <w:r>
        <w:rPr>
          <w:rtl w:val="true"/>
        </w:rPr>
        <w:t>"</w:t>
      </w:r>
      <w:r>
        <w:rPr>
          <w:rtl w:val="true"/>
        </w:rPr>
        <w:t>עקרון אחידות הענישה אינו עיקרון שיש למוד אותו במאזניים אלקטרוניים</w:t>
      </w:r>
      <w:r>
        <w:rPr>
          <w:rtl w:val="true"/>
        </w:rPr>
        <w:t>" 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אהרונוביץ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8.1.2004</w:t>
      </w:r>
      <w:r>
        <w:rPr>
          <w:rtl w:val="true"/>
        </w:rPr>
        <w:t xml:space="preserve">))).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אף כי על פי עיקרון אחידות הענישה</w:t>
      </w:r>
      <w:r>
        <w:rPr>
          <w:rtl w:val="true"/>
        </w:rPr>
        <w:t xml:space="preserve">, </w:t>
      </w:r>
      <w:r>
        <w:rPr>
          <w:rtl w:val="true"/>
        </w:rPr>
        <w:t>מקום בו מרשעים שניים בביצוע עבירה בצוותא</w:t>
      </w:r>
      <w:r>
        <w:rPr>
          <w:rtl w:val="true"/>
        </w:rPr>
        <w:t>-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יש להטיל עליהם עונש דומה בהתאם לאחריותם המשותפת</w:t>
      </w:r>
      <w:r>
        <w:rPr>
          <w:rtl w:val="true"/>
        </w:rPr>
        <w:t xml:space="preserve">, </w:t>
      </w:r>
      <w:r>
        <w:rPr>
          <w:rtl w:val="true"/>
        </w:rPr>
        <w:t>אין מדובר בחזות הכל</w:t>
      </w:r>
      <w:r>
        <w:rPr>
          <w:rtl w:val="true"/>
        </w:rPr>
        <w:t xml:space="preserve">. </w:t>
      </w:r>
      <w:r>
        <w:rPr>
          <w:rtl w:val="true"/>
        </w:rPr>
        <w:t>נסיבות המייחדות שותף אחר</w:t>
      </w:r>
      <w:r>
        <w:rPr>
          <w:rtl w:val="true"/>
        </w:rPr>
        <w:t xml:space="preserve">, </w:t>
      </w:r>
      <w:r>
        <w:rPr>
          <w:rtl w:val="true"/>
        </w:rPr>
        <w:t>לקולא או לחומרה</w:t>
      </w:r>
      <w:r>
        <w:rPr>
          <w:rtl w:val="true"/>
        </w:rPr>
        <w:t xml:space="preserve">, </w:t>
      </w:r>
      <w:r>
        <w:rPr>
          <w:rtl w:val="true"/>
        </w:rPr>
        <w:t>בהשוואה לשותפו</w:t>
      </w:r>
      <w:r>
        <w:rPr>
          <w:rtl w:val="true"/>
        </w:rPr>
        <w:t xml:space="preserve">, </w:t>
      </w:r>
      <w:r>
        <w:rPr>
          <w:rtl w:val="true"/>
        </w:rPr>
        <w:t xml:space="preserve">עשויות להצדיק אבחונו משותפו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9937/01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נח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738</w:t>
      </w:r>
      <w:r>
        <w:rPr>
          <w:rtl w:val="true"/>
        </w:rPr>
        <w:t xml:space="preserve">, </w:t>
      </w:r>
      <w:r>
        <w:rPr/>
        <w:t>752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22.1.2020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עברם הפלילי של המערערים היווה נסיבה לחומרה שניתן לה</w:t>
      </w:r>
      <w:r>
        <w:rPr>
          <w:rtl w:val="true"/>
        </w:rPr>
        <w:t xml:space="preserve">, </w:t>
      </w:r>
      <w:r>
        <w:rPr>
          <w:rtl w:val="true"/>
        </w:rPr>
        <w:t>בצדק כאמור</w:t>
      </w:r>
      <w:r>
        <w:rPr>
          <w:rtl w:val="true"/>
        </w:rPr>
        <w:t xml:space="preserve">, </w:t>
      </w:r>
      <w:r>
        <w:rPr>
          <w:rtl w:val="true"/>
        </w:rPr>
        <w:t>משקל רב</w:t>
      </w:r>
      <w:r>
        <w:rPr>
          <w:rtl w:val="true"/>
        </w:rPr>
        <w:t xml:space="preserve">. </w:t>
      </w:r>
      <w:r>
        <w:rPr>
          <w:rtl w:val="true"/>
        </w:rPr>
        <w:t>לשני המערערים עבר פלילי מכביד</w:t>
      </w:r>
      <w:r>
        <w:rPr>
          <w:rtl w:val="true"/>
        </w:rPr>
        <w:t xml:space="preserve">, </w:t>
      </w:r>
      <w:r>
        <w:rPr>
          <w:rtl w:val="true"/>
        </w:rPr>
        <w:t xml:space="preserve">אך עברו הפלילי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חמור בהרבה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לא נפל כל פגם באבחונו ממערער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בדמות הטלת עונש מאסר לתקופה ארוכה יותר בת מספר חודשים ספורים</w:t>
      </w:r>
      <w:r>
        <w:rPr>
          <w:rtl w:val="true"/>
        </w:rPr>
        <w:t xml:space="preserve">, </w:t>
      </w:r>
      <w:r>
        <w:rPr>
          <w:rtl w:val="true"/>
        </w:rPr>
        <w:t>ואין באמור כל חריגה מעיקרון אחידות הענישה</w:t>
      </w:r>
      <w:r>
        <w:rPr>
          <w:rtl w:val="true"/>
        </w:rPr>
        <w:t xml:space="preserve">, </w:t>
      </w:r>
      <w:r>
        <w:rPr>
          <w:rtl w:val="true"/>
        </w:rPr>
        <w:t>ודאי לא כזו המצדיקה התערבות ערכאת הערעור</w:t>
      </w:r>
      <w:r>
        <w:rPr>
          <w:rtl w:val="true"/>
        </w:rPr>
        <w:t xml:space="preserve">. </w:t>
      </w:r>
      <w:r>
        <w:rPr>
          <w:rtl w:val="true"/>
        </w:rPr>
        <w:t>אמליץ אפוא לחבריי לדחות את שני הערעורים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המערערים </w:t>
      </w:r>
      <w:r>
        <w:rPr>
          <w:rtl w:val="true"/>
        </w:rPr>
        <w:t>יתייצב</w:t>
      </w:r>
      <w:r>
        <w:rPr>
          <w:rtl w:val="true"/>
        </w:rPr>
        <w:t xml:space="preserve">ו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עליהם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13.7.2022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 xml:space="preserve">", </w:t>
      </w:r>
      <w:r>
        <w:rPr>
          <w:rtl w:val="true"/>
        </w:rPr>
        <w:t xml:space="preserve">או </w:t>
      </w:r>
      <w:r>
        <w:rPr>
          <w:rtl w:val="true"/>
        </w:rPr>
        <w:t xml:space="preserve">במקום אחר </w:t>
      </w:r>
      <w:r>
        <w:rPr>
          <w:rtl w:val="true"/>
        </w:rPr>
        <w:t>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tl w:val="true"/>
        </w:rPr>
        <w:t>ם</w:t>
      </w:r>
      <w:r>
        <w:rPr>
          <w:rtl w:val="true"/>
        </w:rPr>
        <w:t xml:space="preserve">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מערערים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074-7831078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p>
      <w:pPr>
        <w:pStyle w:val="Normal"/>
        <w:spacing w:lineRule="auto" w:line="360"/>
        <w:ind w:end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BODYVERDICT"/>
        <w:spacing w:lineRule="auto" w:line="360"/>
        <w:ind w:end="0"/>
        <w:jc w:val="start"/>
        <w:rPr>
          <w:rFonts w:ascii="Century" w:hAnsi="Century" w:cs="Miriam"/>
          <w:b/>
          <w:spacing w:val="0"/>
          <w:sz w:val="22"/>
          <w:szCs w:val="24"/>
          <w:u w:val="single"/>
        </w:rPr>
      </w:pP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spacing w:lineRule="auto" w:line="360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BODYVERDICT"/>
        <w:spacing w:lineRule="auto" w:line="360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Normal"/>
        <w:spacing w:lineRule="auto" w:line="360"/>
        <w:ind w:end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לנשיאה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ד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מינץ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sz w:val="14"/>
          <w:szCs w:val="18"/>
        </w:rPr>
      </w:pPr>
      <w:bookmarkStart w:id="16" w:name="Nitan"/>
      <w:r>
        <w:rPr>
          <w:color w:val="FFFFFF"/>
          <w:sz w:val="14"/>
          <w:szCs w:val="18"/>
        </w:rPr>
        <w:t>5129371</w:t>
      </w:r>
      <w:r>
        <w:rPr>
          <w:sz w:val="14"/>
          <w:szCs w:val="18"/>
          <w:rtl w:val="true"/>
        </w:rPr>
        <w:t xml:space="preserve"> </w:t>
      </w:r>
      <w:r>
        <w:rPr>
          <w:sz w:val="14"/>
          <w:sz w:val="14"/>
          <w:szCs w:val="18"/>
          <w:rtl w:val="true"/>
        </w:rPr>
        <w:t>ניתן</w:t>
      </w:r>
      <w:r>
        <w:rPr>
          <w:rFonts w:eastAsia="Arial TUR;Arial" w:cs="Arial TUR;Arial"/>
          <w:sz w:val="14"/>
          <w:sz w:val="14"/>
          <w:szCs w:val="18"/>
          <w:rtl w:val="true"/>
        </w:rPr>
        <w:t xml:space="preserve"> </w:t>
      </w:r>
      <w:r>
        <w:rPr>
          <w:sz w:val="14"/>
          <w:sz w:val="14"/>
          <w:szCs w:val="18"/>
          <w:rtl w:val="true"/>
        </w:rPr>
        <w:t>היום</w:t>
      </w:r>
      <w:r>
        <w:rPr>
          <w:sz w:val="14"/>
          <w:szCs w:val="18"/>
          <w:rtl w:val="true"/>
        </w:rPr>
        <w:t>, ‏</w:t>
      </w:r>
      <w:r>
        <w:rPr>
          <w:sz w:val="14"/>
          <w:sz w:val="14"/>
          <w:szCs w:val="18"/>
          <w:rtl w:val="true"/>
        </w:rPr>
        <w:t>א</w:t>
      </w:r>
      <w:r>
        <w:rPr>
          <w:sz w:val="14"/>
          <w:szCs w:val="18"/>
          <w:rtl w:val="true"/>
        </w:rPr>
        <w:t xml:space="preserve">' </w:t>
      </w:r>
      <w:r>
        <w:rPr>
          <w:sz w:val="14"/>
          <w:sz w:val="14"/>
          <w:szCs w:val="18"/>
          <w:rtl w:val="true"/>
        </w:rPr>
        <w:t>בסיוון</w:t>
      </w:r>
      <w:r>
        <w:rPr>
          <w:rFonts w:eastAsia="Arial TUR;Arial" w:cs="Arial TUR;Arial"/>
          <w:sz w:val="14"/>
          <w:sz w:val="14"/>
          <w:szCs w:val="18"/>
          <w:rtl w:val="true"/>
        </w:rPr>
        <w:t xml:space="preserve"> </w:t>
      </w:r>
      <w:r>
        <w:rPr>
          <w:sz w:val="14"/>
          <w:sz w:val="14"/>
          <w:szCs w:val="18"/>
          <w:rtl w:val="true"/>
        </w:rPr>
        <w:t>התשפ</w:t>
      </w:r>
      <w:r>
        <w:rPr>
          <w:sz w:val="14"/>
          <w:szCs w:val="18"/>
          <w:rtl w:val="true"/>
        </w:rPr>
        <w:t>"</w:t>
      </w:r>
      <w:r>
        <w:rPr>
          <w:sz w:val="14"/>
          <w:sz w:val="14"/>
          <w:szCs w:val="18"/>
          <w:rtl w:val="true"/>
        </w:rPr>
        <w:t>ב</w:t>
      </w:r>
      <w:r>
        <w:rPr>
          <w:rFonts w:eastAsia="Arial TUR;Arial" w:cs="Arial TUR;Arial"/>
          <w:sz w:val="14"/>
          <w:sz w:val="14"/>
          <w:szCs w:val="18"/>
          <w:rtl w:val="true"/>
        </w:rPr>
        <w:t xml:space="preserve"> </w:t>
      </w:r>
      <w:r>
        <w:rPr>
          <w:sz w:val="14"/>
          <w:szCs w:val="18"/>
          <w:rtl w:val="true"/>
        </w:rPr>
        <w:t>(‏</w:t>
      </w:r>
      <w:r>
        <w:rPr>
          <w:sz w:val="14"/>
          <w:szCs w:val="18"/>
        </w:rPr>
        <w:t>31.5.2022</w:t>
      </w:r>
      <w:r>
        <w:rPr>
          <w:sz w:val="14"/>
          <w:szCs w:val="18"/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4"/>
        <w:gridCol w:w="2797"/>
        <w:gridCol w:w="2782"/>
      </w:tblGrid>
      <w:tr>
        <w:trPr/>
        <w:tc>
          <w:tcPr>
            <w:tcW w:w="2784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9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2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bidi w:val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21058130</w:t>
      </w:r>
      <w:r>
        <w:rPr>
          <w:sz w:val="16"/>
          <w:rtl w:val="true"/>
        </w:rPr>
        <w:t>_</w:t>
      </w:r>
      <w:r>
        <w:rPr>
          <w:sz w:val="16"/>
        </w:rPr>
        <w:t>N16.docx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לש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54678313-5813/21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5813/21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1865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c" TargetMode="External"/><Relationship Id="rId6" Type="http://schemas.openxmlformats.org/officeDocument/2006/relationships/hyperlink" Target="http://www.nevo.co.il/case/27904071" TargetMode="External"/><Relationship Id="rId7" Type="http://schemas.openxmlformats.org/officeDocument/2006/relationships/hyperlink" Target="http://www.nevo.co.il/case/27894608" TargetMode="External"/><Relationship Id="rId8" Type="http://schemas.openxmlformats.org/officeDocument/2006/relationships/hyperlink" Target="http://www.nevo.co.il/case/25818657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8152132" TargetMode="External"/><Relationship Id="rId12" Type="http://schemas.openxmlformats.org/officeDocument/2006/relationships/hyperlink" Target="http://www.nevo.co.il/case/27513376" TargetMode="External"/><Relationship Id="rId13" Type="http://schemas.openxmlformats.org/officeDocument/2006/relationships/hyperlink" Target="http://www.nevo.co.il/case/27708542" TargetMode="External"/><Relationship Id="rId14" Type="http://schemas.openxmlformats.org/officeDocument/2006/relationships/hyperlink" Target="http://www.nevo.co.il/case/27603872" TargetMode="External"/><Relationship Id="rId15" Type="http://schemas.openxmlformats.org/officeDocument/2006/relationships/hyperlink" Target="http://www.nevo.co.il/case/26528299" TargetMode="External"/><Relationship Id="rId16" Type="http://schemas.openxmlformats.org/officeDocument/2006/relationships/hyperlink" Target="http://www.nevo.co.il/case/26986954" TargetMode="External"/><Relationship Id="rId17" Type="http://schemas.openxmlformats.org/officeDocument/2006/relationships/hyperlink" Target="http://www.nevo.co.il/case/26789718" TargetMode="External"/><Relationship Id="rId18" Type="http://schemas.openxmlformats.org/officeDocument/2006/relationships/hyperlink" Target="http://www.nevo.co.il/case/27115374" TargetMode="External"/><Relationship Id="rId19" Type="http://schemas.openxmlformats.org/officeDocument/2006/relationships/hyperlink" Target="http://www.nevo.co.il/case/27907602" TargetMode="External"/><Relationship Id="rId20" Type="http://schemas.openxmlformats.org/officeDocument/2006/relationships/hyperlink" Target="http://www.nevo.co.il/case/2720740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7491153" TargetMode="External"/><Relationship Id="rId23" Type="http://schemas.openxmlformats.org/officeDocument/2006/relationships/hyperlink" Target="http://www.nevo.co.il/case/26986974" TargetMode="External"/><Relationship Id="rId24" Type="http://schemas.openxmlformats.org/officeDocument/2006/relationships/hyperlink" Target="http://www.nevo.co.il/case/26913995" TargetMode="External"/><Relationship Id="rId25" Type="http://schemas.openxmlformats.org/officeDocument/2006/relationships/hyperlink" Target="http://www.nevo.co.il/case/25528737" TargetMode="External"/><Relationship Id="rId26" Type="http://schemas.openxmlformats.org/officeDocument/2006/relationships/hyperlink" Target="http://www.nevo.co.il/law/70301/144.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6473037" TargetMode="External"/><Relationship Id="rId29" Type="http://schemas.openxmlformats.org/officeDocument/2006/relationships/hyperlink" Target="http://www.nevo.co.il/case/23750625" TargetMode="External"/><Relationship Id="rId30" Type="http://schemas.openxmlformats.org/officeDocument/2006/relationships/hyperlink" Target="http://www.nevo.co.il/case/6247461" TargetMode="External"/><Relationship Id="rId31" Type="http://schemas.openxmlformats.org/officeDocument/2006/relationships/hyperlink" Target="http://www.nevo.co.il/case/6002643" TargetMode="External"/><Relationship Id="rId32" Type="http://schemas.openxmlformats.org/officeDocument/2006/relationships/hyperlink" Target="http://www.nevo.co.il/case/5701742" TargetMode="External"/><Relationship Id="rId33" Type="http://schemas.openxmlformats.org/officeDocument/2006/relationships/hyperlink" Target="http://www.nevo.co.il/case/25029385" TargetMode="External"/><Relationship Id="rId34" Type="http://schemas.openxmlformats.org/officeDocument/2006/relationships/hyperlink" Target="https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2022-06-08T13:37:00Z</dcterms:created>
  <dc:creator>h4</dc:creator>
  <dc:description/>
  <cp:keywords/>
  <dc:language>en-IL</dc:language>
  <cp:lastModifiedBy>hofit</cp:lastModifiedBy>
  <cp:lastPrinted>2022-05-31T09:00:00Z</cp:lastPrinted>
  <dcterms:modified xsi:type="dcterms:W3CDTF">2022-06-08T13:37:00Z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ג'בארין;מוחמד אגבריה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25818657:2;28152132;27513376;27708542;27603872;26528299;26986954;26789718;27115374;27907602;27207408;27491153;26986974;26913995;25528737;6473037;23750625;6247461;6002643;5701742;25029385</vt:lpwstr>
  </property>
  <property fmtid="{D5CDD505-2E9C-101B-9397-08002B2CF9AE}" pid="9" name="CITY">
    <vt:lpwstr/>
  </property>
  <property fmtid="{D5CDD505-2E9C-101B-9397-08002B2CF9AE}" pid="10" name="DATE">
    <vt:lpwstr>20220531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מינץ;ה א' חיות;ה ע' פוגלמן</vt:lpwstr>
  </property>
  <property fmtid="{D5CDD505-2E9C-101B-9397-08002B2CF9AE}" pid="14" name="LAWLISTTMP1">
    <vt:lpwstr>70301/144.a;144.c</vt:lpwstr>
  </property>
  <property fmtid="{D5CDD505-2E9C-101B-9397-08002B2CF9AE}" pid="15" name="LAWYER">
    <vt:lpwstr>איתי שהם;עאדל בויראת;יניב אביטן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1446;1443;1446;1446;1446;1446</vt:lpwstr>
  </property>
  <property fmtid="{D5CDD505-2E9C-101B-9397-08002B2CF9AE}" pid="48" name="NOSE31">
    <vt:lpwstr>מדיניות ענישה: החזקת נשק</vt:lpwstr>
  </property>
  <property fmtid="{D5CDD505-2E9C-101B-9397-08002B2CF9AE}" pid="49" name="NOSE310">
    <vt:lpwstr/>
  </property>
  <property fmtid="{D5CDD505-2E9C-101B-9397-08002B2CF9AE}" pid="50" name="NOSE32">
    <vt:lpwstr>החזקת נשק ללא רשיון</vt:lpwstr>
  </property>
  <property fmtid="{D5CDD505-2E9C-101B-9397-08002B2CF9AE}" pid="51" name="NOSE33">
    <vt:lpwstr>מדיניות ענישה: עבירות נשק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>מדיניות ענישה: שיקולים לחומרה</vt:lpwstr>
  </property>
  <property fmtid="{D5CDD505-2E9C-101B-9397-08002B2CF9AE}" pid="54" name="NOSE36">
    <vt:lpwstr>אחדות הענישה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12553;12554;13800;8982;8995;12547</vt:lpwstr>
  </property>
  <property fmtid="{D5CDD505-2E9C-101B-9397-08002B2CF9AE}" pid="59" name="PADIDATE">
    <vt:lpwstr>20220601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5813;5896</vt:lpwstr>
  </property>
  <property fmtid="{D5CDD505-2E9C-101B-9397-08002B2CF9AE}" pid="65" name="PROCYEAR">
    <vt:lpwstr>21;21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410120220531</vt:lpwstr>
  </property>
  <property fmtid="{D5CDD505-2E9C-101B-9397-08002B2CF9AE}" pid="69" name="TYPE_N_DATE">
    <vt:lpwstr>41020220531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