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5830/21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5935/21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שוחט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5830/21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רועי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יחיא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5935/21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5830/21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5935/21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כבוב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ס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20.12.2020</w:t>
            </w:r>
            <w:r>
              <w:rPr>
                <w:sz w:val="24"/>
                <w:szCs w:val="24"/>
                <w:rtl w:val="true"/>
              </w:rPr>
              <w:t xml:space="preserve"> (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דין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15.6.2021</w:t>
            </w:r>
            <w:r>
              <w:rPr>
                <w:sz w:val="24"/>
                <w:szCs w:val="24"/>
                <w:rtl w:val="true"/>
              </w:rPr>
              <w:t xml:space="preserve"> (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דין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68475-07-18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22.5.2022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>
          <w:trHeight w:val="196" w:hRule="atLeast"/>
        </w:trPr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/>
                <w:rtl w:val="true"/>
              </w:rPr>
              <w:t xml:space="preserve">בשם </w:t>
            </w: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5830/21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רונן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מנשה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5935/21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משה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ברם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ארז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5830/21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5935/21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סתיו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גינת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קורין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ניירות ערך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1968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52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52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52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המבחן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1969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192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1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71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72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77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הפרשנות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5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ערעורי המערערים על גזרי הדין שהושתו עליהם בעקבות הרשעתם בעבירה של שימוש במידע שמקורו באיש פנים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נדחו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למערער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5935/21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נפסק כי הוטל עליו עונש מתון למרות חומרת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תוך עמידה על ההלכה לפיה ראוי להחמיר בענישת עברייני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צווארון לבן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 מקום להתערב בעונשו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למערער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5830/21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נפסק כי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חרף ההשלכות שיש להרשעתו על חייו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אין מנוס מ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 שאין אפשרות להטיל עליו שירות לתועלת הציבור ללא הרשעה וקנס כספי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ואף אין אפשרות לחייבו בפיצויים לפי סעיף </w:t>
      </w:r>
      <w:r>
        <w:rPr>
          <w:rFonts w:cs="Times New Roman" w:ascii="Times New Roman" w:hAnsi="Times New Roman"/>
          <w:spacing w:val="0"/>
          <w:szCs w:val="26"/>
        </w:rPr>
        <w:t>77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 מבלי להרשיעו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ניתן לפסוק אותם אך ל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אדם שניזוק על ידי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ואילו נפגעי העבירה הם המדינה ותושביה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וטרם הוכרה הדוקטרינה של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המדינה כאפוטרופוס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שימוש במידע בידי איש פנים‏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כלכליות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שירות לתועלת הציבור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קנס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פיצויים והוצאות – פיצויו של מי שניזוק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העבירה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ערעורים על גזר הדין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בו הורשעו רועי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5830/21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וטל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5935/21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בשימוש במידע פנים שמקורו באיש פנים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עבירה לפי חוק ניירות ערך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עובר לגזירת עונשם של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דחה את עתירת המערערים להורות על ביטול הרשעתם בדין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רועי הושתו 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לריצוי בדרך של עבודות שירות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 מאסר על תנאי וקנס בסך </w:t>
      </w:r>
      <w:r>
        <w:rPr>
          <w:rFonts w:cs="Times New Roman" w:ascii="Times New Roman" w:hAnsi="Times New Roman"/>
          <w:spacing w:val="0"/>
          <w:szCs w:val="26"/>
        </w:rPr>
        <w:t>90,000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טל הושתו 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לריצוי בדרך של עבודות שירות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 מאסר על תנאי וקנס בסך </w:t>
      </w:r>
      <w:r>
        <w:rPr>
          <w:rFonts w:cs="Times New Roman" w:ascii="Times New Roman" w:hAnsi="Times New Roman"/>
          <w:spacing w:val="0"/>
          <w:szCs w:val="26"/>
        </w:rPr>
        <w:t>45,000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שטיין ובהסכמת השופטים סולברג ושוחט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הערעורים ופסק כי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אשר לערעור של טל 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ע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</w:rPr>
        <w:t>5935/21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ש קמא נדרש לכל השיקולים הצריכים לעניין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לרבות נסיבות אישיות של טל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והטיל עליו עונש מתון למרות חומרת העבירות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בגזירת 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הנחה עצמו בימ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ש קמא בהלכה לפיה ראוי להחמיר בענישה בעבירות של שימוש במידע פנים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הלכה שמבטאת גישה כללית של החמרה בענישת עברייני 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צווארון לבן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בסופו של יום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השית בימ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ש על טל עונש מאסר לריצוי בדרך של עבודות שירות המצוי ברף הנמוך של מתחם הענישה שקבע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הסיבות שבעטיין היה מקום להקל בעונש של טל זכו להתייחסות בגזר הדין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ואין להקל עמו מעבר לכך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בשים לב להלכה לפיה ערכאת הערעור לא תתערב בעונש שקבעה הערכאה הדיונית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אלא בנסיבות חריגות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דוגמת סטייה קיצונית ממדיניות הענישה הנוהגת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או כאשר נופלת טעות מהותית בגזר הדין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מקרה זה אינו מקרה חריג שמצדיק התערבות בעונש שהושת על טל בבימ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. 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אשר לערעור של רועי 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ע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</w:rPr>
        <w:t>5830/21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ערעור זה מעמיד קושי לנוכח ההשלכות החמורות שיש להרשעתו של רועי על חייו האישיים ודרכו המקצועית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דא עקא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תוצאותיה החברתיות של הרשעה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קשות ככל שתהיינה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אינן מהוות עילה להקלה בעונשו של מי שנמצא חייב בדינו באופן המסכל את מטרות הענישה הפלילית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ובראשן גמול והרתעה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יחד עם 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ניתן למתן את ההשלכות האמורות של ההרשעה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מבלי לפגוע במיצוי היעדים של גמול והרתעה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מן הראוי שהדבר יישקל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דנן נבחנה אפשרות להטיל על רועי שירות לתועלת הציבור ללא הרשעה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וקנס כספי משמעותי ומרתיע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הטלת עונש על נאשם במסגרת הליך פלילי אפשרית אך ורק בעקבות הרשעתו בפלילים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ניתן להשית על נאשם קנס כספי ללא הרשעה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 קנס מהווה 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 הוראת דין שקובעת אחרת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אשר לאפשרות לחייב את רועי בפיצויים בגדר סעיף </w:t>
      </w:r>
      <w:r>
        <w:rPr>
          <w:rFonts w:cs="Times New Roman" w:ascii="Times New Roman" w:hAnsi="Times New Roman"/>
          <w:spacing w:val="0"/>
          <w:sz w:val="24"/>
          <w:szCs w:val="26"/>
        </w:rPr>
        <w:t>77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 מבלי להרשיעו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דבר זה מתאפשר לנוכח הלכת אסף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בשים לב לכך שהפיצויים הם פיצויי נזיקין במהותם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שנפסקים לקורבן העבירה כעזרה ראשונה וכמקדמה על חשבון הפיצוי המלא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ואינם בגדר אמצעי ענישה שאותו ניתן להפעיל רק במקרים של הרשעה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אלא שפיצויים כאמור ניתן לפסוק אך ורק לטובת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אדם שניזוק על ידי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בעוד שמעשיו של רועי לא פגעו באדם ספציפי שקנה או מכר ניירות ערך בבורסה לניירות ערך בעת ביצוע 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נפגעי עבירה של סחר בניירות ערך תוך שימוש במידע פנים הם המדינה וכלל תושביה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מהם נשללים יתרונות שוק הון אמין ויעיל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שנזכר בסעיף </w:t>
      </w:r>
      <w:r>
        <w:rPr>
          <w:rFonts w:cs="Times New Roman" w:ascii="Times New Roman" w:hAnsi="Times New Roman"/>
          <w:spacing w:val="0"/>
          <w:sz w:val="24"/>
          <w:szCs w:val="26"/>
        </w:rPr>
        <w:t>77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משמעו גם אנשים רבים ואף ציבור בלתי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מסוים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ולכן נשקלה אפשרות לחייב את רועי בפיצויים לקופת המדינה המייצגת את כלל הציבור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מבלי להרשיעו בדין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 לראות את המדינה כזכאית לפיצויי נזיקין בשם כלל תושביה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יש להכיר בדוקטרינה של </w:t>
      </w:r>
      <w:r>
        <w:rPr>
          <w:rFonts w:cs="Times New Roman" w:ascii="Times New Roman" w:hAnsi="Times New Roman"/>
          <w:spacing w:val="0"/>
          <w:sz w:val="24"/>
          <w:szCs w:val="26"/>
        </w:rPr>
        <w:t>Parens Patriae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("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המדינה כאפוטרופוס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והמשבצת המשפטית בה אנו מצויים – פסיקת פיצויים כעזרה ראשונה לקורבן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להבדיל מתביעת נזיקין עצמאית ומלאה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אינה מתאימה למהלך פסיקתי כה משמעותי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השאלה בדבר תחולת הדוקטרינה בדין הישראלי תלויה ועומדת להכרעה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תל אביב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יפו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ויש להמתין לבירורה 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ובהעדר כל פגם בשיקול דעתו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במתן גזר הדין בעניינו של רועי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להחליפו בסעד משפטי שטרם זכה להכרה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cs="Miriam"/>
          <w:b/>
          <w:sz w:val="22"/>
          <w:szCs w:val="24"/>
          <w:u w:val="single"/>
        </w:rPr>
      </w:pPr>
      <w:r>
        <w:rPr>
          <w:rFonts w:cs="Miriam"/>
          <w:b/>
          <w:sz w:val="22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Normal"/>
        <w:spacing w:lineRule="auto" w:line="360"/>
        <w:ind w:end="0"/>
        <w:jc w:val="start"/>
        <w:rPr>
          <w:rFonts w:cs="Miriam"/>
          <w:b/>
          <w:sz w:val="2"/>
          <w:szCs w:val="2"/>
        </w:rPr>
      </w:pPr>
      <w:r>
        <w:rPr>
          <w:rFonts w:cs="Miriam"/>
          <w:b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הערעורים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ind w:end="0"/>
        <w:jc w:val="start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FrankRuehl" w:hAnsi="FrankRuehl" w:cs="FrankRuehl"/>
          <w:color w:val="000000"/>
          <w:sz w:val="28"/>
          <w:shd w:fill="FFFFFF" w:val="clear"/>
        </w:rPr>
      </w:pPr>
      <w:r>
        <w:rPr>
          <w:rtl w:val="true"/>
        </w:rPr>
        <w:t xml:space="preserve">לפנינו ערעורים על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הכרעת הדין ועל גזר הדין </w:t>
      </w:r>
      <w:r>
        <w:rPr>
          <w:rtl w:val="true"/>
        </w:rPr>
        <w:t>של בית המשפט המחוזי תל אביב</w:t>
      </w:r>
      <w:r>
        <w:rPr>
          <w:rtl w:val="true"/>
        </w:rPr>
        <w:t>-</w:t>
      </w:r>
      <w:r>
        <w:rPr>
          <w:rtl w:val="true"/>
        </w:rPr>
        <w:t xml:space="preserve">יפו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כבוב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נ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 xml:space="preserve">אשר ניתנו בימים </w:t>
      </w:r>
      <w:r>
        <w:rPr/>
        <w:t>20.12.2020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15.6.2021</w:t>
      </w:r>
      <w:r>
        <w:rPr>
          <w:rtl w:val="true"/>
        </w:rPr>
        <w:t xml:space="preserve"> (</w:t>
      </w:r>
      <w:r>
        <w:rPr>
          <w:rtl w:val="true"/>
        </w:rPr>
        <w:t>בהתאמה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68475-07-18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>: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בגדרו של פסק דין זה הורשעו המערער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5830/21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רועי</w:t>
      </w:r>
      <w:r>
        <w:rPr>
          <w:rtl w:val="true"/>
        </w:rPr>
        <w:t xml:space="preserve">) </w:t>
      </w:r>
      <w:r>
        <w:rPr>
          <w:rtl w:val="true"/>
        </w:rPr>
        <w:t>והמערער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5935/21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טל</w:t>
      </w:r>
      <w:r>
        <w:rPr>
          <w:rtl w:val="true"/>
        </w:rPr>
        <w:t xml:space="preserve">) </w:t>
      </w:r>
      <w:r>
        <w:rPr>
          <w:rtl w:val="true"/>
        </w:rPr>
        <w:t>בשימוש במידע פנים שמקורו באיש פנים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52</w:t>
        </w:r>
        <w:r>
          <w:rPr>
            <w:rStyle w:val="Hyperlink"/>
            <w:rtl w:val="true"/>
          </w:rPr>
          <w:t>ד</w:t>
        </w:r>
      </w:hyperlink>
      <w:r>
        <w:rPr>
          <w:rtl w:val="true"/>
        </w:rPr>
        <w:t xml:space="preserve"> 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ניירות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1968</w:t>
      </w:r>
      <w:r>
        <w:rPr>
          <w:rtl w:val="true"/>
        </w:rPr>
        <w:t xml:space="preserve">. </w:t>
      </w:r>
      <w:r>
        <w:rPr>
          <w:rtl w:val="true"/>
        </w:rPr>
        <w:t>בעקבות הרשעת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הושתו על רועי </w:t>
      </w:r>
      <w:r>
        <w:rPr>
          <w:rFonts w:cs="FrankRuehl" w:ascii="FrankRuehl" w:hAnsi="FrankRuehl"/>
          <w:color w:val="000000"/>
          <w:sz w:val="28"/>
          <w:shd w:fill="FFFFFF" w:val="clear"/>
        </w:rPr>
        <w:t>3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חודשי מאסר לריצוי בדרך של עבודות שירות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; </w:t>
      </w:r>
      <w:r>
        <w:rPr>
          <w:rFonts w:cs="FrankRuehl" w:ascii="FrankRuehl" w:hAnsi="FrankRuehl"/>
          <w:color w:val="000000"/>
          <w:sz w:val="28"/>
          <w:shd w:fill="FFFFFF" w:val="clear"/>
        </w:rPr>
        <w:t>9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חודשי מאסר על תנאי </w:t>
      </w:r>
      <w:r>
        <w:rPr>
          <w:rtl w:val="true"/>
        </w:rPr>
        <w:t>לבל יעבור במשך</w:t>
      </w:r>
      <w:r>
        <w:rPr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tl w:val="true"/>
        </w:rPr>
        <w:t xml:space="preserve"> ממועד הרשעתו עבירה בה הורשע</w:t>
      </w:r>
      <w:r>
        <w:rPr>
          <w:rtl w:val="true"/>
        </w:rPr>
        <w:t xml:space="preserve">; </w:t>
      </w:r>
      <w:r>
        <w:rPr>
          <w:rtl w:val="true"/>
        </w:rPr>
        <w:t xml:space="preserve">וכן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קנס בסך של </w:t>
      </w:r>
      <w:r>
        <w:rPr>
          <w:rFonts w:cs="FrankRuehl" w:ascii="FrankRuehl" w:hAnsi="FrankRuehl"/>
          <w:color w:val="000000"/>
          <w:sz w:val="28"/>
          <w:shd w:fill="FFFFFF" w:val="clear"/>
        </w:rPr>
        <w:t>90,000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ש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ח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על טל השית בית המשפט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לריצוי </w:t>
      </w:r>
      <w:r>
        <w:rPr>
          <w:rtl w:val="true"/>
        </w:rPr>
        <w:t>בדרך של עבודות שירות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; </w:t>
      </w:r>
      <w:r>
        <w:rPr>
          <w:rFonts w:cs="FrankRuehl" w:ascii="FrankRuehl" w:hAnsi="FrankRuehl"/>
          <w:color w:val="000000"/>
          <w:sz w:val="28"/>
          <w:shd w:fill="FFFFFF" w:val="clear"/>
        </w:rPr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 לבל יעבור במשך</w:t>
      </w:r>
      <w:r>
        <w:rPr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tl w:val="true"/>
        </w:rPr>
        <w:t xml:space="preserve"> ממועד הרשעתו עבירה בה הורשע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וכן </w:t>
      </w:r>
      <w:r>
        <w:rPr>
          <w:rtl w:val="true"/>
        </w:rPr>
        <w:t xml:space="preserve">קנס בסך של </w:t>
      </w:r>
      <w:r>
        <w:rPr/>
        <w:t>45,000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FrankRuehl" w:hAnsi="FrankRuehl" w:cs="FrankRuehl"/>
          <w:color w:val="000000"/>
          <w:sz w:val="28"/>
          <w:shd w:fill="FFFFFF" w:val="clear"/>
        </w:rPr>
      </w:pP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במהלך שמיעת הערעורים הובהר למערערים כי הרשעתם עומדת על יסודות איתנים</w:t>
      </w:r>
      <w:r>
        <w:rPr>
          <w:rtl w:val="true"/>
        </w:rPr>
        <w:t xml:space="preserve">, </w:t>
      </w:r>
      <w:r>
        <w:rPr>
          <w:rtl w:val="true"/>
        </w:rPr>
        <w:t>הן מבחינת חומר הראיות והן מבחינת הוראות הדין אשר חלות על מעשיהם</w:t>
      </w:r>
      <w:r>
        <w:rPr>
          <w:rtl w:val="true"/>
        </w:rPr>
        <w:t xml:space="preserve">. </w:t>
      </w:r>
      <w:r>
        <w:rPr>
          <w:rtl w:val="true"/>
        </w:rPr>
        <w:t>המערערים הסכימו לכך לאחר שנועצו בבאי</w:t>
      </w:r>
      <w:r>
        <w:rPr>
          <w:rtl w:val="true"/>
        </w:rPr>
        <w:t>-</w:t>
      </w:r>
      <w:r>
        <w:rPr>
          <w:rtl w:val="true"/>
        </w:rPr>
        <w:t>כוחם</w:t>
      </w:r>
      <w:r>
        <w:rPr>
          <w:rtl w:val="true"/>
        </w:rPr>
        <w:t xml:space="preserve">, </w:t>
      </w:r>
      <w:r>
        <w:rPr>
          <w:rtl w:val="true"/>
        </w:rPr>
        <w:t>וצמצמו את ערעוריהם לעניין העונש בלבד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בגזר הדין </w:t>
      </w:r>
      <w:r>
        <w:rPr>
          <w:rtl w:val="true"/>
        </w:rPr>
        <w:t xml:space="preserve">עמד </w:t>
      </w:r>
      <w:r>
        <w:rPr>
          <w:rtl w:val="true"/>
        </w:rPr>
        <w:t xml:space="preserve">בית המשפט </w:t>
      </w:r>
      <w:r>
        <w:rPr>
          <w:rtl w:val="true"/>
        </w:rPr>
        <w:t xml:space="preserve">המחוזי </w:t>
      </w:r>
      <w:r>
        <w:rPr>
          <w:rtl w:val="true"/>
        </w:rPr>
        <w:t>על חומרת</w:t>
      </w:r>
      <w:r>
        <w:rPr>
          <w:rtl w:val="true"/>
        </w:rPr>
        <w:t>ה של עבירת השימוש במידע פנים</w:t>
      </w:r>
      <w:r>
        <w:rPr>
          <w:rtl w:val="true"/>
        </w:rPr>
        <w:t xml:space="preserve">, </w:t>
      </w:r>
      <w:r>
        <w:rPr>
          <w:rtl w:val="true"/>
        </w:rPr>
        <w:t>וכן על פגיעתה בהוגנות וביעילות של שוק ההון ובאמון הציבור בו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עמד גם על מדיניות ההחמרה בענישה ביחס לעבירות כלכליות </w:t>
      </w:r>
      <w:r>
        <w:rPr>
          <w:rtl w:val="true"/>
        </w:rPr>
        <w:t>–</w:t>
      </w:r>
      <w:r>
        <w:rPr>
          <w:rtl w:val="true"/>
        </w:rPr>
        <w:t xml:space="preserve"> אשר נובעת 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מ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פוטנציאל הנזק ה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עצום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הטמון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בהן</w:t>
      </w:r>
      <w:r>
        <w:rPr>
          <w:rFonts w:cs="Calibri" w:ascii="Calibri" w:hAnsi="Calibri"/>
          <w:color w:val="000000"/>
          <w:sz w:val="28"/>
          <w:shd w:fill="FFFFFF" w:val="clear"/>
          <w:rtl w:val="true"/>
        </w:rPr>
        <w:t xml:space="preserve">, </w:t>
      </w:r>
      <w:r>
        <w:rPr>
          <w:rtl w:val="true"/>
        </w:rPr>
        <w:t>מהמעגל הרחב של קורבנות העלולים להיפגע מעבירות כאלה</w:t>
      </w:r>
      <w:r>
        <w:rPr>
          <w:rtl w:val="true"/>
        </w:rPr>
        <w:t xml:space="preserve">, </w:t>
      </w:r>
      <w:r>
        <w:rPr>
          <w:rtl w:val="true"/>
        </w:rPr>
        <w:t>ומהקושי לגלותן ולחשוף את מבצעיהן</w:t>
      </w:r>
      <w:r>
        <w:rPr>
          <w:rtl w:val="true"/>
        </w:rPr>
        <w:t xml:space="preserve">. </w:t>
      </w:r>
      <w:r>
        <w:rPr>
          <w:rtl w:val="true"/>
        </w:rPr>
        <w:t>כמו כן הביא בית המשפט בחשבון את נסיבות ביצוע העביר</w:t>
      </w:r>
      <w:r>
        <w:rPr>
          <w:rtl w:val="true"/>
        </w:rPr>
        <w:t>ות</w:t>
      </w:r>
      <w:r>
        <w:rPr>
          <w:rtl w:val="true"/>
        </w:rPr>
        <w:t xml:space="preserve">, </w:t>
      </w:r>
      <w:r>
        <w:rPr>
          <w:rtl w:val="true"/>
        </w:rPr>
        <w:t>תוך שהוא מתייחס לתכנונ</w:t>
      </w:r>
      <w:r>
        <w:rPr>
          <w:rtl w:val="true"/>
        </w:rPr>
        <w:t>ן</w:t>
      </w:r>
      <w:r>
        <w:rPr>
          <w:rtl w:val="true"/>
        </w:rPr>
        <w:t xml:space="preserve"> המוקדם </w:t>
      </w:r>
      <w:r>
        <w:rPr>
          <w:rtl w:val="true"/>
        </w:rPr>
        <w:t>על ידי המערערים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 xml:space="preserve">לחלקו המרכזי של </w:t>
      </w:r>
      <w:r>
        <w:rPr>
          <w:rtl w:val="true"/>
        </w:rPr>
        <w:t>טל</w:t>
      </w:r>
      <w:r>
        <w:rPr>
          <w:rtl w:val="true"/>
        </w:rPr>
        <w:t xml:space="preserve"> בביצוע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ולהשתתפותו הרצונית של רועי בביצוען במטרה להשיג לעצמו רווח קל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בבואו</w:t>
      </w:r>
      <w:r>
        <w:rPr>
          <w:rtl w:val="true"/>
        </w:rPr>
        <w:t xml:space="preserve"> </w:t>
      </w:r>
      <w:r>
        <w:rPr>
          <w:rtl w:val="true"/>
        </w:rPr>
        <w:t>לגזור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עונשם של המערערים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שקבע</w:t>
      </w:r>
      <w:r>
        <w:rPr>
          <w:rtl w:val="true"/>
        </w:rPr>
        <w:t xml:space="preserve">, </w:t>
      </w:r>
      <w:r>
        <w:rPr>
          <w:rtl w:val="true"/>
        </w:rPr>
        <w:t>הביא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במניין</w:t>
      </w:r>
      <w:r>
        <w:rPr>
          <w:rtl w:val="true"/>
        </w:rPr>
        <w:t xml:space="preserve"> </w:t>
      </w:r>
      <w:r>
        <w:rPr>
          <w:rtl w:val="true"/>
        </w:rPr>
        <w:t>שיקוליו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נסיבותיהם</w:t>
      </w:r>
      <w:r>
        <w:rPr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מהמערערים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שקל בית המשפט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ההשלכות החמורות של ההרשעה והעונש על חיי המערערים ועל משפחותיהם</w:t>
      </w:r>
      <w:r>
        <w:rPr>
          <w:rtl w:val="true"/>
        </w:rPr>
        <w:t xml:space="preserve">; </w:t>
      </w:r>
      <w:r>
        <w:rPr>
          <w:rtl w:val="true"/>
        </w:rPr>
        <w:t xml:space="preserve">את העובדה שהמערערים לקחו </w:t>
      </w:r>
      <w:r>
        <w:rPr>
          <w:rtl w:val="true"/>
        </w:rPr>
        <w:t>אחריות על מעשי</w:t>
      </w:r>
      <w:r>
        <w:rPr>
          <w:rtl w:val="true"/>
        </w:rPr>
        <w:t>הם</w:t>
      </w:r>
      <w:r>
        <w:rPr>
          <w:rtl w:val="true"/>
        </w:rPr>
        <w:t xml:space="preserve"> </w:t>
      </w:r>
      <w:r>
        <w:rPr>
          <w:rtl w:val="true"/>
        </w:rPr>
        <w:t xml:space="preserve">והביעו </w:t>
      </w:r>
      <w:r>
        <w:rPr>
          <w:rtl w:val="true"/>
        </w:rPr>
        <w:t xml:space="preserve">חרטה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אם כי מאוחרת</w:t>
      </w:r>
      <w:r>
        <w:rPr>
          <w:rtl w:val="true"/>
        </w:rPr>
        <w:t xml:space="preserve">, </w:t>
      </w:r>
      <w:r>
        <w:rPr>
          <w:rtl w:val="true"/>
        </w:rPr>
        <w:t xml:space="preserve">על </w:t>
      </w:r>
      <w:r>
        <w:rPr>
          <w:rtl w:val="true"/>
        </w:rPr>
        <w:t>שנכשלו במעשים פליליים</w:t>
      </w:r>
      <w:r>
        <w:rPr>
          <w:rtl w:val="true"/>
        </w:rPr>
        <w:t xml:space="preserve">, </w:t>
      </w:r>
      <w:r>
        <w:rPr>
          <w:rtl w:val="true"/>
        </w:rPr>
        <w:t>לראשונה בחייהם</w:t>
      </w:r>
      <w:r>
        <w:rPr>
          <w:rtl w:val="true"/>
        </w:rPr>
        <w:t xml:space="preserve">. 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עובר לגזירת עונשם של המערערים</w:t>
      </w:r>
      <w:r>
        <w:rPr>
          <w:rtl w:val="true"/>
        </w:rPr>
        <w:t xml:space="preserve">, </w:t>
      </w:r>
      <w:r>
        <w:rPr>
          <w:rtl w:val="true"/>
        </w:rPr>
        <w:t>החליט בית המשפט לדחות את עתירת המערערים להורות על ביטול הרשעתם בדין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 שמצא שעניינם אינו עומד בכללים המנחים לבחינתה של אי</w:t>
      </w:r>
      <w:r>
        <w:rPr>
          <w:rtl w:val="true"/>
        </w:rPr>
        <w:t>-</w:t>
      </w:r>
      <w:r>
        <w:rPr>
          <w:rtl w:val="true"/>
        </w:rPr>
        <w:t xml:space="preserve">הרשעה אשר נקבעו בפסיקת בית משפט זה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2083/96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נב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337</w:t>
      </w:r>
      <w:r>
        <w:rPr>
          <w:rtl w:val="true"/>
        </w:rPr>
        <w:t xml:space="preserve">, </w:t>
      </w:r>
      <w:r>
        <w:rPr/>
        <w:t>341</w:t>
      </w:r>
      <w:r>
        <w:rPr>
          <w:rtl w:val="true"/>
        </w:rPr>
        <w:t xml:space="preserve"> (</w:t>
      </w:r>
      <w:r>
        <w:rPr/>
        <w:t>1998</w:t>
      </w:r>
      <w:r>
        <w:rPr>
          <w:rtl w:val="true"/>
        </w:rPr>
        <w:t xml:space="preserve">);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2555/13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נחמיאס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9.1.2014</w:t>
      </w:r>
      <w:r>
        <w:rPr>
          <w:rtl w:val="true"/>
        </w:rPr>
        <w:t xml:space="preserve">); </w:t>
      </w:r>
      <w:r>
        <w:rPr>
          <w:rtl w:val="true"/>
        </w:rPr>
        <w:t>וכן</w:t>
      </w:r>
      <w:r>
        <w:rPr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3554/16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יעקובוביץ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11.6.2017</w:t>
      </w:r>
      <w:r>
        <w:rPr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 xml:space="preserve">נקבע כי העבירה שבה עסקינן ונסיבות ביצועה אינן מאפשרות לבית המשפט לוותר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 </w:t>
      </w:r>
      <w:r>
        <w:rPr>
          <w:rtl w:val="true"/>
        </w:rPr>
        <w:t>באופן שלא יסב פגיעה מהותית ביעדי הענישה הפלילית</w:t>
      </w:r>
      <w:r>
        <w:rPr>
          <w:rtl w:val="true"/>
        </w:rPr>
        <w:t xml:space="preserve">, </w:t>
      </w:r>
      <w:r>
        <w:rPr>
          <w:rtl w:val="true"/>
        </w:rPr>
        <w:t>ובראשם גמול והרתעת רבים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בית המשפט גזר אפוא על </w:t>
      </w:r>
      <w:r>
        <w:rPr>
          <w:rtl w:val="true"/>
        </w:rPr>
        <w:t xml:space="preserve">רועי וטל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לריצוי </w:t>
      </w:r>
      <w:r>
        <w:rPr>
          <w:rtl w:val="true"/>
        </w:rPr>
        <w:t>בדרך של עבודות שירות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כמצו</w:t>
      </w:r>
      <w:r>
        <w:rPr>
          <w:rtl w:val="true"/>
        </w:rPr>
        <w:t>י</w:t>
      </w:r>
      <w:r>
        <w:rPr>
          <w:rtl w:val="true"/>
        </w:rPr>
        <w:t>ין לעיל</w:t>
      </w:r>
      <w:r>
        <w:rPr>
          <w:rtl w:val="true"/>
        </w:rPr>
        <w:t xml:space="preserve">, </w:t>
      </w:r>
      <w:r>
        <w:rPr>
          <w:rtl w:val="true"/>
        </w:rPr>
        <w:t xml:space="preserve">עונש זה הושת </w:t>
      </w:r>
      <w:r>
        <w:rPr>
          <w:rFonts w:ascii="David" w:hAnsi="David" w:cs="David"/>
          <w:color w:val="000000"/>
          <w:rtl w:val="true"/>
        </w:rPr>
        <w:t>לצד העונש</w:t>
      </w:r>
      <w:r>
        <w:rPr>
          <w:rtl w:val="true"/>
        </w:rPr>
        <w:t>ים הנלווים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מכאן הערעור</w:t>
      </w:r>
      <w:r>
        <w:rPr>
          <w:rtl w:val="true"/>
        </w:rPr>
        <w:t>ים</w:t>
      </w:r>
      <w:r>
        <w:rPr>
          <w:rtl w:val="true"/>
        </w:rPr>
        <w:t xml:space="preserve"> שלפנינו</w:t>
      </w:r>
      <w:r>
        <w:rPr>
          <w:rtl w:val="true"/>
        </w:rPr>
        <w:t xml:space="preserve">, </w:t>
      </w:r>
      <w:r>
        <w:rPr>
          <w:rtl w:val="true"/>
        </w:rPr>
        <w:t>שכעת מופנים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נגד גזר הדין בלבד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המערערים טוענים כי שגה בית משפט קמא כאשר דחה את עתירתם לביטול הרשעתם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לשיטתם</w:t>
      </w:r>
      <w:r>
        <w:rPr>
          <w:rtl w:val="true"/>
        </w:rPr>
        <w:t xml:space="preserve">, </w:t>
      </w:r>
      <w:r>
        <w:rPr>
          <w:rtl w:val="true"/>
        </w:rPr>
        <w:t>עניינם מצדיק הימנעות מהרשעה</w:t>
      </w:r>
      <w:r>
        <w:rPr>
          <w:rtl w:val="true"/>
        </w:rPr>
        <w:t xml:space="preserve">. </w:t>
      </w:r>
      <w:r>
        <w:rPr>
          <w:rtl w:val="true"/>
        </w:rPr>
        <w:t>כמו כן נטען כי בית המשפט לא העניק משקל ראוי בעת גזירת הדין ל</w:t>
      </w:r>
      <w:r>
        <w:rPr>
          <w:rtl w:val="true"/>
        </w:rPr>
        <w:t>נסיבותיהם האישיות של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ולנזקים הקשים אשר נגרמו </w:t>
      </w:r>
      <w:r>
        <w:rPr>
          <w:rtl w:val="true"/>
        </w:rPr>
        <w:t>–</w:t>
      </w:r>
      <w:r>
        <w:rPr>
          <w:rtl w:val="true"/>
        </w:rPr>
        <w:t xml:space="preserve"> ואשר עוד צפויים להיגרם בעתיד </w:t>
      </w:r>
      <w:r>
        <w:rPr>
          <w:rtl w:val="true"/>
        </w:rPr>
        <w:t>–</w:t>
      </w:r>
      <w:r>
        <w:rPr>
          <w:rtl w:val="true"/>
        </w:rPr>
        <w:t xml:space="preserve"> להם ולבני משפחתם בעקבות הרשעתם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הרשעתם</w:t>
      </w:r>
      <w:r>
        <w:rPr>
          <w:rtl w:val="true"/>
        </w:rPr>
        <w:t xml:space="preserve">, </w:t>
      </w:r>
      <w:r>
        <w:rPr>
          <w:rtl w:val="true"/>
        </w:rPr>
        <w:t>ונטיל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הפיננסי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Ruller42"/>
        <w:ind w:start="144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המדינה </w:t>
      </w:r>
      <w:r>
        <w:rPr>
          <w:rtl w:val="true"/>
        </w:rPr>
        <w:t>סומכת את ידיה על גזר הדין קמא ומבקשת מאתנו כי נדחה את הערעור</w:t>
      </w:r>
      <w:r>
        <w:rPr>
          <w:rtl w:val="true"/>
        </w:rPr>
        <w:t>ים</w:t>
      </w:r>
      <w:r>
        <w:rPr>
          <w:rtl w:val="true"/>
        </w:rPr>
        <w:t xml:space="preserve">. </w:t>
      </w:r>
      <w:r>
        <w:rPr>
          <w:rtl w:val="true"/>
        </w:rPr>
        <w:t>המדינה טוענת כי בדין דחה בית משפט קמא את עתירת המערערים לביטול הרשעתם</w:t>
      </w:r>
      <w:r>
        <w:rPr>
          <w:rtl w:val="true"/>
        </w:rPr>
        <w:t xml:space="preserve">, </w:t>
      </w:r>
      <w:r>
        <w:rPr>
          <w:rtl w:val="true"/>
        </w:rPr>
        <w:t>שכן הימנעות מהרשעה היא בגדר חריג השמור למקרים נדירים אשר המערערים אינם באים בגדרם</w:t>
      </w:r>
      <w:r>
        <w:rPr>
          <w:rtl w:val="true"/>
        </w:rPr>
        <w:t xml:space="preserve">. </w:t>
      </w:r>
      <w:r>
        <w:rPr>
          <w:rtl w:val="true"/>
        </w:rPr>
        <w:t>בהקשר זה נטען כי נסיבותיהם האישיות של המערערים נלקחו בחשבון בגזירת דינם</w:t>
      </w:r>
      <w:r>
        <w:rPr>
          <w:rtl w:val="true"/>
        </w:rPr>
        <w:t xml:space="preserve">, </w:t>
      </w:r>
      <w:r>
        <w:rPr>
          <w:rtl w:val="true"/>
        </w:rPr>
        <w:t>והן אף זיכו אותם בהקלה משמעותית בענישה אשר באה לידי ביטוי בקביעה כי מאסריהם יהיו קצרים יחסית וירוצו בדרך של עבודות שירות ולא בין כותלי הכלא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ערעורו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5935/21</w:t>
      </w:r>
      <w:r>
        <w:rPr>
          <w:rFonts w:cs="Miriam" w:ascii="Century" w:hAnsi="Century"/>
          <w:b/>
          <w:spacing w:val="0"/>
          <w:szCs w:val="24"/>
          <w:rtl w:val="true"/>
        </w:rPr>
        <w:t>)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b/>
          <w:spacing w:val="0"/>
          <w:szCs w:val="24"/>
        </w:rPr>
      </w:pPr>
      <w:r>
        <w:rPr>
          <w:rFonts w:cs="Arial TUR;Arial" w:ascii="Arial TUR;Arial" w:hAnsi="Arial TUR;Arial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>עיון בגזר דינו של בית משפט קמא מעלה כי הוא נדרש לכל השיקולים הצריכים לעניין</w:t>
      </w:r>
      <w:r>
        <w:rPr>
          <w:rtl w:val="true"/>
        </w:rPr>
        <w:t xml:space="preserve">, </w:t>
      </w:r>
      <w:r>
        <w:rPr>
          <w:rtl w:val="true"/>
        </w:rPr>
        <w:t xml:space="preserve">לרבות נסיבותיו האישיות של טל </w:t>
      </w:r>
      <w:r>
        <w:rPr>
          <w:rtl w:val="true"/>
        </w:rPr>
        <w:t>–</w:t>
      </w:r>
      <w:r>
        <w:rPr>
          <w:rtl w:val="true"/>
        </w:rPr>
        <w:t xml:space="preserve"> והטיל עליו עונש מתון למרות חומרת העבירות בהן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4675/97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רוזוב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נג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337</w:t>
      </w:r>
      <w:r>
        <w:rPr>
          <w:rtl w:val="true"/>
        </w:rPr>
        <w:t xml:space="preserve">, </w:t>
      </w:r>
      <w:r>
        <w:rPr/>
        <w:t>353-350</w:t>
      </w:r>
      <w:r>
        <w:rPr>
          <w:rtl w:val="true"/>
        </w:rPr>
        <w:t xml:space="preserve"> (</w:t>
      </w:r>
      <w:r>
        <w:rPr/>
        <w:t>1990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בגזירת הדין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הנחה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עצמו בית משפט קמא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בהלכה הכללית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לפיה ראוי להחמיר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בענישה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בעבירות של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שימוש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במידע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פנים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–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הלכה אשר מבטאת גישה כללית של החמרה בענישת עברייני 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צו</w:t>
      </w:r>
      <w:r>
        <w:rPr>
          <w:rFonts w:ascii="Century" w:hAnsi="Century" w:cs="Century"/>
          <w:shd w:fill="FFFFFF" w:val="clear"/>
          <w:rtl w:val="true"/>
        </w:rPr>
        <w:t>וארון לבן</w:t>
      </w:r>
      <w:r>
        <w:rPr>
          <w:rFonts w:cs="Century" w:ascii="Century" w:hAnsi="Century"/>
          <w:shd w:fill="FFFFFF" w:val="clear"/>
          <w:rtl w:val="true"/>
        </w:rPr>
        <w:t>" (</w:t>
      </w:r>
      <w:r>
        <w:rPr>
          <w:rFonts w:ascii="Century" w:hAnsi="Century" w:cs="Century"/>
          <w:shd w:fill="FFFFFF" w:val="clear"/>
          <w:rtl w:val="true"/>
        </w:rPr>
        <w:t>ראו</w:t>
      </w:r>
      <w:r>
        <w:rPr>
          <w:rFonts w:cs="Century" w:ascii="Century" w:hAnsi="Century"/>
          <w:shd w:fill="FFFFFF" w:val="clear"/>
          <w:rtl w:val="true"/>
        </w:rPr>
        <w:t xml:space="preserve">: </w:t>
      </w:r>
      <w:hyperlink r:id="rId2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8465/15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זקן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12.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</w:rPr>
        <w:t>.2016</w:t>
      </w:r>
      <w:r>
        <w:rPr>
          <w:rFonts w:cs="Century" w:ascii="Century" w:hAnsi="Century"/>
          <w:rtl w:val="true"/>
        </w:rPr>
        <w:t xml:space="preserve">); </w:t>
      </w:r>
      <w:hyperlink r:id="rId2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9788/03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גולן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נח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245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250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2004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ב</w:t>
      </w:r>
      <w:hyperlink r:id="rId27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6020/12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פסקאות </w:t>
      </w:r>
      <w:r>
        <w:rPr>
          <w:rFonts w:cs="Century" w:ascii="Century" w:hAnsi="Century"/>
        </w:rPr>
        <w:t>23-21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29.4.2013</w:t>
      </w:r>
      <w:r>
        <w:rPr>
          <w:rFonts w:cs="Century" w:ascii="Century" w:hAnsi="Century"/>
          <w:rtl w:val="true"/>
        </w:rPr>
        <w:t>)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).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בסופו של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יום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השית בית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המשפט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על טל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עונש מאסר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לריצוי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בדרך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עבודות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שירות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המצוי </w:t>
      </w:r>
      <w:r>
        <w:rPr>
          <w:rtl w:val="true"/>
        </w:rPr>
        <w:t>ברף הנמוך של מתחם הענישה שקבע</w:t>
      </w:r>
      <w:r>
        <w:rPr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הסיבות שבעטיין היה מקום להקל בעונשו של טל </w:t>
      </w:r>
      <w:r>
        <w:rPr>
          <w:rStyle w:val="Strong"/>
          <w:rFonts w:ascii="Century" w:hAnsi="Century" w:cs="Century"/>
          <w:sz w:val="28"/>
          <w:sz w:val="28"/>
          <w:rtl w:val="true"/>
        </w:rPr>
        <w:t>זכו אפוא להתייחסות מלאה</w:t>
      </w:r>
      <w:r>
        <w:rPr>
          <w:rtl w:val="true"/>
        </w:rPr>
        <w:t xml:space="preserve"> בגזר הדין</w:t>
      </w:r>
      <w:r>
        <w:rPr>
          <w:rtl w:val="true"/>
        </w:rPr>
        <w:t xml:space="preserve">, </w:t>
      </w:r>
      <w:r>
        <w:rPr>
          <w:rtl w:val="true"/>
        </w:rPr>
        <w:t>ואין בידנו להקל עם טל מעבר לכך</w:t>
      </w:r>
      <w:r>
        <w:rPr>
          <w:rtl w:val="true"/>
        </w:rPr>
        <w:t xml:space="preserve">;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בשים לב להלכה הנמצאת עמנו זה מכבר ולפיה </w:t>
      </w:r>
      <w:r>
        <w:rPr>
          <w:rtl w:val="true"/>
        </w:rPr>
        <w:t>ערכאת הערעור לא תתערב בעונש שנקבע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בנסיבות חריגות של ממש</w:t>
      </w:r>
      <w:r>
        <w:rPr>
          <w:rtl w:val="true"/>
        </w:rPr>
        <w:t xml:space="preserve">, </w:t>
      </w:r>
      <w:r>
        <w:rPr>
          <w:rtl w:val="true"/>
        </w:rPr>
        <w:t>כדוגמת סטייה קיצונית ממדיניות הענישה הנוהגת במקרים דומים</w:t>
      </w:r>
      <w:r>
        <w:rPr>
          <w:rtl w:val="true"/>
        </w:rPr>
        <w:t xml:space="preserve">, </w:t>
      </w:r>
      <w:r>
        <w:rPr>
          <w:rtl w:val="true"/>
        </w:rPr>
        <w:t xml:space="preserve">או כאשר נופלת טעות מהותית בגזר הדין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28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3091/08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טרייגר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29.1.2009</w:t>
      </w:r>
      <w:r>
        <w:rPr>
          <w:rtl w:val="true"/>
        </w:rPr>
        <w:t xml:space="preserve">); </w:t>
      </w:r>
      <w:hyperlink r:id="rId2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6877/09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25.6.2012</w:t>
      </w:r>
      <w:r>
        <w:rPr>
          <w:rtl w:val="true"/>
        </w:rPr>
        <w:t xml:space="preserve">); </w:t>
      </w:r>
      <w:hyperlink r:id="rId3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6577/10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60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28.1.2013</w:t>
      </w:r>
      <w:r>
        <w:rPr>
          <w:rtl w:val="true"/>
        </w:rPr>
        <w:t xml:space="preserve">); </w:t>
      </w:r>
      <w:hyperlink r:id="rId3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3619/18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סביץ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פסקה </w:t>
      </w:r>
      <w:r>
        <w:rPr>
          <w:sz w:val="28"/>
        </w:rPr>
        <w:t>5</w:t>
      </w:r>
      <w:r>
        <w:rPr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9.1.2019</w:t>
      </w:r>
      <w:r>
        <w:rPr>
          <w:sz w:val="28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ברי הוא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 xml:space="preserve">המקרה </w:t>
      </w:r>
      <w:r>
        <w:rPr>
          <w:rtl w:val="true"/>
        </w:rPr>
        <w:t>שלפנינו</w:t>
      </w:r>
      <w:r>
        <w:rPr>
          <w:rtl w:val="true"/>
        </w:rPr>
        <w:t xml:space="preserve"> אינו בא בגדר אותם המקרים החריגים אשר מצדיקים את התערבותנו בעונש שהושת על </w:t>
      </w:r>
      <w:r>
        <w:rPr>
          <w:rtl w:val="true"/>
        </w:rPr>
        <w:t>טל</w:t>
      </w:r>
      <w:r>
        <w:rPr>
          <w:rtl w:val="true"/>
        </w:rPr>
        <w:t xml:space="preserve"> על ידי בית משפט קמא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הנני מציע לחבריי כי נדחה את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ערעורו של טל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ערעורו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רועי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5830/21</w:t>
      </w:r>
      <w:r>
        <w:rPr>
          <w:rFonts w:cs="Miriam" w:ascii="Century" w:hAnsi="Century"/>
          <w:b/>
          <w:spacing w:val="0"/>
          <w:szCs w:val="24"/>
          <w:rtl w:val="true"/>
        </w:rPr>
        <w:t>)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ערעור זה העמיד בפנינו קושי לנוכח ההשלכות החמורות שיש להרשעתו של רועי על חייו האישיים ודרכו המקצועית</w:t>
      </w:r>
      <w:r>
        <w:rPr>
          <w:rtl w:val="true"/>
        </w:rPr>
        <w:t xml:space="preserve">. </w:t>
      </w:r>
      <w:r>
        <w:rPr>
          <w:rtl w:val="true"/>
        </w:rPr>
        <w:t>במקרה שלפנינו</w:t>
      </w:r>
      <w:r>
        <w:rPr>
          <w:rtl w:val="true"/>
        </w:rPr>
        <w:t xml:space="preserve">, </w:t>
      </w:r>
      <w:r>
        <w:rPr>
          <w:rtl w:val="true"/>
        </w:rPr>
        <w:t>נמסר לנו כי אם הרשעתו של רועי תוותר על כנה</w:t>
      </w:r>
      <w:r>
        <w:rPr>
          <w:rtl w:val="true"/>
        </w:rPr>
        <w:t xml:space="preserve">, </w:t>
      </w:r>
      <w:r>
        <w:rPr>
          <w:rtl w:val="true"/>
        </w:rPr>
        <w:t>לא יהיה בידו לקבל אשרת כניסה לארצות הברית</w:t>
      </w:r>
      <w:r>
        <w:rPr>
          <w:rtl w:val="true"/>
        </w:rPr>
        <w:t xml:space="preserve">, </w:t>
      </w:r>
      <w:r>
        <w:rPr>
          <w:rtl w:val="true"/>
        </w:rPr>
        <w:t>והוא לא יוכל להגשים את חלומו ללמוד לתואר שני במנהל עסקים בבית הספר היוקרתי למנהל עסקים של אוניברסיטת סטנפורד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לא יתאפשר לו לשהות במחציתה של רעייתו</w:t>
      </w:r>
      <w:r>
        <w:rPr>
          <w:rtl w:val="true"/>
        </w:rPr>
        <w:t xml:space="preserve">, </w:t>
      </w:r>
      <w:r>
        <w:rPr>
          <w:rtl w:val="true"/>
        </w:rPr>
        <w:t xml:space="preserve">אשר צפויה להתגורר בארצות הברית בשנים הקרובות </w:t>
      </w:r>
      <w:r>
        <w:rPr>
          <w:rtl w:val="true"/>
        </w:rPr>
        <w:t>–</w:t>
      </w:r>
      <w:r>
        <w:rPr>
          <w:rtl w:val="true"/>
        </w:rPr>
        <w:t xml:space="preserve"> גם היא לצורך השלמת לימודים אקדמיים ובניית קריירה מקצועית</w:t>
      </w:r>
      <w:r>
        <w:rPr>
          <w:rtl w:val="true"/>
        </w:rPr>
        <w:t xml:space="preserve">. </w:t>
      </w:r>
      <w:r>
        <w:rPr>
          <w:rtl w:val="true"/>
        </w:rPr>
        <w:t xml:space="preserve">על עובדות אלו </w:t>
      </w:r>
      <w:r>
        <w:rPr>
          <w:rtl w:val="true"/>
        </w:rPr>
        <w:t>–</w:t>
      </w:r>
      <w:r>
        <w:rPr>
          <w:rtl w:val="true"/>
        </w:rPr>
        <w:t xml:space="preserve"> וכן על כך שרועי ורעייתו הם זוג צעיר המצוי בתחילת החיים המשותפים כזוג נשוי ובראשית דרכם המקצועית </w:t>
      </w:r>
      <w:r>
        <w:rPr>
          <w:rtl w:val="true"/>
        </w:rPr>
        <w:t>–</w:t>
      </w:r>
      <w:r>
        <w:rPr>
          <w:rtl w:val="true"/>
        </w:rPr>
        <w:t xml:space="preserve"> אין חולק</w:t>
      </w:r>
      <w:r>
        <w:rPr>
          <w:rtl w:val="true"/>
        </w:rPr>
        <w:t xml:space="preserve">. </w:t>
      </w:r>
      <w:r>
        <w:rPr>
          <w:rtl w:val="true"/>
        </w:rPr>
        <w:t>כמו כן אין חולק על כך שרועי הגיע להישגים אקדמיים משמעותיים מנקודת התחלה שהיתה רחוקה מלהבטיחם</w:t>
      </w:r>
      <w:r>
        <w:rPr>
          <w:rtl w:val="true"/>
        </w:rPr>
        <w:t xml:space="preserve">, </w:t>
      </w:r>
      <w:r>
        <w:rPr>
          <w:rtl w:val="true"/>
        </w:rPr>
        <w:t>ולשם כך השקיע עמל רב בלימודיו</w:t>
      </w:r>
      <w:r>
        <w:rPr>
          <w:rtl w:val="true"/>
        </w:rPr>
        <w:t xml:space="preserve">. 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בפנינו אפוא אחד מאותם המקרים הלא פשוטים שבהם הסנקציה החברתית הנלוות להרשעה בפלילים מביאה עמה השלכות חמורות על מהלך חייו של מי שנמצא חייב בדינו</w:t>
      </w:r>
      <w:r>
        <w:rPr>
          <w:rtl w:val="true"/>
        </w:rPr>
        <w:t xml:space="preserve">. </w:t>
      </w:r>
      <w:r>
        <w:rPr>
          <w:rtl w:val="true"/>
        </w:rPr>
        <w:t>דברים אלו נכונים ביתר שאת ביחס לאדם צעיר כמו רועי</w:t>
      </w:r>
      <w:r>
        <w:rPr>
          <w:rtl w:val="true"/>
        </w:rPr>
        <w:t xml:space="preserve">, </w:t>
      </w:r>
      <w:r>
        <w:rPr>
          <w:rtl w:val="true"/>
        </w:rPr>
        <w:t>שכאמור נמצא עדיין בתחילת דרכו המקצועית</w:t>
      </w:r>
      <w:r>
        <w:rPr>
          <w:rtl w:val="true"/>
        </w:rPr>
        <w:t xml:space="preserve">, </w:t>
      </w:r>
      <w:r>
        <w:rPr>
          <w:rtl w:val="true"/>
        </w:rPr>
        <w:t>ושהצלחתו בתחום המקצועי בו בחר לעסוק תלויה ביכולתו לנסוע לארצות הברית לשם לימודים אקדמיים והכשרה מקצועית במוסד יוקרתי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דא עקא</w:t>
      </w:r>
      <w:r>
        <w:rPr>
          <w:rtl w:val="true"/>
        </w:rPr>
        <w:t xml:space="preserve">, </w:t>
      </w:r>
      <w:r>
        <w:rPr>
          <w:rtl w:val="true"/>
        </w:rPr>
        <w:t>תוצאותיה החברתיות של הרשעה</w:t>
      </w:r>
      <w:r>
        <w:rPr>
          <w:rtl w:val="true"/>
        </w:rPr>
        <w:t xml:space="preserve">, </w:t>
      </w:r>
      <w:r>
        <w:rPr>
          <w:rtl w:val="true"/>
        </w:rPr>
        <w:t>קשות ככל שתהיינה</w:t>
      </w:r>
      <w:r>
        <w:rPr>
          <w:rtl w:val="true"/>
        </w:rPr>
        <w:t xml:space="preserve">, </w:t>
      </w:r>
      <w:r>
        <w:rPr>
          <w:rtl w:val="true"/>
        </w:rPr>
        <w:t>אינן מהוות עילה להקלה בעונשו של מי שנמצא חייב בדינו באופן המסכל את מטרות הענישה הפלילית</w:t>
      </w:r>
      <w:r>
        <w:rPr>
          <w:rtl w:val="true"/>
        </w:rPr>
        <w:t xml:space="preserve">, </w:t>
      </w:r>
      <w:r>
        <w:rPr>
          <w:rtl w:val="true"/>
        </w:rPr>
        <w:t xml:space="preserve">ובראשן גמול והרתעה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>:</w:t>
      </w:r>
      <w:r>
        <w:rPr>
          <w:rFonts w:cs="Times New Roman" w:ascii="Times New Roman" w:hAnsi="Times New Roman"/>
          <w:szCs w:val="24"/>
        </w:rPr>
        <w:t xml:space="preserve">Richard A. Bierschbach &amp; Alex Stein, </w:t>
      </w:r>
      <w:r>
        <w:rPr>
          <w:rFonts w:cs="Times New Roman" w:ascii="Times New Roman" w:hAnsi="Times New Roman"/>
          <w:i/>
          <w:iCs/>
          <w:szCs w:val="24"/>
        </w:rPr>
        <w:t>Overenforcement</w:t>
      </w:r>
      <w:r>
        <w:rPr>
          <w:rFonts w:cs="Times New Roman" w:ascii="Times New Roman" w:hAnsi="Times New Roman"/>
          <w:szCs w:val="24"/>
        </w:rPr>
        <w:t xml:space="preserve">, 93 </w:t>
      </w:r>
      <w:r>
        <w:rPr>
          <w:rFonts w:cs="Times New Roman" w:ascii="Times New Roman" w:hAnsi="Times New Roman"/>
          <w:smallCaps/>
          <w:szCs w:val="24"/>
        </w:rPr>
        <w:t>Georgetown L.J.</w:t>
      </w:r>
      <w:r>
        <w:rPr>
          <w:rFonts w:cs="Times New Roman" w:ascii="Times New Roman" w:hAnsi="Times New Roman"/>
          <w:szCs w:val="24"/>
        </w:rPr>
        <w:t xml:space="preserve"> 1743, 1749-1751 (2005)</w:t>
      </w:r>
      <w:r>
        <w:rPr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>:</w:t>
      </w:r>
      <w:r>
        <w:rPr>
          <w:rFonts w:cs="Times New Roman" w:ascii="Times New Roman" w:hAnsi="Times New Roman"/>
          <w:szCs w:val="24"/>
          <w:rtl w:val="true"/>
        </w:rPr>
        <w:t xml:space="preserve"> </w:t>
      </w:r>
      <w:r>
        <w:rPr>
          <w:rFonts w:cs="Times New Roman" w:ascii="Times New Roman" w:hAnsi="Times New Roman"/>
          <w:bCs/>
          <w:i/>
          <w:iCs/>
          <w:spacing w:val="0"/>
          <w:szCs w:val="24"/>
        </w:rPr>
        <w:t>Overenforcement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>יחד עם כך</w:t>
      </w:r>
      <w:r>
        <w:rPr>
          <w:rtl w:val="true"/>
        </w:rPr>
        <w:t xml:space="preserve">, </w:t>
      </w:r>
      <w:r>
        <w:rPr>
          <w:rtl w:val="true"/>
        </w:rPr>
        <w:t>כאשר ניתן למתן את ההשלכות האמורות של ההרשעה</w:t>
      </w:r>
      <w:r>
        <w:rPr>
          <w:rtl w:val="true"/>
        </w:rPr>
        <w:t xml:space="preserve">, </w:t>
      </w:r>
      <w:r>
        <w:rPr>
          <w:rtl w:val="true"/>
        </w:rPr>
        <w:t xml:space="preserve">מבלי לפגוע במיצוי היעדים של גמול והרתעה </w:t>
      </w:r>
      <w:r>
        <w:rPr>
          <w:rtl w:val="true"/>
        </w:rPr>
        <w:t>–</w:t>
      </w:r>
      <w:r>
        <w:rPr>
          <w:rtl w:val="true"/>
        </w:rPr>
        <w:t xml:space="preserve"> מן הראוי שהדבר יישקל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Fonts w:cs="Times New Roman" w:ascii="Times New Roman" w:hAnsi="Times New Roman"/>
          <w:bCs/>
          <w:i/>
          <w:iCs/>
          <w:spacing w:val="0"/>
          <w:szCs w:val="24"/>
        </w:rPr>
        <w:t>Overenforcement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1756</w:t>
      </w:r>
      <w:r>
        <w:rPr>
          <w:rtl w:val="true"/>
        </w:rPr>
        <w:t xml:space="preserve">); </w:t>
      </w:r>
      <w:r>
        <w:rPr>
          <w:rtl w:val="true"/>
        </w:rPr>
        <w:t>ובמקרה דנן עשינו זאת בכובד ראש</w:t>
      </w:r>
      <w:r>
        <w:rPr>
          <w:rtl w:val="true"/>
        </w:rPr>
        <w:t xml:space="preserve">. </w:t>
      </w:r>
      <w:r>
        <w:rPr>
          <w:rtl w:val="true"/>
        </w:rPr>
        <w:t>במסגרת זאת</w:t>
      </w:r>
      <w:r>
        <w:rPr>
          <w:rtl w:val="true"/>
        </w:rPr>
        <w:t xml:space="preserve">, </w:t>
      </w:r>
      <w:r>
        <w:rPr>
          <w:rtl w:val="true"/>
        </w:rPr>
        <w:t>בחנו את האפשרות להטיל על רועי שירות לתועלת הציבור ללא הרשעה</w:t>
      </w:r>
      <w:r>
        <w:rPr>
          <w:rtl w:val="true"/>
        </w:rPr>
        <w:t xml:space="preserve">, </w:t>
      </w:r>
      <w:r>
        <w:rPr>
          <w:rtl w:val="true"/>
        </w:rPr>
        <w:t>ולצדו קנס כספי משמעותי ומרתיע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לאחר ששמענו את טיעוני הצדדים בעניין זה</w:t>
      </w:r>
      <w:r>
        <w:rPr>
          <w:rtl w:val="true"/>
        </w:rPr>
        <w:t xml:space="preserve">, </w:t>
      </w:r>
      <w:r>
        <w:rPr>
          <w:rtl w:val="true"/>
        </w:rPr>
        <w:t>הגענו למסקנה כי דיננו אינו מאפשר זאת</w:t>
      </w:r>
      <w:r>
        <w:rPr>
          <w:rtl w:val="true"/>
        </w:rPr>
        <w:t xml:space="preserve">; </w:t>
      </w:r>
      <w:r>
        <w:rPr>
          <w:rtl w:val="true"/>
        </w:rPr>
        <w:t xml:space="preserve">ומה שהדין אינו מרשה </w:t>
      </w:r>
      <w:r>
        <w:rPr>
          <w:rtl w:val="true"/>
        </w:rPr>
        <w:t>–</w:t>
      </w:r>
      <w:r>
        <w:rPr>
          <w:rtl w:val="true"/>
        </w:rPr>
        <w:t xml:space="preserve"> לא נעשה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לית</w:t>
      </w:r>
      <w:r>
        <w:rPr>
          <w:rtl w:val="true"/>
        </w:rPr>
        <w:t xml:space="preserve"> </w:t>
      </w:r>
      <w:r>
        <w:rPr>
          <w:rtl w:val="true"/>
        </w:rPr>
        <w:t>מאן</w:t>
      </w:r>
      <w:r>
        <w:rPr>
          <w:rtl w:val="true"/>
        </w:rPr>
        <w:t xml:space="preserve"> </w:t>
      </w:r>
      <w:r>
        <w:rPr>
          <w:rtl w:val="true"/>
        </w:rPr>
        <w:t>דפליג</w:t>
      </w:r>
      <w:r>
        <w:rPr>
          <w:rtl w:val="true"/>
        </w:rPr>
        <w:t xml:space="preserve">, </w:t>
      </w:r>
      <w:r>
        <w:rPr>
          <w:rtl w:val="true"/>
        </w:rPr>
        <w:t>כי הטלת עונש על נאשם במסגרת הליך פלילי אפשרית אך ורק בעקבות הרשעתו בפלילים</w:t>
      </w:r>
      <w:r>
        <w:rPr>
          <w:rtl w:val="true"/>
        </w:rPr>
        <w:t xml:space="preserve">. </w:t>
      </w:r>
      <w:r>
        <w:rPr>
          <w:rtl w:val="true"/>
        </w:rPr>
        <w:t>משכך הוא</w:t>
      </w:r>
      <w:r>
        <w:rPr>
          <w:rtl w:val="true"/>
        </w:rPr>
        <w:t xml:space="preserve">, </w:t>
      </w:r>
      <w:r>
        <w:rPr>
          <w:rtl w:val="true"/>
        </w:rPr>
        <w:t>לא ניתן להשית על נאשם קנס כספי ללא הרשעה</w:t>
      </w:r>
      <w:r>
        <w:rPr>
          <w:rtl w:val="true"/>
        </w:rPr>
        <w:t xml:space="preserve">, </w:t>
      </w:r>
      <w:r>
        <w:rPr>
          <w:rtl w:val="true"/>
        </w:rPr>
        <w:t xml:space="preserve">באשר קנס מהווה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tl w:val="true"/>
        </w:rPr>
        <w:t xml:space="preserve"> לכל דבר ועניין </w:t>
      </w:r>
      <w:r>
        <w:rPr>
          <w:rtl w:val="true"/>
        </w:rPr>
        <w:t>–</w:t>
      </w:r>
      <w:r>
        <w:rPr>
          <w:rtl w:val="true"/>
        </w:rPr>
        <w:t xml:space="preserve"> ומאחר שאין בנמצא הוראת דין אשר קובעת אחרת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3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3515/12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שבתאי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32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10.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</w:rPr>
        <w:t>.2013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החוק מאפשר לבית </w:t>
      </w:r>
      <w:r>
        <w:rPr>
          <w:sz w:val="22"/>
          <w:sz w:val="22"/>
          <w:rtl w:val="true"/>
        </w:rPr>
        <w:t>המשפט להימנע מהרשעה או לבטלה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הגם שנקבע כי הנאשם עבר עבירה פלילית </w:t>
      </w:r>
      <w:r>
        <w:rPr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תוך אפשרות </w:t>
      </w:r>
      <w:r>
        <w:rPr>
          <w:rtl w:val="true"/>
        </w:rPr>
        <w:t xml:space="preserve">להטיל על </w:t>
      </w:r>
      <w:r>
        <w:rPr>
          <w:rFonts w:ascii="Century" w:hAnsi="Century" w:cs="Century"/>
          <w:sz w:val="22"/>
          <w:sz w:val="22"/>
          <w:rtl w:val="true"/>
        </w:rPr>
        <w:t>הנאשם צו מבחן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המבחן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1969</w:t>
      </w:r>
      <w:r>
        <w:rPr>
          <w:rtl w:val="true"/>
        </w:rPr>
        <w:t xml:space="preserve">;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192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</w:t>
      </w:r>
      <w:hyperlink r:id="rId37">
        <w:r>
          <w:rPr>
            <w:rStyle w:val="Hyperlink"/>
            <w:rFonts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חסד</w:t>
        </w:r>
        <w:r>
          <w:rPr>
            <w:rStyle w:val="Hyperlink"/>
            <w:rFonts w:cs="Miriam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</w:hyperlink>
      <w:r>
        <w:rPr>
          <w:rtl w:val="true"/>
        </w:rPr>
        <w:t xml:space="preserve">)); </w:t>
      </w:r>
      <w:r>
        <w:rPr>
          <w:rtl w:val="true"/>
        </w:rPr>
        <w:t xml:space="preserve">לחייבו בביצוע </w:t>
      </w:r>
      <w:r>
        <w:rPr>
          <w:rFonts w:ascii="Century" w:hAnsi="Century" w:cs="Century"/>
          <w:b/>
          <w:b/>
          <w:spacing w:val="0"/>
          <w:sz w:val="22"/>
          <w:sz w:val="22"/>
          <w:rtl w:val="true"/>
        </w:rPr>
        <w:t>שירות לתועלת הציבור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); 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192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לחסד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); </w:t>
      </w:r>
      <w:r>
        <w:rPr>
          <w:rtl w:val="true"/>
        </w:rPr>
        <w:t xml:space="preserve">או לצוות כי הנאשם ייתן התחייבות להימנע מעבירה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). </w:t>
      </w:r>
      <w:r>
        <w:rPr>
          <w:rtl w:val="true"/>
        </w:rPr>
        <w:t>הוראות החוק שעניינן הימנעות מהרשעה או ביטולה הינן מוגבלות לאפשרויות שמניתי</w:t>
      </w:r>
      <w:r>
        <w:rPr>
          <w:rtl w:val="true"/>
        </w:rPr>
        <w:t xml:space="preserve">, </w:t>
      </w:r>
      <w:r>
        <w:rPr>
          <w:rtl w:val="true"/>
        </w:rPr>
        <w:t>ולהן בלבד</w:t>
      </w:r>
      <w:r>
        <w:rPr>
          <w:rtl w:val="true"/>
        </w:rPr>
        <w:t xml:space="preserve">; </w:t>
      </w:r>
      <w:r>
        <w:rPr>
          <w:rtl w:val="true"/>
        </w:rPr>
        <w:t>והאפשרות להטיל קנס בצידה של אי</w:t>
      </w:r>
      <w:r>
        <w:rPr>
          <w:rtl w:val="true"/>
        </w:rPr>
        <w:t>-</w:t>
      </w:r>
      <w:r>
        <w:rPr>
          <w:rtl w:val="true"/>
        </w:rPr>
        <w:t>הרשעה אינה כלולה בהן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שקלנו את האפשרות לחייב את רועי בפיצויים בגדרו של 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מבלי להרשיעו</w:t>
      </w:r>
      <w:r>
        <w:rPr>
          <w:rtl w:val="true"/>
        </w:rPr>
        <w:t xml:space="preserve">. </w:t>
      </w:r>
      <w:r>
        <w:rPr>
          <w:rtl w:val="true"/>
        </w:rPr>
        <w:t>דבר זה מתאפשר לנוכח ההלכה שיצאה מלפני בית משפט זה ב</w:t>
      </w:r>
      <w:hyperlink r:id="rId4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2976/01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נו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418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אסף</w:t>
      </w:r>
      <w:r>
        <w:rPr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ואשר אושרה ב</w:t>
      </w:r>
      <w:hyperlink r:id="rId4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דנ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8062/12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המשרד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להגנת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הסביבה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נמלי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פיתוח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ונכסים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</w:rPr>
        <w:t>.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</w:rPr>
        <w:t>.2015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בשים לב לכך שהפיצויים אשר נפסקים בגדרו של </w:t>
      </w:r>
      <w:hyperlink r:id="rId4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הם פיצויי נזיקין במהותם</w:t>
      </w:r>
      <w:r>
        <w:rPr>
          <w:rtl w:val="true"/>
        </w:rPr>
        <w:t xml:space="preserve">, </w:t>
      </w:r>
      <w:r>
        <w:rPr>
          <w:rtl w:val="true"/>
        </w:rPr>
        <w:t>אשר נפסקים לקורבן העבירה כעזרה ראשונה וכמקדמה על חשבון הפיצוי המלא</w:t>
      </w:r>
      <w:r>
        <w:rPr>
          <w:rtl w:val="true"/>
        </w:rPr>
        <w:t xml:space="preserve">, </w:t>
      </w:r>
      <w:r>
        <w:rPr>
          <w:rtl w:val="true"/>
        </w:rPr>
        <w:t>ואינם בגדר אמצעי ענישה שאותו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ניתן להפעיל רק במקרים של הרשעה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אסף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462-460</w:t>
      </w:r>
      <w:r>
        <w:rPr>
          <w:rtl w:val="true"/>
        </w:rPr>
        <w:t xml:space="preserve">; </w:t>
      </w:r>
      <w:r>
        <w:rPr>
          <w:rtl w:val="true"/>
        </w:rPr>
        <w:t>כמו כן ראו</w:t>
      </w:r>
      <w:r>
        <w:rPr>
          <w:rtl w:val="true"/>
        </w:rPr>
        <w:t xml:space="preserve">: </w:t>
      </w:r>
      <w:hyperlink r:id="rId48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דנ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5625/16</w:t>
        </w:r>
      </w:hyperlink>
      <w:r>
        <w:rPr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קארין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בוקובזה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 xml:space="preserve">פסקאות </w:t>
      </w:r>
      <w:r>
        <w:rPr>
          <w:color w:val="000000"/>
          <w:sz w:val="28"/>
        </w:rPr>
        <w:t>16-11</w:t>
      </w:r>
      <w:r>
        <w:rPr>
          <w:color w:val="000000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 xml:space="preserve">לפסק דינה של השופטת </w:t>
      </w:r>
      <w:r>
        <w:rPr>
          <w:rFonts w:cs="Miriam"/>
          <w:color w:val="000000"/>
          <w:szCs w:val="24"/>
          <w:rtl w:val="true"/>
        </w:rPr>
        <w:t>א</w:t>
      </w:r>
      <w:r>
        <w:rPr>
          <w:rFonts w:cs="Miriam"/>
          <w:color w:val="000000"/>
          <w:szCs w:val="24"/>
          <w:rtl w:val="true"/>
        </w:rPr>
        <w:t xml:space="preserve">' </w:t>
      </w:r>
      <w:r>
        <w:rPr>
          <w:rFonts w:cs="Miriam"/>
          <w:color w:val="000000"/>
          <w:szCs w:val="24"/>
          <w:rtl w:val="true"/>
        </w:rPr>
        <w:t>חיות</w:t>
      </w:r>
      <w:r>
        <w:rPr>
          <w:color w:val="000000"/>
          <w:szCs w:val="24"/>
          <w:rtl w:val="true"/>
        </w:rPr>
        <w:t xml:space="preserve"> </w:t>
      </w:r>
      <w:r>
        <w:rPr>
          <w:color w:val="000000"/>
          <w:sz w:val="28"/>
          <w:rtl w:val="true"/>
        </w:rPr>
        <w:t>(</w:t>
      </w:r>
      <w:r>
        <w:rPr>
          <w:color w:val="000000"/>
          <w:sz w:val="28"/>
          <w:sz w:val="28"/>
          <w:rtl w:val="true"/>
        </w:rPr>
        <w:t>כתוארה אז</w:t>
      </w:r>
      <w:r>
        <w:rPr>
          <w:color w:val="000000"/>
          <w:sz w:val="28"/>
          <w:rtl w:val="true"/>
        </w:rPr>
        <w:t xml:space="preserve">)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sz w:val="28"/>
          <w:rtl w:val="true"/>
        </w:rPr>
        <w:t>(</w:t>
      </w:r>
      <w:r>
        <w:rPr>
          <w:color w:val="000000"/>
          <w:sz w:val="28"/>
        </w:rPr>
        <w:t>13.9.2017</w:t>
      </w:r>
      <w:r>
        <w:rPr>
          <w:color w:val="000000"/>
          <w:sz w:val="28"/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rtl w:val="true"/>
        </w:rPr>
        <w:t>דא עקא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פיצויים כאמור ניתן לפסוק אך ורק לטובתו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אדם שניזוק על ידי העבירה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כאמור </w:t>
      </w:r>
      <w:hyperlink r:id="rId49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77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5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בעוד שמעשיו של רועי לא פגעו בשום אדם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ספציפי</w:t>
      </w:r>
      <w:r>
        <w:rPr>
          <w:rFonts w:ascii="Century" w:hAnsi="Century" w:cs="Century"/>
          <w:rtl w:val="true"/>
        </w:rPr>
        <w:t xml:space="preserve"> שקנה או מכר ניירות ערך בבורסה לניירות ערך בעת ביצוע העבירות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סחר </w:t>
      </w:r>
      <w:r>
        <w:rPr>
          <w:rtl w:val="true"/>
        </w:rPr>
        <w:t xml:space="preserve">בניירות ערך תוך </w:t>
      </w:r>
      <w:r>
        <w:rPr>
          <w:rFonts w:ascii="Century" w:hAnsi="Century" w:cs="Century"/>
          <w:rtl w:val="true"/>
        </w:rPr>
        <w:t>שימוש במידע פנים הוא עבירה שפוגעת באמינותו של שוק ההון בכללותו ובנכונות המשקיעים להשקיע בניירות ערך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נפגעי עבירה זאת הם אפוא המדינה וכלל תושביה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מהם נשללים יתרונותיו של שוק הון אמין ויעיל ככל שניתן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>: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</w:rPr>
        <w:t xml:space="preserve">Daniel R. Fischel &amp; Dennis W. Carlton, </w:t>
      </w:r>
      <w:r>
        <w:rPr>
          <w:rFonts w:cs="Times New Roman" w:ascii="Times New Roman" w:hAnsi="Times New Roman"/>
          <w:i/>
          <w:iCs/>
        </w:rPr>
        <w:t>The Regulation of Insider Trading</w:t>
      </w:r>
      <w:r>
        <w:rPr>
          <w:rFonts w:cs="Times New Roman" w:ascii="Times New Roman" w:hAnsi="Times New Roman"/>
        </w:rPr>
        <w:t xml:space="preserve">, 35 </w:t>
      </w:r>
      <w:r>
        <w:rPr>
          <w:rFonts w:cs="Times New Roman" w:ascii="Times New Roman" w:hAnsi="Times New Roman"/>
          <w:smallCaps/>
        </w:rPr>
        <w:t>Stanford L. Rev.</w:t>
      </w:r>
      <w:r>
        <w:rPr>
          <w:rFonts w:cs="Times New Roman" w:ascii="Times New Roman" w:hAnsi="Times New Roman"/>
        </w:rPr>
        <w:t xml:space="preserve"> 857, 872-882 (1983)</w:t>
      </w:r>
      <w:r>
        <w:rPr>
          <w:rFonts w:cs="Times New Roman" w:ascii="Times New Roman" w:hAnsi="Times New Roman"/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אמנם</w:t>
      </w:r>
      <w:r>
        <w:rPr>
          <w:rtl w:val="true"/>
        </w:rPr>
        <w:t>, "</w:t>
      </w:r>
      <w:r>
        <w:rPr>
          <w:rtl w:val="true"/>
        </w:rPr>
        <w:t>אדם</w:t>
      </w:r>
      <w:r>
        <w:rPr>
          <w:rtl w:val="true"/>
        </w:rPr>
        <w:t xml:space="preserve">" </w:t>
      </w:r>
      <w:r>
        <w:rPr>
          <w:rtl w:val="true"/>
        </w:rPr>
        <w:t xml:space="preserve">שנזכר </w:t>
      </w:r>
      <w:hyperlink r:id="rId51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משמעו גם אנשים רבים ואף ציבור בלתי</w:t>
      </w:r>
      <w:r>
        <w:rPr>
          <w:rtl w:val="true"/>
        </w:rPr>
        <w:t>-</w:t>
      </w:r>
      <w:r>
        <w:rPr>
          <w:rtl w:val="true"/>
        </w:rPr>
        <w:t xml:space="preserve">מסוים של אנשים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3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5-4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הפרשנות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1981</w:t>
      </w:r>
      <w:r>
        <w:rPr>
          <w:rtl w:val="true"/>
        </w:rPr>
        <w:t xml:space="preserve">); </w:t>
      </w:r>
      <w:r>
        <w:rPr>
          <w:rtl w:val="true"/>
        </w:rPr>
        <w:t xml:space="preserve">ועל כן שקלנו שמא יש עמנו מקום לחייב את רועי בפיצויים בשיעור ניכר אשר ישולמו לקופת המדינה המייצגת את כלל הציבור </w:t>
      </w:r>
      <w:r>
        <w:rPr>
          <w:rtl w:val="true"/>
        </w:rPr>
        <w:t>–</w:t>
      </w:r>
      <w:r>
        <w:rPr>
          <w:rtl w:val="true"/>
        </w:rPr>
        <w:t xml:space="preserve"> וזאת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מבלי להרשיעו בדין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 xml:space="preserve">כדי שנוכל לפסוק כך </w:t>
      </w:r>
      <w:r>
        <w:rPr>
          <w:rtl w:val="true"/>
        </w:rPr>
        <w:t>–</w:t>
      </w:r>
      <w:r>
        <w:rPr>
          <w:rtl w:val="true"/>
        </w:rPr>
        <w:t xml:space="preserve"> ובמסגרת זאת</w:t>
      </w:r>
      <w:r>
        <w:rPr>
          <w:rtl w:val="true"/>
        </w:rPr>
        <w:t xml:space="preserve">, </w:t>
      </w:r>
      <w:r>
        <w:rPr>
          <w:rtl w:val="true"/>
        </w:rPr>
        <w:t xml:space="preserve">כדי שנוכל לראות את המדינה כזכאית לפיצויי נזיקין בשם כלל תושביה </w:t>
      </w:r>
      <w:r>
        <w:rPr>
          <w:rtl w:val="true"/>
        </w:rPr>
        <w:t>–</w:t>
      </w:r>
      <w:r>
        <w:rPr>
          <w:rtl w:val="true"/>
        </w:rPr>
        <w:t xml:space="preserve"> נדרשים אנו להכיר בדוקטרינה משפטית מורכבת של </w:t>
      </w:r>
      <w:r>
        <w:rPr>
          <w:rFonts w:cs="Times New Roman" w:ascii="Times New Roman" w:hAnsi="Times New Roman"/>
          <w:i/>
          <w:iCs/>
        </w:rPr>
        <w:t>Parens Patriae</w:t>
      </w:r>
      <w:r>
        <w:rPr>
          <w:rtl w:val="true"/>
        </w:rPr>
        <w:t xml:space="preserve"> ("</w:t>
      </w:r>
      <w:r>
        <w:rPr>
          <w:rtl w:val="true"/>
        </w:rPr>
        <w:t>המדינה כאפוטרופוס</w:t>
      </w:r>
      <w:r>
        <w:rPr>
          <w:rtl w:val="true"/>
        </w:rPr>
        <w:t xml:space="preserve">"). </w:t>
      </w:r>
      <w:r>
        <w:rPr>
          <w:rtl w:val="true"/>
        </w:rPr>
        <w:t>בית משפט זה מיאן להכיר בדוקטרינה זאת עד עצם היום הזה</w:t>
      </w:r>
      <w:r>
        <w:rPr>
          <w:rtl w:val="true"/>
        </w:rPr>
        <w:t xml:space="preserve">. </w:t>
      </w:r>
      <w:r>
        <w:rPr>
          <w:rtl w:val="true"/>
        </w:rPr>
        <w:t>האפשרות להכיר בה אמנם לא נדחתה בפסיקתנו</w:t>
      </w:r>
      <w:r>
        <w:rPr>
          <w:rtl w:val="true"/>
        </w:rPr>
        <w:t xml:space="preserve">, </w:t>
      </w:r>
      <w:r>
        <w:rPr>
          <w:rtl w:val="true"/>
        </w:rPr>
        <w:t>וייתכן כי היא תאומץ על ידינו ביום מן הימים</w:t>
      </w:r>
      <w:r>
        <w:rPr>
          <w:rtl w:val="true"/>
        </w:rPr>
        <w:t xml:space="preserve">, </w:t>
      </w:r>
      <w:r>
        <w:rPr>
          <w:rtl w:val="true"/>
        </w:rPr>
        <w:t xml:space="preserve">אולם המשבצת המשפטית בה אנו מצויים </w:t>
      </w:r>
      <w:r>
        <w:rPr>
          <w:rtl w:val="true"/>
        </w:rPr>
        <w:t>–</w:t>
      </w:r>
      <w:r>
        <w:rPr>
          <w:rtl w:val="true"/>
        </w:rPr>
        <w:t xml:space="preserve"> פסיקת פיצויים כעזרה ראשונה לקורבן העבירה</w:t>
      </w:r>
      <w:r>
        <w:rPr>
          <w:rtl w:val="true"/>
        </w:rPr>
        <w:t xml:space="preserve">, </w:t>
      </w:r>
      <w:r>
        <w:rPr>
          <w:rtl w:val="true"/>
        </w:rPr>
        <w:t xml:space="preserve">להבדיל מתביעת נזיקין עצמאית ומלאה </w:t>
      </w:r>
      <w:r>
        <w:rPr>
          <w:rtl w:val="true"/>
        </w:rPr>
        <w:t>–</w:t>
      </w:r>
      <w:r>
        <w:rPr>
          <w:rtl w:val="true"/>
        </w:rPr>
        <w:t xml:space="preserve"> אינה מתאימה מעיקרה למהלך פסיקתי כה משמעותי</w:t>
      </w:r>
      <w:r>
        <w:rPr>
          <w:rtl w:val="true"/>
        </w:rPr>
        <w:t xml:space="preserve">. </w:t>
      </w:r>
      <w:r>
        <w:rPr>
          <w:rtl w:val="true"/>
        </w:rPr>
        <w:t>כמו כן אציין כי השאלה בדבר תחולתה של דוקטרינת ה</w:t>
      </w:r>
      <w:r>
        <w:rPr>
          <w:rtl w:val="true"/>
        </w:rPr>
        <w:t>-</w:t>
      </w:r>
      <w:r>
        <w:rPr>
          <w:rFonts w:cs="Times New Roman" w:ascii="Times New Roman" w:hAnsi="Times New Roman"/>
          <w:i/>
          <w:iCs/>
        </w:rPr>
        <w:t>Parens Patriae</w:t>
      </w:r>
      <w:r>
        <w:rPr>
          <w:rtl w:val="true"/>
        </w:rPr>
        <w:t xml:space="preserve"> </w:t>
      </w:r>
      <w:r>
        <w:rPr>
          <w:rtl w:val="true"/>
        </w:rPr>
        <w:t>בדין הישראלי תלויה ועומדת להכרעה בפני בית המשפט המחוזי תל אביב</w:t>
      </w:r>
      <w:r>
        <w:rPr>
          <w:rtl w:val="true"/>
        </w:rPr>
        <w:t>-</w:t>
      </w:r>
      <w:r>
        <w:rPr>
          <w:rtl w:val="true"/>
        </w:rPr>
        <w:t xml:space="preserve">יפו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צ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756-10-15</w:t>
        </w:r>
      </w:hyperlink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וגם מסיבה זו אין לנו אלא להמתין לבירורה בדרך המלך בגדרי ההליך דשם ואחר</w:t>
      </w:r>
      <w:r>
        <w:rPr>
          <w:rtl w:val="true"/>
        </w:rPr>
        <w:t>-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וככל שיהא בכך צורך</w:t>
      </w:r>
      <w:r>
        <w:rPr>
          <w:rtl w:val="true"/>
        </w:rPr>
        <w:t xml:space="preserve">, </w:t>
      </w:r>
      <w:r>
        <w:rPr>
          <w:rtl w:val="true"/>
        </w:rPr>
        <w:t>בבית משפט זה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 xml:space="preserve">ומאחר שממילא לא מצאנו כל פגם בשיקול דעתו של בית משפט קמא במתן גזר הדין בעניינו של רועי </w:t>
      </w:r>
      <w:r>
        <w:rPr>
          <w:rtl w:val="true"/>
        </w:rPr>
        <w:t>–</w:t>
      </w:r>
      <w:r>
        <w:rPr>
          <w:rtl w:val="true"/>
        </w:rPr>
        <w:t xml:space="preserve"> אין בידינו להפכו מעיקרו ולהחליפו בסעד משפטי שטרם זכה להכרה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 נותר לנו</w:t>
      </w:r>
      <w:r>
        <w:rPr>
          <w:rtl w:val="true"/>
        </w:rPr>
        <w:t xml:space="preserve">,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אלא לדחות גם את ערעורו של רועי חרף התוצאות הקשות שהרשעתו מביאה עליו</w:t>
      </w:r>
      <w:r>
        <w:rPr>
          <w:rtl w:val="true"/>
        </w:rPr>
        <w:t xml:space="preserve">; </w:t>
      </w:r>
      <w:r>
        <w:rPr>
          <w:rtl w:val="true"/>
        </w:rPr>
        <w:t xml:space="preserve">וכך אציע לחבריי לעשות </w:t>
      </w:r>
      <w:r>
        <w:rPr>
          <w:rtl w:val="true"/>
        </w:rPr>
        <w:t>–</w:t>
      </w:r>
      <w:r>
        <w:rPr>
          <w:rtl w:val="true"/>
        </w:rPr>
        <w:t xml:space="preserve"> לא בלי צער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אני מציע אפוא לחבריי כי נדחה את שני הערעורים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שוחט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2"/>
        <w:spacing w:lineRule="auto" w:line="480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נימוקיו</w:t>
      </w:r>
      <w:r>
        <w:rPr>
          <w:rtl w:val="true"/>
        </w:rPr>
        <w:t xml:space="preserve">;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ניסינו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להפּך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בזכויותיהם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זכויותיהם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מעלותיהם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שאורח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ומיטיב</w:t>
      </w:r>
      <w:r>
        <w:rPr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מטבע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הריהי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וקשה</w:t>
      </w:r>
      <w:r>
        <w:rPr>
          <w:rtl w:val="true"/>
        </w:rPr>
        <w:t xml:space="preserve">; </w:t>
      </w:r>
      <w:r>
        <w:rPr>
          <w:rtl w:val="true"/>
        </w:rPr>
        <w:t>אישית</w:t>
      </w:r>
      <w:r>
        <w:rPr>
          <w:rtl w:val="true"/>
        </w:rPr>
        <w:t xml:space="preserve">, </w:t>
      </w:r>
      <w:r>
        <w:rPr>
          <w:rtl w:val="true"/>
        </w:rPr>
        <w:t>משפחתית</w:t>
      </w:r>
      <w:r>
        <w:rPr>
          <w:rtl w:val="true"/>
        </w:rPr>
        <w:t xml:space="preserve">, </w:t>
      </w:r>
      <w:r>
        <w:rPr>
          <w:rtl w:val="true"/>
        </w:rPr>
        <w:t>כלכלית</w:t>
      </w:r>
      <w:r>
        <w:rPr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המציאות</w:t>
      </w:r>
      <w:r>
        <w:rPr>
          <w:rtl w:val="true"/>
        </w:rPr>
        <w:t xml:space="preserve">, </w:t>
      </w:r>
      <w:r>
        <w:rPr>
          <w:rtl w:val="true"/>
        </w:rPr>
        <w:t>זוהי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הפסוקה</w:t>
      </w:r>
      <w:r>
        <w:rPr>
          <w:rtl w:val="true"/>
        </w:rPr>
        <w:t xml:space="preserve">: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הצווארון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הלבן</w:t>
      </w:r>
      <w:r>
        <w:rPr>
          <w:rtl w:val="true"/>
        </w:rPr>
        <w:t xml:space="preserve">, </w:t>
      </w:r>
      <w:r>
        <w:rPr>
          <w:rtl w:val="true"/>
        </w:rPr>
        <w:t>בכללם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. </w:t>
      </w:r>
      <w:r>
        <w:rPr>
          <w:rtl w:val="true"/>
        </w:rPr>
        <w:t>בתחילה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1981</w:t>
      </w:r>
      <w:r>
        <w:rPr>
          <w:rtl w:val="true"/>
        </w:rPr>
        <w:t xml:space="preserve">, </w:t>
      </w:r>
      <w:r>
        <w:rPr>
          <w:rtl w:val="true"/>
        </w:rPr>
        <w:t>בחקיקת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5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52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ניירות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1968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שימוש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במידע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שמקורו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פנים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 </w:t>
      </w:r>
      <w:r>
        <w:rPr>
          <w:rtl w:val="true"/>
        </w:rPr>
        <w:t>הוחמר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ובשנת</w:t>
      </w:r>
      <w:r>
        <w:rPr>
          <w:rFonts w:eastAsia="Arial TUR;Arial" w:cs="Arial TUR;Arial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הוכפל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לשנתיים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שימוש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במידע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פנים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hyperlink r:id="rId58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52</w:t>
        </w:r>
        <w:r>
          <w:rPr>
            <w:rStyle w:val="Hyperlink"/>
            <w:rtl w:val="true"/>
          </w:rPr>
          <w:t>ג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, </w:t>
      </w:r>
      <w:r>
        <w:rPr>
          <w:rtl w:val="true"/>
        </w:rPr>
        <w:t>המחמירה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הדרגתי</w:t>
      </w:r>
      <w:r>
        <w:rPr>
          <w:rtl w:val="true"/>
        </w:rPr>
        <w:t xml:space="preserve">, </w:t>
      </w:r>
      <w:r>
        <w:rPr>
          <w:rtl w:val="true"/>
        </w:rPr>
        <w:t>הוטמעה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אגודל</w:t>
      </w:r>
      <w:r>
        <w:rPr>
          <w:rtl w:val="true"/>
        </w:rPr>
        <w:t xml:space="preserve">, </w:t>
      </w:r>
      <w:r>
        <w:rPr>
          <w:rtl w:val="true"/>
        </w:rPr>
        <w:t>במגמה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המפתה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; </w:t>
      </w:r>
      <w:r>
        <w:rPr>
          <w:rtl w:val="true"/>
        </w:rPr>
        <w:t>פגיעתה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ההון</w:t>
      </w:r>
      <w:r>
        <w:rPr>
          <w:rtl w:val="true"/>
        </w:rPr>
        <w:t xml:space="preserve">, </w:t>
      </w:r>
      <w:r>
        <w:rPr>
          <w:rtl w:val="true"/>
        </w:rPr>
        <w:t>ביחידים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ובציבור</w:t>
      </w:r>
      <w:r>
        <w:rPr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והרתעה</w:t>
      </w:r>
      <w:r>
        <w:rPr>
          <w:rtl w:val="true"/>
        </w:rPr>
        <w:t xml:space="preserve">, </w:t>
      </w:r>
      <w:r>
        <w:rPr>
          <w:rtl w:val="true"/>
        </w:rPr>
        <w:t>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רחמים</w:t>
      </w:r>
      <w:r>
        <w:rPr>
          <w:rtl w:val="true"/>
        </w:rPr>
        <w:t xml:space="preserve">, </w:t>
      </w:r>
      <w:r>
        <w:rPr>
          <w:rtl w:val="true"/>
        </w:rPr>
        <w:t>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tl w:val="true"/>
        </w:rPr>
        <w:t xml:space="preserve">.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מתונים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מעיקה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נחוצה</w:t>
      </w:r>
      <w:r>
        <w:rPr>
          <w:rtl w:val="true"/>
        </w:rPr>
        <w:t xml:space="preserve">.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>-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לפיתוי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במידע</w:t>
      </w:r>
      <w:r>
        <w:rPr>
          <w:rtl w:val="true"/>
        </w:rPr>
        <w:t>-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תריס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הפורענות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משנה</w:t>
      </w:r>
      <w:r>
        <w:rPr>
          <w:rtl w:val="true"/>
        </w:rPr>
        <w:t xml:space="preserve">, </w:t>
      </w:r>
      <w:r>
        <w:rPr>
          <w:rtl w:val="true"/>
        </w:rPr>
        <w:t>אבות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יא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bookmarkStart w:id="16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21.6.2022</w:t>
      </w:r>
      <w:r>
        <w:rPr>
          <w:rtl w:val="true"/>
        </w:rPr>
        <w:t xml:space="preserve">). </w:t>
      </w:r>
      <w:bookmarkEnd w:id="16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2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21058300</w:t>
      </w:r>
      <w:r>
        <w:rPr>
          <w:sz w:val="16"/>
          <w:rtl w:val="true"/>
        </w:rPr>
        <w:t>_</w:t>
      </w:r>
      <w:r>
        <w:rPr>
          <w:sz w:val="16"/>
        </w:rPr>
        <w:t>F07.docx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ימ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9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54678313-5830/21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6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61"/>
      <w:footerReference w:type="default" r:id="rId6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5830/21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רועי יחיא כהן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Ruller41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Strong">
    <w:name w:val="Strong"/>
    <w:qFormat/>
    <w:rPr>
      <w:rFonts w:ascii="FrankRuehl" w:hAnsi="FrankRuehl" w:cs="FrankRuehl"/>
      <w:b w:val="false"/>
      <w:bCs w:val="fals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2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;Times New Roman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4880475" TargetMode="External"/><Relationship Id="rId3" Type="http://schemas.openxmlformats.org/officeDocument/2006/relationships/hyperlink" Target="http://www.nevo.co.il/law/70349" TargetMode="External"/><Relationship Id="rId4" Type="http://schemas.openxmlformats.org/officeDocument/2006/relationships/hyperlink" Target="http://www.nevo.co.il/law/70349/52c" TargetMode="External"/><Relationship Id="rId5" Type="http://schemas.openxmlformats.org/officeDocument/2006/relationships/hyperlink" Target="http://www.nevo.co.il/law/70349/52d" TargetMode="External"/><Relationship Id="rId6" Type="http://schemas.openxmlformats.org/officeDocument/2006/relationships/hyperlink" Target="http://www.nevo.co.il/law/70349/52d.b" TargetMode="External"/><Relationship Id="rId7" Type="http://schemas.openxmlformats.org/officeDocument/2006/relationships/hyperlink" Target="http://www.nevo.co.il/law/71553" TargetMode="External"/><Relationship Id="rId8" Type="http://schemas.openxmlformats.org/officeDocument/2006/relationships/hyperlink" Target="http://www.nevo.co.il/law/71553/1.2" TargetMode="External"/><Relationship Id="rId9" Type="http://schemas.openxmlformats.org/officeDocument/2006/relationships/hyperlink" Target="http://www.nevo.co.il/law/74903" TargetMode="External"/><Relationship Id="rId10" Type="http://schemas.openxmlformats.org/officeDocument/2006/relationships/hyperlink" Target="http://www.nevo.co.il/law/74903/192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71a.b" TargetMode="External"/><Relationship Id="rId13" Type="http://schemas.openxmlformats.org/officeDocument/2006/relationships/hyperlink" Target="http://www.nevo.co.il/law/70301/72.b" TargetMode="External"/><Relationship Id="rId14" Type="http://schemas.openxmlformats.org/officeDocument/2006/relationships/hyperlink" Target="http://www.nevo.co.il/law/70301/77" TargetMode="External"/><Relationship Id="rId15" Type="http://schemas.openxmlformats.org/officeDocument/2006/relationships/hyperlink" Target="http://www.nevo.co.il/law/4667" TargetMode="External"/><Relationship Id="rId16" Type="http://schemas.openxmlformats.org/officeDocument/2006/relationships/hyperlink" Target="http://www.nevo.co.il/law/4667/4" TargetMode="External"/><Relationship Id="rId17" Type="http://schemas.openxmlformats.org/officeDocument/2006/relationships/hyperlink" Target="http://www.nevo.co.il/law/4667/5" TargetMode="External"/><Relationship Id="rId18" Type="http://schemas.openxmlformats.org/officeDocument/2006/relationships/hyperlink" Target="http://www.nevo.co.il/case/24880475" TargetMode="External"/><Relationship Id="rId19" Type="http://schemas.openxmlformats.org/officeDocument/2006/relationships/hyperlink" Target="http://www.nevo.co.il/law/70349/52d" TargetMode="External"/><Relationship Id="rId20" Type="http://schemas.openxmlformats.org/officeDocument/2006/relationships/hyperlink" Target="http://www.nevo.co.il/law/70349" TargetMode="External"/><Relationship Id="rId21" Type="http://schemas.openxmlformats.org/officeDocument/2006/relationships/hyperlink" Target="http://www.nevo.co.il/case/5810781" TargetMode="External"/><Relationship Id="rId22" Type="http://schemas.openxmlformats.org/officeDocument/2006/relationships/hyperlink" Target="http://www.nevo.co.il/case/6879736" TargetMode="External"/><Relationship Id="rId23" Type="http://schemas.openxmlformats.org/officeDocument/2006/relationships/hyperlink" Target="http://www.nevo.co.il/case/21473702" TargetMode="External"/><Relationship Id="rId24" Type="http://schemas.openxmlformats.org/officeDocument/2006/relationships/hyperlink" Target="http://www.nevo.co.il/case/5970742" TargetMode="External"/><Relationship Id="rId25" Type="http://schemas.openxmlformats.org/officeDocument/2006/relationships/hyperlink" Target="http://www.nevo.co.il/case/20787999" TargetMode="External"/><Relationship Id="rId26" Type="http://schemas.openxmlformats.org/officeDocument/2006/relationships/hyperlink" Target="http://www.nevo.co.il/case/5983586" TargetMode="External"/><Relationship Id="rId27" Type="http://schemas.openxmlformats.org/officeDocument/2006/relationships/hyperlink" Target="http://www.nevo.co.il/case/5592242" TargetMode="External"/><Relationship Id="rId28" Type="http://schemas.openxmlformats.org/officeDocument/2006/relationships/hyperlink" Target="http://www.nevo.co.il/case/5875466" TargetMode="External"/><Relationship Id="rId29" Type="http://schemas.openxmlformats.org/officeDocument/2006/relationships/hyperlink" Target="http://www.nevo.co.il/case/6247428" TargetMode="External"/><Relationship Id="rId30" Type="http://schemas.openxmlformats.org/officeDocument/2006/relationships/hyperlink" Target="http://www.nevo.co.il/case/6247208" TargetMode="External"/><Relationship Id="rId31" Type="http://schemas.openxmlformats.org/officeDocument/2006/relationships/hyperlink" Target="http://www.nevo.co.il/case/24156669" TargetMode="External"/><Relationship Id="rId32" Type="http://schemas.openxmlformats.org/officeDocument/2006/relationships/hyperlink" Target="http://www.nevo.co.il/case/5583699" TargetMode="External"/><Relationship Id="rId33" Type="http://schemas.openxmlformats.org/officeDocument/2006/relationships/hyperlink" Target="http://www.nevo.co.il/law/71553/1.2" TargetMode="External"/><Relationship Id="rId34" Type="http://schemas.openxmlformats.org/officeDocument/2006/relationships/hyperlink" Target="http://www.nevo.co.il/law/71553" TargetMode="External"/><Relationship Id="rId35" Type="http://schemas.openxmlformats.org/officeDocument/2006/relationships/hyperlink" Target="http://www.nevo.co.il/law/74903/192a" TargetMode="External"/><Relationship Id="rId36" Type="http://schemas.openxmlformats.org/officeDocument/2006/relationships/hyperlink" Target="http://www.nevo.co.il/law/74903" TargetMode="External"/><Relationship Id="rId37" Type="http://schemas.openxmlformats.org/officeDocument/2006/relationships/hyperlink" Target="http://www.nevo.co.il/law/74903" TargetMode="External"/><Relationship Id="rId38" Type="http://schemas.openxmlformats.org/officeDocument/2006/relationships/hyperlink" Target="http://www.nevo.co.il/law/70301/71a.b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4903/192a" TargetMode="External"/><Relationship Id="rId41" Type="http://schemas.openxmlformats.org/officeDocument/2006/relationships/hyperlink" Target="http://www.nevo.co.il/law/70301/72.b" TargetMode="External"/><Relationship Id="rId42" Type="http://schemas.openxmlformats.org/officeDocument/2006/relationships/hyperlink" Target="http://www.nevo.co.il/law/70301/77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5868564" TargetMode="External"/><Relationship Id="rId45" Type="http://schemas.openxmlformats.org/officeDocument/2006/relationships/hyperlink" Target="http://www.nevo.co.il/case/5605691" TargetMode="External"/><Relationship Id="rId46" Type="http://schemas.openxmlformats.org/officeDocument/2006/relationships/hyperlink" Target="http://www.nevo.co.il/law/70301/77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case/21477594" TargetMode="External"/><Relationship Id="rId49" Type="http://schemas.openxmlformats.org/officeDocument/2006/relationships/hyperlink" Target="http://www.nevo.co.il/law/70301/77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77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4667/5;4" TargetMode="External"/><Relationship Id="rId54" Type="http://schemas.openxmlformats.org/officeDocument/2006/relationships/hyperlink" Target="http://www.nevo.co.il/law/4667" TargetMode="External"/><Relationship Id="rId55" Type="http://schemas.openxmlformats.org/officeDocument/2006/relationships/hyperlink" Target="http://www.nevo.co.il/case/20600029" TargetMode="External"/><Relationship Id="rId56" Type="http://schemas.openxmlformats.org/officeDocument/2006/relationships/hyperlink" Target="http://www.nevo.co.il/law/70349/52d.b" TargetMode="External"/><Relationship Id="rId57" Type="http://schemas.openxmlformats.org/officeDocument/2006/relationships/hyperlink" Target="http://www.nevo.co.il/law/70349" TargetMode="External"/><Relationship Id="rId58" Type="http://schemas.openxmlformats.org/officeDocument/2006/relationships/hyperlink" Target="http://www.nevo.co.il/law/70349/52c" TargetMode="External"/><Relationship Id="rId59" Type="http://schemas.openxmlformats.org/officeDocument/2006/relationships/hyperlink" Target="https://supreme.court.gov.il/" TargetMode="External"/><Relationship Id="rId60" Type="http://schemas.openxmlformats.org/officeDocument/2006/relationships/hyperlink" Target="http://www.nevo.co.il/advertisements/nevo-100.doc" TargetMode="External"/><Relationship Id="rId61" Type="http://schemas.openxmlformats.org/officeDocument/2006/relationships/header" Target="header1.xml"/><Relationship Id="rId62" Type="http://schemas.openxmlformats.org/officeDocument/2006/relationships/footer" Target="footer1.xml"/><Relationship Id="rId63" Type="http://schemas.openxmlformats.org/officeDocument/2006/relationships/numbering" Target="numbering.xml"/><Relationship Id="rId64" Type="http://schemas.openxmlformats.org/officeDocument/2006/relationships/fontTable" Target="fontTable.xml"/><Relationship Id="rId65" Type="http://schemas.openxmlformats.org/officeDocument/2006/relationships/settings" Target="settings.xml"/><Relationship Id="rId6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2022-06-22T08:42:00Z</dcterms:created>
  <dc:creator>h4</dc:creator>
  <dc:description/>
  <cp:keywords/>
  <dc:language>en-IL</dc:language>
  <cp:lastModifiedBy>orly</cp:lastModifiedBy>
  <cp:lastPrinted>2022-06-21T11:00:00Z</cp:lastPrinted>
  <dcterms:modified xsi:type="dcterms:W3CDTF">2022-06-22T08:42:00Z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רועי יחיא כהן;טל כהן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24880475:2;5810781;6879736;21473702;5970742;20787999;5983586;5592242;5875466;6247428;6247208;24156669;5583699;5868564;5605691;21477594;20600029</vt:lpwstr>
  </property>
  <property fmtid="{D5CDD505-2E9C-101B-9397-08002B2CF9AE}" pid="9" name="CITY">
    <vt:lpwstr/>
  </property>
  <property fmtid="{D5CDD505-2E9C-101B-9397-08002B2CF9AE}" pid="10" name="DATE">
    <vt:lpwstr>20220621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סולברג;א' שטיין;ש' שוחט</vt:lpwstr>
  </property>
  <property fmtid="{D5CDD505-2E9C-101B-9397-08002B2CF9AE}" pid="14" name="LAWLISTTMP1">
    <vt:lpwstr>70349/052d;052d.b;052c</vt:lpwstr>
  </property>
  <property fmtid="{D5CDD505-2E9C-101B-9397-08002B2CF9AE}" pid="15" name="LAWLISTTMP2">
    <vt:lpwstr>71553/001.2</vt:lpwstr>
  </property>
  <property fmtid="{D5CDD505-2E9C-101B-9397-08002B2CF9AE}" pid="16" name="LAWLISTTMP3">
    <vt:lpwstr>74903/192a:2</vt:lpwstr>
  </property>
  <property fmtid="{D5CDD505-2E9C-101B-9397-08002B2CF9AE}" pid="17" name="LAWLISTTMP4">
    <vt:lpwstr>70301/071a.b;072.b;077:4</vt:lpwstr>
  </property>
  <property fmtid="{D5CDD505-2E9C-101B-9397-08002B2CF9AE}" pid="18" name="LAWLISTTMP5">
    <vt:lpwstr>4667/005;004</vt:lpwstr>
  </property>
  <property fmtid="{D5CDD505-2E9C-101B-9397-08002B2CF9AE}" pid="19" name="LAWYER">
    <vt:lpwstr>סתיו גינת;חנה קורין;רונן מנשה;קובי רון;אורי בר משה;אסף ברם;אמיר ארז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METAKZER">
    <vt:lpwstr>פאני</vt:lpwstr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NOSE11">
    <vt:lpwstr>עונשין</vt:lpwstr>
  </property>
  <property fmtid="{D5CDD505-2E9C-101B-9397-08002B2CF9AE}" pid="31" name="NOSE110">
    <vt:lpwstr/>
  </property>
  <property fmtid="{D5CDD505-2E9C-101B-9397-08002B2CF9AE}" pid="32" name="NOSE12">
    <vt:lpwstr>עונשין</vt:lpwstr>
  </property>
  <property fmtid="{D5CDD505-2E9C-101B-9397-08002B2CF9AE}" pid="33" name="NOSE13">
    <vt:lpwstr>עונשין</vt:lpwstr>
  </property>
  <property fmtid="{D5CDD505-2E9C-101B-9397-08002B2CF9AE}" pid="34" name="NOSE14">
    <vt:lpwstr>עונשין</vt:lpwstr>
  </property>
  <property fmtid="{D5CDD505-2E9C-101B-9397-08002B2CF9AE}" pid="35" name="NOSE15">
    <vt:lpwstr>עונשין</vt:lpwstr>
  </property>
  <property fmtid="{D5CDD505-2E9C-101B-9397-08002B2CF9AE}" pid="36" name="NOSE16">
    <vt:lpwstr>עונשין</vt:lpwstr>
  </property>
  <property fmtid="{D5CDD505-2E9C-101B-9397-08002B2CF9AE}" pid="37" name="NOSE17">
    <vt:lpwstr>עונשין</vt:lpwstr>
  </property>
  <property fmtid="{D5CDD505-2E9C-101B-9397-08002B2CF9AE}" pid="38" name="NOSE18">
    <vt:lpwstr/>
  </property>
  <property fmtid="{D5CDD505-2E9C-101B-9397-08002B2CF9AE}" pid="39" name="NOSE19">
    <vt:lpwstr/>
  </property>
  <property fmtid="{D5CDD505-2E9C-101B-9397-08002B2CF9AE}" pid="40" name="NOSE1ID">
    <vt:lpwstr>77;77;77;77;77;77;77</vt:lpwstr>
  </property>
  <property fmtid="{D5CDD505-2E9C-101B-9397-08002B2CF9AE}" pid="41" name="NOSE21">
    <vt:lpwstr>ענישה</vt:lpwstr>
  </property>
  <property fmtid="{D5CDD505-2E9C-101B-9397-08002B2CF9AE}" pid="42" name="NOSE210">
    <vt:lpwstr/>
  </property>
  <property fmtid="{D5CDD505-2E9C-101B-9397-08002B2CF9AE}" pid="43" name="NOSE22">
    <vt:lpwstr>ענישה</vt:lpwstr>
  </property>
  <property fmtid="{D5CDD505-2E9C-101B-9397-08002B2CF9AE}" pid="44" name="NOSE23">
    <vt:lpwstr>ענישה</vt:lpwstr>
  </property>
  <property fmtid="{D5CDD505-2E9C-101B-9397-08002B2CF9AE}" pid="45" name="NOSE24">
    <vt:lpwstr>ענישה</vt:lpwstr>
  </property>
  <property fmtid="{D5CDD505-2E9C-101B-9397-08002B2CF9AE}" pid="46" name="NOSE25">
    <vt:lpwstr>ענישה</vt:lpwstr>
  </property>
  <property fmtid="{D5CDD505-2E9C-101B-9397-08002B2CF9AE}" pid="47" name="NOSE26">
    <vt:lpwstr>ענישה</vt:lpwstr>
  </property>
  <property fmtid="{D5CDD505-2E9C-101B-9397-08002B2CF9AE}" pid="48" name="NOSE27">
    <vt:lpwstr>פיצויים והוצאות</vt:lpwstr>
  </property>
  <property fmtid="{D5CDD505-2E9C-101B-9397-08002B2CF9AE}" pid="49" name="NOSE28">
    <vt:lpwstr/>
  </property>
  <property fmtid="{D5CDD505-2E9C-101B-9397-08002B2CF9AE}" pid="50" name="NOSE29">
    <vt:lpwstr/>
  </property>
  <property fmtid="{D5CDD505-2E9C-101B-9397-08002B2CF9AE}" pid="51" name="NOSE2ID">
    <vt:lpwstr>1446;1446;1446;1446;1446;1446;1447</vt:lpwstr>
  </property>
  <property fmtid="{D5CDD505-2E9C-101B-9397-08002B2CF9AE}" pid="52" name="NOSE31">
    <vt:lpwstr>מדיניות ענישה: שימוש במידע בידי איש פנים‏</vt:lpwstr>
  </property>
  <property fmtid="{D5CDD505-2E9C-101B-9397-08002B2CF9AE}" pid="53" name="NOSE310">
    <vt:lpwstr/>
  </property>
  <property fmtid="{D5CDD505-2E9C-101B-9397-08002B2CF9AE}" pid="54" name="NOSE32">
    <vt:lpwstr>מדיניות ענישה: עבירות כלכליות</vt:lpwstr>
  </property>
  <property fmtid="{D5CDD505-2E9C-101B-9397-08002B2CF9AE}" pid="55" name="NOSE33">
    <vt:lpwstr>מדיניות ענישה: שיקולים לחומרה</vt:lpwstr>
  </property>
  <property fmtid="{D5CDD505-2E9C-101B-9397-08002B2CF9AE}" pid="56" name="NOSE34">
    <vt:lpwstr>מדיניות ענישה: התערבות ערכאת ערעור</vt:lpwstr>
  </property>
  <property fmtid="{D5CDD505-2E9C-101B-9397-08002B2CF9AE}" pid="57" name="NOSE35">
    <vt:lpwstr>דרכי ענישה: שירות לתועלת הציבור</vt:lpwstr>
  </property>
  <property fmtid="{D5CDD505-2E9C-101B-9397-08002B2CF9AE}" pid="58" name="NOSE36">
    <vt:lpwstr>דרכי ענישה: קנס</vt:lpwstr>
  </property>
  <property fmtid="{D5CDD505-2E9C-101B-9397-08002B2CF9AE}" pid="59" name="NOSE37">
    <vt:lpwstr>פיצויו של מי שניזוק על-ידי העבירה</vt:lpwstr>
  </property>
  <property fmtid="{D5CDD505-2E9C-101B-9397-08002B2CF9AE}" pid="60" name="NOSE38">
    <vt:lpwstr/>
  </property>
  <property fmtid="{D5CDD505-2E9C-101B-9397-08002B2CF9AE}" pid="61" name="NOSE39">
    <vt:lpwstr/>
  </property>
  <property fmtid="{D5CDD505-2E9C-101B-9397-08002B2CF9AE}" pid="62" name="NOSE3ID">
    <vt:lpwstr>15020;8987;8995;8982;8975;8971;9011</vt:lpwstr>
  </property>
  <property fmtid="{D5CDD505-2E9C-101B-9397-08002B2CF9AE}" pid="63" name="PADIDATE">
    <vt:lpwstr>20220622</vt:lpwstr>
  </property>
  <property fmtid="{D5CDD505-2E9C-101B-9397-08002B2CF9AE}" pid="64" name="PADIMAIL">
    <vt:lpwstr>YES</vt:lpwstr>
  </property>
  <property fmtid="{D5CDD505-2E9C-101B-9397-08002B2CF9AE}" pid="65" name="PAGE">
    <vt:lpwstr/>
  </property>
  <property fmtid="{D5CDD505-2E9C-101B-9397-08002B2CF9AE}" pid="66" name="PART">
    <vt:lpwstr/>
  </property>
  <property fmtid="{D5CDD505-2E9C-101B-9397-08002B2CF9AE}" pid="67" name="PROCESS">
    <vt:lpwstr>עפ;עפ</vt:lpwstr>
  </property>
  <property fmtid="{D5CDD505-2E9C-101B-9397-08002B2CF9AE}" pid="68" name="PROCNUM">
    <vt:lpwstr>5830;5935</vt:lpwstr>
  </property>
  <property fmtid="{D5CDD505-2E9C-101B-9397-08002B2CF9AE}" pid="69" name="PROCYEAR">
    <vt:lpwstr>21;21</vt:lpwstr>
  </property>
  <property fmtid="{D5CDD505-2E9C-101B-9397-08002B2CF9AE}" pid="70" name="PSAKDIN">
    <vt:lpwstr>פסק-דין</vt:lpwstr>
  </property>
  <property fmtid="{D5CDD505-2E9C-101B-9397-08002B2CF9AE}" pid="71" name="TYPE">
    <vt:lpwstr>1</vt:lpwstr>
  </property>
  <property fmtid="{D5CDD505-2E9C-101B-9397-08002B2CF9AE}" pid="72" name="TYPE_ABS_DATE">
    <vt:lpwstr>410120220621</vt:lpwstr>
  </property>
  <property fmtid="{D5CDD505-2E9C-101B-9397-08002B2CF9AE}" pid="73" name="TYPE_N_DATE">
    <vt:lpwstr>41020220621</vt:lpwstr>
  </property>
  <property fmtid="{D5CDD505-2E9C-101B-9397-08002B2CF9AE}" pid="74" name="VOLUME">
    <vt:lpwstr/>
  </property>
  <property fmtid="{D5CDD505-2E9C-101B-9397-08002B2CF9AE}" pid="75" name="WORDNUMPAGES">
    <vt:lpwstr>11</vt:lpwstr>
  </property>
</Properties>
</file>