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5832/20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25583-08-17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8.7.2020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רענן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אירית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ואברהם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14.06.2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David;Malgun Gothic Semilight"/>
          <w:spacing w:val="0"/>
          <w:sz w:val="24"/>
          <w:szCs w:val="24"/>
        </w:rPr>
      </w:pPr>
      <w:r>
        <w:rPr>
          <w:rFonts w:cs="David;Malgun Gothic Semilight"/>
          <w:spacing w:val="0"/>
          <w:sz w:val="24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בשם 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4" w:name="FirstLawyer"/>
            <w:bookmarkEnd w:id="4"/>
            <w:r>
              <w:rPr>
                <w:rFonts w:ascii="David;Malgun Gothic Semilight" w:hAnsi="David;Malgun Gothic Semilight"/>
                <w:rtl w:val="true"/>
              </w:rPr>
              <w:t>בשם המשיבה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גרוסמן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עברייני מין אינם פועלים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ועבירות מין מבוצעות בדרכים שאינן מתיישבות עם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השכל הישר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עצם העובדה שאופן הפעולה המיוחס למערער בכתב האישום חושף אותו לסיכון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בלתי הגיוני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להיתפס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יכולה ללמד כי הדברים לא התרחשו כפי שמעידה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למרבה הצער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כשמדובר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בעבירות מין בתוך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המציאות עולה על כל הגיון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בקטין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בגדרם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בריבוי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בקטינה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אח</w:t>
      </w:r>
      <w:r>
        <w:rPr>
          <w:rFonts w:cs="FrankRuehl"/>
          <w:szCs w:val="26"/>
          <w:shd w:fill="FFFFFF" w:val="clear"/>
          <w:rtl w:val="true"/>
        </w:rPr>
        <w:t>ותה</w:t>
      </w:r>
      <w:r>
        <w:rPr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למחצה</w:t>
      </w:r>
      <w:r>
        <w:rPr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של</w:t>
      </w:r>
      <w:r>
        <w:rPr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אשתו</w:t>
      </w:r>
      <w:r>
        <w:rPr>
          <w:rFonts w:cs="FrankRuehl"/>
          <w:szCs w:val="26"/>
          <w:shd w:fill="FFFFFF" w:val="clear"/>
          <w:rtl w:val="true"/>
        </w:rPr>
        <w:t>,</w:t>
      </w:r>
      <w:r>
        <w:rPr>
          <w:rFonts w:cs="FrankRuehl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בעת</w:t>
      </w:r>
      <w:r>
        <w:rPr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שהייתה</w:t>
      </w:r>
      <w:r>
        <w:rPr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14.5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15.5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בחדרה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והושתו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ולמשפחתה</w:t>
      </w:r>
      <w:r>
        <w:rPr>
          <w:rFonts w:cs="FrankRuehl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השופ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ט 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בהסכמת </w:t>
      </w:r>
      <w:r>
        <w:rPr>
          <w:rFonts w:ascii="Times New Roman" w:hAnsi="Times New Roman" w:cs="Times New Roman"/>
          <w:spacing w:val="0"/>
          <w:szCs w:val="26"/>
          <w:rtl w:val="true"/>
        </w:rPr>
        <w:t>המשנה לנשיאה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 והשופט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עיקר הטענות שמעלה המערער ביחס להכרעת הדין מכוונות כלפי ממצאי עובדה וקביעות מהימנות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שלא נמצא להתערב בהם בהתאם לכלל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ההתערבות של ערכאת הערעור בממצאי עובדה המבוססים על קביעות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כוחו יפה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ביחס לעבירות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ובייחוד 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שכן לרוב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הרשעות מעין אל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מבוססות בעיקרן על עדויות הנפגע והפוגע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ועל התרשמות הערכאה הדיונית מאמינותן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אחת הטענות המרכזיות היא כי האופן בו חשפה המתלוננת את מעשה האינוס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בדרך של חשיפה הדרגתית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יש כדי להטיל ספק בדבר התרחשותו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אלו נטענו בפני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ונדונו בהרחבה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נקבע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כי תהליך חשיפה הדרגתי הינו תהליך ידוע ומקובל אצל קורבנות עבירות מין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ובפרט ב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לאור ההשלכות הצפויות על התא 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כך גם נפסק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כי התנהגותה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הרגילה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של המתלוננת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היא התנהגות אופיינית ומוכרת בקרב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נפגעי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ממש בטענת המערער לפיה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התעלם מראיות התומכות ומחזקות את 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עוד טען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לא יעלה על הדעת שביצע במתלוננת עבירות מין בלא שאף אחד מבני המשפחה שם לב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 בהיותם בחדר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ולמצער בחדרים הסמוכים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הנשמעת לא אחת מפי נאשמים בעבירות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מלמדת על חפות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יש עדויות המספקות הסבר לתמיהה שמעלה המערער במקרה הקונקרטי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בהנחה כי המעשים המיוחסים למערער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הגיוניים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בכך כדי להצדיק קביעה כי לא נעשו על 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הניסיון השיפוטי מלמד כי עבירות מין מתרחשות בנסיבות שונות ומשונות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לא ניתן להכריע בין גרסאות המתלוננת והנאשם באמצעות מבחני סבירות והיגיון המניחים כי העבריין פועל כאדם מן היישוב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עברייני מין אינם פועלים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ועבירות מין מבוצעות בדרכים שאינן מתיישבות עם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השכל הישר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עצם העובדה שאופן הפעולה המיוחס למערער בכתב האישום חושף אותו לסיכון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בלתי הגיוני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להיתפס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יכולה ללמד כי הדברים לא התרחשו כפי שמעידה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למרבה הצער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כשמדובר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בעבירות מין בתוך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המציאות עולה על כל הגיון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להרשעת המערער בעבירת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מוסיף על האמור לעיל לעניין התנהגות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ממצא פתולוגי איננו יכול לשלול את המיוחס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 מחולשת הקשיים הללו היא שאין בענייננו יסוד סביר לאבחנה בין חלקי גרסתה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ולפיכך לא קיים בסיס מספיק לערוך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פלגינן דיבורא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בעדותה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בוודאי לא על ידי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לא נמצא ממש בטענות המערער בדבר מחדלי חקירה של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לסיכום נקבע כי מדובר בהכרעת דין המבוססת כדבעי על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התרשמות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ה של הערכאה הדיונית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מעדויותיהם של המתלוננת ושל המערער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על הראיות התומכות שהובאו על ידי המאשימה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על מכלול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חומר הראיות שהוצג לפני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קמה עילה להתערבות ערכאת הערעור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נדחה הערעור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זה עמד לא אחת 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 היתרה הגלומה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וביתר שאת כאשר העבירות מבוצעות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 בן משפחה – תוך ניצול לרעה של הקרבה הפיזית והנפשית ושל האמון השורר במסגרת התא המשפחתי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הגם שהעונש שנגזר על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איננו מן הקלים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בהינתן שמעשי המערער חרגו מגדר מעשים מגונים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והגיעו לכדי אינוס בת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בו משום חריגה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בולטת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 הענישה המקובלת במקרים בעלי מאפיינים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כזו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המצדיקה את 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מוסיף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גם הטענה לחריגה ממתחם העונש משיקולי שיקום אינה מגלה עילה להתערבות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עיון בתסקיר שירות המבחן לא ניתן לומר כי מתקיימים במערער התנאים הקבועים 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היינו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 השתקם או כי יש סיכוי של ממש שישתקם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1"/>
        <w:shd w:fill="FFFFFF" w:val="clear"/>
        <w:bidi w:val="1"/>
        <w:spacing w:lineRule="auto" w:line="360" w:before="0" w:after="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רענן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25583-08-17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</w:t>
      </w:r>
      <w:r>
        <w:rPr>
          <w:rFonts w:cs="FrankRuehl" w:ascii="Century" w:hAnsi="Century"/>
          <w:spacing w:val="10"/>
          <w:sz w:val="22"/>
          <w:szCs w:val="28"/>
        </w:rPr>
        <w:t>9.2019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8.7.2020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ולמשפחתה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כתב</w:t>
      </w:r>
      <w:r>
        <w:rPr>
          <w:rtl w:val="true"/>
        </w:rPr>
        <w:t xml:space="preserve"> האישום בו עסקינן הוגש נגד המערער ביום </w:t>
      </w:r>
      <w:r>
        <w:rPr/>
        <w:t>13.8.2017</w:t>
      </w:r>
      <w:r>
        <w:rPr>
          <w:rtl w:val="true"/>
        </w:rPr>
        <w:t xml:space="preserve">. </w:t>
      </w:r>
      <w:r>
        <w:rPr>
          <w:rtl w:val="true"/>
        </w:rPr>
        <w:t>כעולה מכתב 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לשלושה ילדים בגילאים </w:t>
      </w:r>
      <w:r>
        <w:rPr/>
        <w:t>7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ושנתיים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 xml:space="preserve">היא אחות למחצה של אשתו של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במועדים הרלוונטיים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בין חודש יולי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22.7.2017</w:t>
      </w:r>
      <w:r>
        <w:rPr>
          <w:rtl w:val="true"/>
        </w:rPr>
        <w:t xml:space="preserve">, </w:t>
      </w:r>
      <w:r>
        <w:rPr>
          <w:rtl w:val="true"/>
        </w:rPr>
        <w:t xml:space="preserve">עת שהייתה המתלוננת בת </w:t>
      </w:r>
      <w:r>
        <w:rPr/>
        <w:t>14.5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15.5</w:t>
      </w:r>
      <w:r>
        <w:rPr>
          <w:rtl w:val="true"/>
        </w:rPr>
        <w:t xml:space="preserve">, </w:t>
      </w:r>
      <w:r>
        <w:rPr>
          <w:rtl w:val="true"/>
        </w:rPr>
        <w:t xml:space="preserve">והתגוררה בבית הוריה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), </w:t>
      </w:r>
      <w:r>
        <w:rPr>
          <w:rtl w:val="true"/>
        </w:rPr>
        <w:t>נהג המערער להתארח וללון בדירה</w:t>
      </w:r>
      <w:r>
        <w:rPr>
          <w:rtl w:val="true"/>
        </w:rPr>
        <w:t xml:space="preserve">, </w:t>
      </w:r>
      <w:r>
        <w:rPr>
          <w:rtl w:val="true"/>
        </w:rPr>
        <w:t>יחד עם משפחתו</w:t>
      </w:r>
      <w:r>
        <w:rPr>
          <w:rtl w:val="true"/>
        </w:rPr>
        <w:t xml:space="preserve">, </w:t>
      </w:r>
      <w:r>
        <w:rPr>
          <w:rtl w:val="true"/>
        </w:rPr>
        <w:t>בהזדמנויות רבות</w:t>
      </w:r>
      <w:r>
        <w:rPr>
          <w:rtl w:val="true"/>
        </w:rPr>
        <w:t xml:space="preserve">, </w:t>
      </w:r>
      <w:r>
        <w:rPr>
          <w:rtl w:val="true"/>
        </w:rPr>
        <w:t>ובעיקר בסופי שבוע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הנטען בכתב האישום</w:t>
      </w:r>
      <w:r>
        <w:rPr>
          <w:rtl w:val="true"/>
        </w:rPr>
        <w:t xml:space="preserve">, </w:t>
      </w:r>
      <w:r>
        <w:rPr>
          <w:rtl w:val="true"/>
        </w:rPr>
        <w:t>במשך התקופה הרלוונטית</w:t>
      </w:r>
      <w:r>
        <w:rPr>
          <w:rtl w:val="true"/>
        </w:rPr>
        <w:t xml:space="preserve">, </w:t>
      </w:r>
      <w:r>
        <w:rPr>
          <w:rtl w:val="true"/>
        </w:rPr>
        <w:t>ביצע המערער מעשים מגונים במתלוננת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במספר הזדמנויות רב</w:t>
      </w:r>
      <w:r>
        <w:rPr>
          <w:rtl w:val="true"/>
        </w:rPr>
        <w:t xml:space="preserve">, </w:t>
      </w:r>
      <w:r>
        <w:rPr>
          <w:rtl w:val="true"/>
        </w:rPr>
        <w:t>בשעות הלילה</w:t>
      </w:r>
      <w:r>
        <w:rPr>
          <w:rtl w:val="true"/>
        </w:rPr>
        <w:t xml:space="preserve">, </w:t>
      </w:r>
      <w:r>
        <w:rPr>
          <w:rtl w:val="true"/>
        </w:rPr>
        <w:t>נכנס המערער לחדרה של המתלוננת</w:t>
      </w:r>
      <w:r>
        <w:rPr>
          <w:rtl w:val="true"/>
        </w:rPr>
        <w:t xml:space="preserve">, </w:t>
      </w:r>
      <w:r>
        <w:rPr>
          <w:rtl w:val="true"/>
        </w:rPr>
        <w:t>ניגש למיטתה ונגע בחזה מתחת לבגדיה</w:t>
      </w:r>
      <w:r>
        <w:rPr>
          <w:rtl w:val="true"/>
        </w:rPr>
        <w:t xml:space="preserve">, </w:t>
      </w:r>
      <w:r>
        <w:rPr>
          <w:rtl w:val="true"/>
        </w:rPr>
        <w:t>בלא הסכמתה</w:t>
      </w:r>
      <w:r>
        <w:rPr>
          <w:rtl w:val="true"/>
        </w:rPr>
        <w:t xml:space="preserve">. </w:t>
      </w:r>
      <w:r>
        <w:rPr>
          <w:rtl w:val="true"/>
        </w:rPr>
        <w:t>בחלק מהמקרים אף הביעה המתלוננת את התנגדותה למעשיו של המערער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ביקשה המתלוננת כי יצא מחדרה</w:t>
      </w:r>
      <w:r>
        <w:rPr>
          <w:rtl w:val="true"/>
        </w:rPr>
        <w:t xml:space="preserve">, </w:t>
      </w:r>
      <w:r>
        <w:rPr>
          <w:rtl w:val="true"/>
        </w:rPr>
        <w:t>שיחדל ממעשיו</w:t>
      </w:r>
      <w:r>
        <w:rPr>
          <w:rtl w:val="true"/>
        </w:rPr>
        <w:t xml:space="preserve">, </w:t>
      </w:r>
      <w:r>
        <w:rPr>
          <w:rtl w:val="true"/>
        </w:rPr>
        <w:t>הסתובבה לצד השני וניסתה להזיז את ידו ממנה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שאל אותה המערער מדוע היא מזיזה את ידיו ממנה</w:t>
      </w:r>
      <w:r>
        <w:rPr>
          <w:rtl w:val="true"/>
        </w:rPr>
        <w:t xml:space="preserve">, </w:t>
      </w:r>
      <w:r>
        <w:rPr>
          <w:rtl w:val="true"/>
        </w:rPr>
        <w:t xml:space="preserve">ואמר לה </w:t>
      </w:r>
      <w:r>
        <w:rPr>
          <w:rtl w:val="true"/>
        </w:rPr>
        <w:t>"</w:t>
      </w:r>
      <w:r>
        <w:rPr>
          <w:rtl w:val="true"/>
        </w:rPr>
        <w:t>תני לי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 אף התנגדות המתלוננת</w:t>
      </w:r>
      <w:r>
        <w:rPr>
          <w:rtl w:val="true"/>
        </w:rPr>
        <w:t xml:space="preserve">, </w:t>
      </w:r>
      <w:r>
        <w:rPr>
          <w:rtl w:val="true"/>
        </w:rPr>
        <w:t>עיסה המערער את חזה</w:t>
      </w:r>
      <w:r>
        <w:rPr>
          <w:rtl w:val="true"/>
        </w:rPr>
        <w:t xml:space="preserve">, </w:t>
      </w:r>
      <w:r>
        <w:rPr>
          <w:rtl w:val="true"/>
        </w:rPr>
        <w:t>ובחלק מהמקרים ליקק אותו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בחלק מהמקרים</w:t>
      </w:r>
      <w:r>
        <w:rPr>
          <w:rtl w:val="true"/>
        </w:rPr>
        <w:t xml:space="preserve">, </w:t>
      </w:r>
      <w:r>
        <w:rPr>
          <w:rtl w:val="true"/>
        </w:rPr>
        <w:t>אמר המערער למתלוננת כי יש לה את החזה היפה בעולם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בכתב האישום</w:t>
      </w:r>
      <w:r>
        <w:rPr>
          <w:rtl w:val="true"/>
        </w:rPr>
        <w:t xml:space="preserve">, </w:t>
      </w:r>
      <w:r>
        <w:rPr>
          <w:rtl w:val="true"/>
        </w:rPr>
        <w:t>כי במועד בלתי ידוע</w:t>
      </w:r>
      <w:r>
        <w:rPr>
          <w:rtl w:val="true"/>
        </w:rPr>
        <w:t xml:space="preserve">, </w:t>
      </w:r>
      <w:r>
        <w:rPr>
          <w:rtl w:val="true"/>
        </w:rPr>
        <w:t>במהלך התקופה הרלוונטית</w:t>
      </w:r>
      <w:r>
        <w:rPr>
          <w:rtl w:val="true"/>
        </w:rPr>
        <w:t xml:space="preserve">, </w:t>
      </w:r>
      <w:r>
        <w:rPr>
          <w:rtl w:val="true"/>
        </w:rPr>
        <w:t>ניגש המערער אל המתלוננת בזמן ששהתה בחדרו של אחיה</w:t>
      </w:r>
      <w:r>
        <w:rPr>
          <w:rtl w:val="true"/>
        </w:rPr>
        <w:t xml:space="preserve">, </w:t>
      </w:r>
      <w:r>
        <w:rPr>
          <w:rtl w:val="true"/>
        </w:rPr>
        <w:t>שנכח בחדר</w:t>
      </w:r>
      <w:r>
        <w:rPr>
          <w:rtl w:val="true"/>
        </w:rPr>
        <w:t xml:space="preserve">, </w:t>
      </w:r>
      <w:r>
        <w:rPr>
          <w:rtl w:val="true"/>
        </w:rPr>
        <w:t>הכניס את ידו מתחת לחולצת המתלוננת</w:t>
      </w:r>
      <w:r>
        <w:rPr>
          <w:rtl w:val="true"/>
        </w:rPr>
        <w:t xml:space="preserve">, </w:t>
      </w:r>
      <w:r>
        <w:rPr>
          <w:rtl w:val="true"/>
        </w:rPr>
        <w:t>וניסה לבצע בה מעשה מגונה</w:t>
      </w:r>
      <w:r>
        <w:rPr>
          <w:rtl w:val="true"/>
        </w:rPr>
        <w:t xml:space="preserve">. </w:t>
      </w:r>
      <w:r>
        <w:rPr>
          <w:rtl w:val="true"/>
        </w:rPr>
        <w:t>בטרם הצליח המערער לגעת בחזה ומבלי שאחיה הבחין במתרחש</w:t>
      </w:r>
      <w:r>
        <w:rPr>
          <w:rtl w:val="true"/>
        </w:rPr>
        <w:t xml:space="preserve">, </w:t>
      </w:r>
      <w:r>
        <w:rPr>
          <w:rtl w:val="true"/>
        </w:rPr>
        <w:t>קמה המתלוננת ויצאה מהחדר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ביום </w:t>
      </w:r>
      <w:r>
        <w:rPr/>
        <w:t>21.7.2017</w:t>
      </w:r>
      <w:r>
        <w:rPr>
          <w:rtl w:val="true"/>
        </w:rPr>
        <w:t xml:space="preserve">, </w:t>
      </w:r>
      <w:r>
        <w:rPr>
          <w:rtl w:val="true"/>
        </w:rPr>
        <w:t>יצאה המתלוננת לבלות עם חברותיה</w:t>
      </w:r>
      <w:r>
        <w:rPr>
          <w:rtl w:val="true"/>
        </w:rPr>
        <w:t xml:space="preserve">, </w:t>
      </w:r>
      <w:r>
        <w:rPr>
          <w:rtl w:val="true"/>
        </w:rPr>
        <w:t>ועם שובה</w:t>
      </w:r>
      <w:r>
        <w:rPr>
          <w:rtl w:val="true"/>
        </w:rPr>
        <w:t xml:space="preserve">, </w:t>
      </w:r>
      <w:r>
        <w:rPr>
          <w:rtl w:val="true"/>
        </w:rPr>
        <w:t>הבחינה שבמיטתה ישנים המערער ושניים מילדיו</w:t>
      </w:r>
      <w:r>
        <w:rPr>
          <w:rtl w:val="true"/>
        </w:rPr>
        <w:t xml:space="preserve">. </w:t>
      </w:r>
      <w:r>
        <w:rPr>
          <w:rtl w:val="true"/>
        </w:rPr>
        <w:t>המערער התעורר</w:t>
      </w:r>
      <w:r>
        <w:rPr>
          <w:rtl w:val="true"/>
        </w:rPr>
        <w:t xml:space="preserve">, </w:t>
      </w:r>
      <w:r>
        <w:rPr>
          <w:rtl w:val="true"/>
        </w:rPr>
        <w:t>והמתלוננת ביקשה לישון במיטתה</w:t>
      </w:r>
      <w:r>
        <w:rPr>
          <w:rtl w:val="true"/>
        </w:rPr>
        <w:t xml:space="preserve">. </w:t>
      </w:r>
      <w:r>
        <w:rPr>
          <w:rtl w:val="true"/>
        </w:rPr>
        <w:t>המערער נאות לכך</w:t>
      </w:r>
      <w:r>
        <w:rPr>
          <w:rtl w:val="true"/>
        </w:rPr>
        <w:t xml:space="preserve">, </w:t>
      </w:r>
      <w:r>
        <w:rPr>
          <w:rtl w:val="true"/>
        </w:rPr>
        <w:t>ויצא מחדרה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כעבור מספר דקות</w:t>
      </w:r>
      <w:r>
        <w:rPr>
          <w:rtl w:val="true"/>
        </w:rPr>
        <w:t xml:space="preserve">, </w:t>
      </w:r>
      <w:r>
        <w:rPr>
          <w:rtl w:val="true"/>
        </w:rPr>
        <w:t>שב המערער לחדרה של המתלוננת</w:t>
      </w:r>
      <w:r>
        <w:rPr>
          <w:rtl w:val="true"/>
        </w:rPr>
        <w:t xml:space="preserve">, </w:t>
      </w:r>
      <w:r>
        <w:rPr>
          <w:rtl w:val="true"/>
        </w:rPr>
        <w:t>כאשר שניים מילדיו ישנים לצידה</w:t>
      </w:r>
      <w:r>
        <w:rPr>
          <w:rtl w:val="true"/>
        </w:rPr>
        <w:t xml:space="preserve">, </w:t>
      </w:r>
      <w:r>
        <w:rPr>
          <w:rtl w:val="true"/>
        </w:rPr>
        <w:t>הכניס את ידו מתחת לחולצתה</w:t>
      </w:r>
      <w:r>
        <w:rPr>
          <w:rtl w:val="true"/>
        </w:rPr>
        <w:t xml:space="preserve">, </w:t>
      </w:r>
      <w:r>
        <w:rPr>
          <w:rtl w:val="true"/>
        </w:rPr>
        <w:t>והחל לעסות את חזה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ליטף המערער את גופה של המתלוננת</w:t>
      </w:r>
      <w:r>
        <w:rPr>
          <w:rtl w:val="true"/>
        </w:rPr>
        <w:t xml:space="preserve">, </w:t>
      </w:r>
      <w:r>
        <w:rPr>
          <w:rtl w:val="true"/>
        </w:rPr>
        <w:t>נגע בבטנה</w:t>
      </w:r>
      <w:r>
        <w:rPr>
          <w:rtl w:val="true"/>
        </w:rPr>
        <w:t xml:space="preserve">, </w:t>
      </w:r>
      <w:r>
        <w:rPr>
          <w:rtl w:val="true"/>
        </w:rPr>
        <w:t>הכניס את ידו לתוך תחתוניה והחל לגעת באיבר מינה</w:t>
      </w:r>
      <w:r>
        <w:rPr>
          <w:rtl w:val="true"/>
        </w:rPr>
        <w:t xml:space="preserve">. </w:t>
      </w:r>
      <w:r>
        <w:rPr>
          <w:rtl w:val="true"/>
        </w:rPr>
        <w:t>המתלוננת התנגדה למעשים</w:t>
      </w:r>
      <w:r>
        <w:rPr>
          <w:rtl w:val="true"/>
        </w:rPr>
        <w:t xml:space="preserve">, </w:t>
      </w:r>
      <w:r>
        <w:rPr>
          <w:rtl w:val="true"/>
        </w:rPr>
        <w:t>וניסתה להדוף את המערער ממנה באמצעות ידה ורגליה</w:t>
      </w:r>
      <w:r>
        <w:rPr>
          <w:rtl w:val="true"/>
        </w:rPr>
        <w:t xml:space="preserve">, </w:t>
      </w:r>
      <w:r>
        <w:rPr>
          <w:rtl w:val="true"/>
        </w:rPr>
        <w:t xml:space="preserve">ואמרה לו </w:t>
      </w:r>
      <w:r>
        <w:rPr>
          <w:rtl w:val="true"/>
        </w:rPr>
        <w:t>"</w:t>
      </w:r>
      <w:r>
        <w:rPr>
          <w:rtl w:val="true"/>
        </w:rPr>
        <w:t>צא כבר</w:t>
      </w:r>
      <w:r>
        <w:rPr>
          <w:rtl w:val="true"/>
        </w:rPr>
        <w:t xml:space="preserve">, </w:t>
      </w:r>
      <w:r>
        <w:rPr>
          <w:rtl w:val="true"/>
        </w:rPr>
        <w:t>לך ממני</w:t>
      </w:r>
      <w:r>
        <w:rPr>
          <w:rtl w:val="true"/>
        </w:rPr>
        <w:t xml:space="preserve">, </w:t>
      </w:r>
      <w:r>
        <w:rPr>
          <w:rtl w:val="true"/>
        </w:rPr>
        <w:t>תפסיק</w:t>
      </w:r>
      <w:r>
        <w:rPr>
          <w:rtl w:val="true"/>
        </w:rPr>
        <w:t xml:space="preserve">, </w:t>
      </w:r>
      <w:r>
        <w:rPr>
          <w:rtl w:val="true"/>
        </w:rPr>
        <w:t>מה יש לך</w:t>
      </w:r>
      <w:r>
        <w:rPr>
          <w:rtl w:val="true"/>
        </w:rPr>
        <w:t xml:space="preserve">". </w:t>
      </w:r>
      <w:r>
        <w:rPr>
          <w:rtl w:val="true"/>
        </w:rPr>
        <w:t>למרות התנגדותה של המתלוננת</w:t>
      </w:r>
      <w:r>
        <w:rPr>
          <w:rtl w:val="true"/>
        </w:rPr>
        <w:t xml:space="preserve">, </w:t>
      </w:r>
      <w:r>
        <w:rPr>
          <w:rtl w:val="true"/>
        </w:rPr>
        <w:t>ליטף המערער את ישבנה והחדיר את אצבעו לאיבר מינה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בחלק מהמקרים אליהם מתייחס כתב האישום ישנו במיטת המתלוננת</w:t>
      </w:r>
      <w:r>
        <w:rPr>
          <w:rtl w:val="true"/>
        </w:rPr>
        <w:t xml:space="preserve">, </w:t>
      </w:r>
      <w:r>
        <w:rPr>
          <w:rtl w:val="true"/>
        </w:rPr>
        <w:t>לצידה</w:t>
      </w:r>
      <w:r>
        <w:rPr>
          <w:rtl w:val="true"/>
        </w:rPr>
        <w:t xml:space="preserve">, </w:t>
      </w:r>
      <w:r>
        <w:rPr>
          <w:rtl w:val="true"/>
        </w:rPr>
        <w:t>בעת ביצוע המעשים</w:t>
      </w:r>
      <w:r>
        <w:rPr>
          <w:rtl w:val="true"/>
        </w:rPr>
        <w:t xml:space="preserve">, </w:t>
      </w:r>
      <w:r>
        <w:rPr>
          <w:rtl w:val="true"/>
        </w:rPr>
        <w:t>סבתה של המתלוננת או ילדיו של 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בחלק מהמקרים</w:t>
      </w:r>
      <w:r>
        <w:rPr>
          <w:rtl w:val="true"/>
        </w:rPr>
        <w:t xml:space="preserve">, </w:t>
      </w:r>
      <w:r>
        <w:rPr>
          <w:rtl w:val="true"/>
        </w:rPr>
        <w:t>נהג המערער לצאת מחדרה של המתלוננת בכל פעם ששמע רעשים בדירה</w:t>
      </w:r>
      <w:r>
        <w:rPr>
          <w:rtl w:val="true"/>
        </w:rPr>
        <w:t xml:space="preserve">, </w:t>
      </w:r>
      <w:r>
        <w:rPr>
          <w:rtl w:val="true"/>
        </w:rPr>
        <w:t>כדי לא לעורר חשד</w:t>
      </w:r>
      <w:r>
        <w:rPr>
          <w:rtl w:val="true"/>
        </w:rPr>
        <w:t xml:space="preserve">, </w:t>
      </w:r>
      <w:r>
        <w:rPr>
          <w:rtl w:val="true"/>
        </w:rPr>
        <w:t>ולאחר מכן שב אליו</w:t>
      </w:r>
      <w:r>
        <w:rPr>
          <w:rtl w:val="true"/>
        </w:rPr>
        <w:t xml:space="preserve">, </w:t>
      </w:r>
      <w:r>
        <w:rPr>
          <w:rtl w:val="true"/>
        </w:rPr>
        <w:t>והמשיך במעשיו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הנטען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עבירה של אינוס בת משפחה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3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)); </w:t>
      </w:r>
      <w:r>
        <w:rPr>
          <w:rtl w:val="true"/>
        </w:rPr>
        <w:t xml:space="preserve">מעשה מגונה בבת משפחה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שנים ללא הסכמתה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>) (</w:t>
      </w:r>
      <w:r>
        <w:rPr>
          <w:rtl w:val="true"/>
        </w:rPr>
        <w:t xml:space="preserve">לפי </w:t>
      </w:r>
      <w:hyperlink r:id="rId16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סעיף </w:t>
      </w:r>
      <w:hyperlink r:id="rId1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וסעיף </w:t>
      </w:r>
      <w:hyperlink r:id="rId1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מעשה מגונה בבת 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>) (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וניסיון למעשה מגונה בבת משפחה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sz w:val="28"/>
          <w:sz w:val="28"/>
          <w:rtl w:val="true"/>
        </w:rPr>
        <w:t xml:space="preserve">בהכרעת הדין מיום </w:t>
      </w:r>
      <w:r>
        <w:rPr>
          <w:rFonts w:cs="FrankRuehl" w:ascii="FrankRuehl" w:hAnsi="FrankRuehl"/>
          <w:sz w:val="28"/>
        </w:rPr>
        <w:t>22.9.2019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הרשיע בית המשפט </w:t>
      </w:r>
      <w:r>
        <w:rPr>
          <w:rFonts w:ascii="FrankRuehl" w:hAnsi="FrankRuehl" w:cs="FrankRuehl"/>
          <w:sz w:val="28"/>
          <w:sz w:val="28"/>
          <w:rtl w:val="true"/>
        </w:rPr>
        <w:t xml:space="preserve">המחוזי </w:t>
      </w:r>
      <w:r>
        <w:rPr>
          <w:rFonts w:ascii="FrankRuehl" w:hAnsi="FrankRuehl" w:cs="FrankRuehl"/>
          <w:sz w:val="28"/>
          <w:sz w:val="28"/>
          <w:rtl w:val="true"/>
        </w:rPr>
        <w:t xml:space="preserve">את המערער </w:t>
      </w:r>
      <w:r>
        <w:rPr>
          <w:rFonts w:ascii="FrankRuehl" w:hAnsi="FrankRuehl" w:cs="FrankRuehl"/>
          <w:sz w:val="28"/>
          <w:sz w:val="28"/>
          <w:rtl w:val="true"/>
        </w:rPr>
        <w:t>במכלול העבירות שיוסחו לו בכתב האישום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 w:cs="FrankRuehl"/>
          <w:sz w:val="28"/>
          <w:sz w:val="28"/>
          <w:rtl w:val="true"/>
        </w:rPr>
        <w:t>הכרעת דינו של בית המשפט המחוזי התבססה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בראש ובראשונה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על עדות המתלוננת לפניו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אותה הוא מצא </w:t>
      </w:r>
      <w:r>
        <w:rPr>
          <w:rFonts w:ascii="FrankRuehl" w:hAnsi="FrankRuehl" w:cs="FrankRuehl"/>
          <w:sz w:val="28"/>
          <w:sz w:val="28"/>
          <w:rtl w:val="true"/>
        </w:rPr>
        <w:t>קוהרנטית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ברורה ו</w:t>
      </w:r>
      <w:r>
        <w:rPr>
          <w:rFonts w:ascii="FrankRuehl" w:hAnsi="FrankRuehl" w:cs="FrankRuehl"/>
          <w:sz w:val="28"/>
          <w:sz w:val="28"/>
          <w:rtl w:val="true"/>
        </w:rPr>
        <w:t>אמינה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כמו גם על חיזוקים שנמצאו לגרסתה בחומר הראיות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בית המשפט המחוזי ציין כי המתלוננת תיארה בעדותה באופן משכנע ואותנטי את המעשים </w:t>
      </w:r>
      <w:r>
        <w:rPr>
          <w:rFonts w:ascii="FrankRuehl" w:hAnsi="FrankRuehl" w:cs="FrankRuehl"/>
          <w:sz w:val="28"/>
          <w:sz w:val="28"/>
          <w:rtl w:val="true"/>
        </w:rPr>
        <w:t>המיניים אותם חוותה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וכן עמד על אותות האמת שעלו מהעדות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הימנעותה הראשונית של המתלוננת מלספר למשפחתה על מעשה האינוס</w:t>
      </w:r>
      <w:r>
        <w:rPr>
          <w:rtl w:val="true"/>
        </w:rPr>
        <w:t xml:space="preserve">, </w:t>
      </w:r>
      <w:r>
        <w:rPr>
          <w:rtl w:val="true"/>
        </w:rPr>
        <w:t>אינה מעוררת ספק באמינות גרסתה</w:t>
      </w:r>
      <w:r>
        <w:rPr>
          <w:rtl w:val="true"/>
        </w:rPr>
        <w:t xml:space="preserve">. </w:t>
      </w:r>
      <w:r>
        <w:rPr>
          <w:rtl w:val="true"/>
        </w:rPr>
        <w:t>חשיפה הדרגתית של פגיעות על ידי מתלוננת</w:t>
      </w:r>
      <w:r>
        <w:rPr>
          <w:rtl w:val="true"/>
        </w:rPr>
        <w:t xml:space="preserve">, </w:t>
      </w:r>
      <w:r>
        <w:rPr>
          <w:rtl w:val="true"/>
        </w:rPr>
        <w:t>מוכרת כמצב המאפיין התנהלות של קורבן עבירות מין בכלל</w:t>
      </w:r>
      <w:r>
        <w:rPr>
          <w:rtl w:val="true"/>
        </w:rPr>
        <w:t xml:space="preserve">, </w:t>
      </w:r>
      <w:r>
        <w:rPr>
          <w:rtl w:val="true"/>
        </w:rPr>
        <w:t>ובפרט כאשר עבירות המין מבוצעות בתוך המשפחה</w:t>
      </w:r>
      <w:r>
        <w:rPr>
          <w:rtl w:val="true"/>
        </w:rPr>
        <w:t xml:space="preserve">, </w:t>
      </w:r>
      <w:r>
        <w:rPr>
          <w:rtl w:val="true"/>
        </w:rPr>
        <w:t>והמתלוננת חושפת את שאירע בפני בני משפחתה</w:t>
      </w:r>
      <w:r>
        <w:rPr>
          <w:rtl w:val="true"/>
        </w:rPr>
        <w:t xml:space="preserve">. </w:t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 xml:space="preserve">נפסק כי אין בשני המסרונים ששלחה המתלוננת למערער </w:t>
      </w:r>
      <w:r>
        <w:rPr>
          <w:rtl w:val="true"/>
        </w:rPr>
        <w:t>(</w:t>
      </w:r>
      <w:r>
        <w:rPr>
          <w:rtl w:val="true"/>
        </w:rPr>
        <w:t xml:space="preserve">ביום </w:t>
      </w:r>
      <w:r>
        <w:rPr/>
        <w:t>24.4.2017</w:t>
      </w:r>
      <w:r>
        <w:rPr>
          <w:rtl w:val="true"/>
        </w:rPr>
        <w:t xml:space="preserve"> </w:t>
      </w:r>
      <w:r>
        <w:rPr>
          <w:rtl w:val="true"/>
        </w:rPr>
        <w:t xml:space="preserve">ביקשה מהמערער מתנה ליום הולדתה וביום </w:t>
      </w:r>
      <w:r>
        <w:rPr/>
        <w:t>25.5.2017</w:t>
      </w:r>
      <w:r>
        <w:rPr>
          <w:rtl w:val="true"/>
        </w:rPr>
        <w:t xml:space="preserve"> </w:t>
      </w:r>
      <w:r>
        <w:rPr>
          <w:rtl w:val="true"/>
        </w:rPr>
        <w:t>הציעה למערער להצטרף למפגש משפחתי</w:t>
      </w:r>
      <w:r>
        <w:rPr>
          <w:rtl w:val="true"/>
        </w:rPr>
        <w:t xml:space="preserve">), </w:t>
      </w:r>
      <w:r>
        <w:rPr>
          <w:rtl w:val="true"/>
        </w:rPr>
        <w:t>כדי לפגום באמינות גרסתה</w:t>
      </w:r>
      <w:r>
        <w:rPr>
          <w:rtl w:val="true"/>
        </w:rPr>
        <w:t xml:space="preserve">. </w:t>
      </w:r>
      <w:r>
        <w:rPr>
          <w:rtl w:val="true"/>
        </w:rPr>
        <w:t>בית המשפט קמא האמין להסבריה של המתלוננת</w:t>
      </w:r>
      <w:r>
        <w:rPr>
          <w:rtl w:val="true"/>
        </w:rPr>
        <w:t xml:space="preserve">, </w:t>
      </w:r>
      <w:r>
        <w:rPr>
          <w:rtl w:val="true"/>
        </w:rPr>
        <w:t>לפיהם הבינה את משמעות מעשיו המיניים של המערער בה רק לאחר מעשה האינוס</w:t>
      </w:r>
      <w:r>
        <w:rPr>
          <w:rtl w:val="true"/>
        </w:rPr>
        <w:t xml:space="preserve">, </w:t>
      </w:r>
      <w:r>
        <w:rPr>
          <w:rtl w:val="true"/>
        </w:rPr>
        <w:t>וכי התביישה לחשוף את מעשיו של המערער וחששה מתגובת אחותה</w:t>
      </w:r>
      <w:r>
        <w:rPr>
          <w:rtl w:val="true"/>
        </w:rPr>
        <w:t xml:space="preserve">. </w:t>
      </w:r>
      <w:r>
        <w:rPr>
          <w:rtl w:val="true"/>
        </w:rPr>
        <w:t>דבריה אלו התקבלו כסבירים ומתקבלים על הדעת</w:t>
      </w:r>
      <w:r>
        <w:rPr>
          <w:rtl w:val="true"/>
        </w:rPr>
        <w:t xml:space="preserve">, </w:t>
      </w:r>
      <w:r>
        <w:rPr>
          <w:rtl w:val="true"/>
        </w:rPr>
        <w:t>בהיות המתלוננת קטינה שנפלה קורבן למסכת של עבירות מין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הוסיף וקבע כי קיימות ראיות התומכות בעדות המתלוננת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 עדויות </w:t>
      </w:r>
      <w:r>
        <w:rPr>
          <w:rtl w:val="true"/>
        </w:rPr>
        <w:t xml:space="preserve">אודות מצבה הנפשי </w:t>
      </w:r>
      <w:r>
        <w:rPr>
          <w:rtl w:val="true"/>
        </w:rPr>
        <w:t xml:space="preserve">בעת חשיפת המעשים </w:t>
      </w:r>
      <w:r>
        <w:rPr>
          <w:rtl w:val="true"/>
        </w:rPr>
        <w:t xml:space="preserve">סמוך לאחר האירוע </w:t>
      </w:r>
      <w:r>
        <w:rPr>
          <w:rtl w:val="true"/>
        </w:rPr>
        <w:t xml:space="preserve">בפני </w:t>
      </w:r>
      <w:r>
        <w:rPr>
          <w:rtl w:val="true"/>
        </w:rPr>
        <w:t>גורמים שונים</w:t>
      </w:r>
      <w:r>
        <w:rPr>
          <w:rtl w:val="true"/>
        </w:rPr>
        <w:t xml:space="preserve">; </w:t>
      </w:r>
      <w:r>
        <w:rPr>
          <w:rtl w:val="true"/>
        </w:rPr>
        <w:t>סרטון המתעד את העימות שנערך במשטרה בין המתלוננת והמערער</w:t>
      </w:r>
      <w:r>
        <w:rPr>
          <w:rtl w:val="true"/>
        </w:rPr>
        <w:t xml:space="preserve">; </w:t>
      </w:r>
      <w:r>
        <w:rPr>
          <w:rtl w:val="true"/>
        </w:rPr>
        <w:t>העיתוי בו הגישה המתלוננת את התלונה</w:t>
      </w:r>
      <w:r>
        <w:rPr>
          <w:rtl w:val="true"/>
        </w:rPr>
        <w:t xml:space="preserve">; </w:t>
      </w:r>
      <w:r>
        <w:rPr>
          <w:rtl w:val="true"/>
        </w:rPr>
        <w:t>עדות אחיה של המתלוננת בנוגע להתנהגותו של המערער בלילה בו התרחש האינוס</w:t>
      </w:r>
      <w:r>
        <w:rPr>
          <w:rtl w:val="true"/>
        </w:rPr>
        <w:t xml:space="preserve">, </w:t>
      </w:r>
      <w:r>
        <w:rPr>
          <w:rtl w:val="true"/>
        </w:rPr>
        <w:t>לפיה המערער הלך וחזר במסדרון הדירה</w:t>
      </w:r>
      <w:r>
        <w:rPr>
          <w:rtl w:val="true"/>
        </w:rPr>
        <w:t xml:space="preserve">, </w:t>
      </w:r>
      <w:r>
        <w:rPr>
          <w:rtl w:val="true"/>
        </w:rPr>
        <w:t>ואמר לאחיה שאינו מצליח לישון</w:t>
      </w:r>
      <w:r>
        <w:rPr>
          <w:rtl w:val="true"/>
        </w:rPr>
        <w:t xml:space="preserve">; </w:t>
      </w:r>
      <w:r>
        <w:rPr>
          <w:rtl w:val="true"/>
        </w:rPr>
        <w:t xml:space="preserve">שיחת טלפון מוקלטת של המערער עם אמה של המתלוננת לאחר חשיפת המעשים ביום </w:t>
      </w:r>
      <w:r>
        <w:rPr/>
        <w:t>27.7.2017</w:t>
      </w:r>
      <w:r>
        <w:rPr>
          <w:rtl w:val="true"/>
        </w:rPr>
        <w:t xml:space="preserve">; </w:t>
      </w:r>
      <w:r>
        <w:rPr>
          <w:rtl w:val="true"/>
        </w:rPr>
        <w:t>מסרונים ששלחה המתלוננת לאחיה</w:t>
      </w:r>
      <w:r>
        <w:rPr>
          <w:rtl w:val="true"/>
        </w:rPr>
        <w:t xml:space="preserve">, </w:t>
      </w:r>
      <w:r>
        <w:rPr>
          <w:rtl w:val="true"/>
        </w:rPr>
        <w:t>בהם סיפרה לו על שאירע</w:t>
      </w:r>
      <w:r>
        <w:rPr>
          <w:rtl w:val="true"/>
        </w:rPr>
        <w:t xml:space="preserve">; </w:t>
      </w:r>
      <w:r>
        <w:rPr>
          <w:rtl w:val="true"/>
        </w:rPr>
        <w:t xml:space="preserve">ומסרון ששלחה המתלוננת למערער ביום </w:t>
      </w:r>
      <w:r>
        <w:rPr/>
        <w:t>22.7.2017</w:t>
      </w:r>
      <w:r>
        <w:rPr>
          <w:rtl w:val="true"/>
        </w:rPr>
        <w:t xml:space="preserve">, </w:t>
      </w:r>
      <w:r>
        <w:rPr>
          <w:rtl w:val="true"/>
        </w:rPr>
        <w:t xml:space="preserve">ובו כתבה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הסבלנות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לאחותי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הסתייג </w:t>
      </w:r>
      <w:r>
        <w:rPr>
          <w:rFonts w:ascii="FrankRuehl" w:hAnsi="FrankRuehl" w:cs="FrankRuehl"/>
          <w:sz w:val="28"/>
          <w:sz w:val="28"/>
          <w:rtl w:val="true"/>
        </w:rPr>
        <w:t xml:space="preserve">בית המשפט </w:t>
      </w:r>
      <w:r>
        <w:rPr>
          <w:rFonts w:ascii="FrankRuehl" w:hAnsi="FrankRuehl" w:cs="FrankRuehl"/>
          <w:sz w:val="28"/>
          <w:sz w:val="28"/>
          <w:rtl w:val="true"/>
        </w:rPr>
        <w:t>המחוזי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מעדותו של המערער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נקבע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כי גרסת המערער המכחישה את המיוחס לו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אינה עולה בקנה אחד עם התבטאויותיו המפלילות בשיחת הטלפון עם אמה של המתלוננת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שלל בית המשפט המחוזי מספר גרסאות נוספות שהעלה המערער</w:t>
      </w:r>
      <w:r>
        <w:rPr>
          <w:rtl w:val="true"/>
        </w:rPr>
        <w:t xml:space="preserve">, </w:t>
      </w:r>
      <w:r>
        <w:rPr>
          <w:rtl w:val="true"/>
        </w:rPr>
        <w:t>לגביהן קבע כי אין להן כל ביסוס ראייתי בחומר הראיות</w:t>
      </w:r>
      <w:r>
        <w:rPr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rtl w:val="true"/>
        </w:rPr>
        <w:t xml:space="preserve">גרסתו כי תלונותיה </w:t>
      </w:r>
      <w:r>
        <w:rPr>
          <w:rtl w:val="true"/>
        </w:rPr>
        <w:t>של המתלוננת באו כמעשה נקם על כך שסירב למגע עימה</w:t>
      </w:r>
      <w:r>
        <w:rPr>
          <w:rtl w:val="true"/>
        </w:rPr>
        <w:t xml:space="preserve">; </w:t>
      </w:r>
      <w:r>
        <w:rPr>
          <w:rtl w:val="true"/>
        </w:rPr>
        <w:t>גרסתו כי מעשיו פורשו בשגגה על ידי המתלוננת כבעלי אופי מיני</w:t>
      </w:r>
      <w:r>
        <w:rPr>
          <w:rtl w:val="true"/>
        </w:rPr>
        <w:t xml:space="preserve">; </w:t>
      </w:r>
      <w:r>
        <w:rPr>
          <w:rtl w:val="true"/>
        </w:rPr>
        <w:t>וכי עדותה של המתלוננת זוהמה על ידי חברת משפחה אשר יעצה לה כיצד להתמודד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גרסתו הנוספת של המערער</w:t>
      </w:r>
      <w:r>
        <w:rPr>
          <w:rtl w:val="true"/>
        </w:rPr>
        <w:t xml:space="preserve">, </w:t>
      </w:r>
      <w:r>
        <w:rPr>
          <w:rtl w:val="true"/>
        </w:rPr>
        <w:t>לפיה תלונותיה של המתלוננת באו מתוך רצון המשפחה להרחיקו מילדיו במסגרת הליכי גירושין בהם הייתה מעוניינת אשתו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 זו אינה עולה בקנה אחד עם תכתובות שהוחלפו בינו ובין אשתו</w:t>
      </w:r>
      <w:r>
        <w:rPr>
          <w:rtl w:val="true"/>
        </w:rPr>
        <w:t xml:space="preserve">, </w:t>
      </w:r>
      <w:r>
        <w:rPr>
          <w:rtl w:val="true"/>
        </w:rPr>
        <w:t>בהן הצהירה אשתו על אהבתה כלפיו ודרבנה אותו למצוא בית בו יוכלו לחיות כמשפחה במהלך תקופת מעצרו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גזר דינו של המערער ניתן ביום </w:t>
      </w:r>
      <w:r>
        <w:rPr>
          <w:rFonts w:cs="FrankRuehl" w:ascii="FrankRuehl" w:hAnsi="FrankRuehl"/>
          <w:color w:val="000000"/>
          <w:sz w:val="28"/>
        </w:rPr>
        <w:t>8.7.2020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במסגרת גזר הדין עמד בית המשפט המחוזי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בין השאר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 האמור בתסקיר נפגעת 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תסקיר שירות מבחן והצהרת נפגע עבירה של אם המתלוננת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 עיקרי הדברים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מיום </w:t>
      </w:r>
      <w:r>
        <w:rPr>
          <w:rFonts w:cs="FrankRuehl" w:ascii="FrankRuehl" w:hAnsi="FrankRuehl"/>
          <w:color w:val="000000"/>
          <w:sz w:val="28"/>
        </w:rPr>
        <w:t>18.11.2019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לזעזוע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</w:t>
      </w:r>
      <w:r>
        <w:rPr>
          <w:rtl w:val="true"/>
        </w:rPr>
        <w:t xml:space="preserve">, </w:t>
      </w:r>
      <w:r>
        <w:rPr>
          <w:rtl w:val="true"/>
        </w:rPr>
        <w:t>עצבנות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בריכוז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המתלוננת </w:t>
      </w:r>
      <w:r>
        <w:rPr>
          <w:rFonts w:ascii="FrankRuehl" w:hAnsi="FrankRuehl"/>
          <w:sz w:val="28"/>
          <w:sz w:val="28"/>
          <w:rtl w:val="true"/>
        </w:rPr>
        <w:t>צמצמה את פעילותה החברתית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וכמו כן היא נמנעת </w:t>
      </w:r>
      <w:r>
        <w:rPr>
          <w:rFonts w:ascii="FrankRuehl" w:hAnsi="FrankRuehl"/>
          <w:sz w:val="28"/>
          <w:sz w:val="28"/>
          <w:rtl w:val="true"/>
        </w:rPr>
        <w:t xml:space="preserve">מלארח חברות </w:t>
      </w:r>
      <w:r>
        <w:rPr>
          <w:rFonts w:ascii="FrankRuehl" w:hAnsi="FrankRuehl"/>
          <w:sz w:val="28"/>
          <w:sz w:val="28"/>
          <w:rtl w:val="true"/>
        </w:rPr>
        <w:t>בבית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בו אירעו המעשים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textAlignment w:val="auto"/>
        <w:rPr>
          <w:rFonts w:ascii="Arial TUR;Arial" w:hAnsi="Arial TUR;Arial" w:cs="Arial TUR;Arial"/>
          <w:spacing w:val="10"/>
          <w:sz w:val="22"/>
          <w:szCs w:val="22"/>
          <w:lang w:eastAsia="he-IL"/>
        </w:rPr>
      </w:pPr>
      <w:r>
        <w:rPr>
          <w:rFonts w:cs="Arial TUR;Arial" w:ascii="Arial TUR;Arial" w:hAnsi="Arial TUR;Arial"/>
          <w:spacing w:val="10"/>
          <w:sz w:val="22"/>
          <w:szCs w:val="22"/>
          <w:rtl w:val="true"/>
          <w:lang w:eastAsia="he-IL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23.3.2020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שהורחקו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שנדרש לטענות הצדדים לעניין העונש</w:t>
      </w:r>
      <w:r>
        <w:rPr>
          <w:rtl w:val="true"/>
        </w:rPr>
        <w:t xml:space="preserve">, </w:t>
      </w:r>
      <w:r>
        <w:rPr>
          <w:rtl w:val="true"/>
        </w:rPr>
        <w:t>ולדברי המערער שהתייחס לסכסוך מול אשתו בקשר למשמורת הילדים</w:t>
      </w:r>
      <w:r>
        <w:rPr>
          <w:rtl w:val="true"/>
        </w:rPr>
        <w:t xml:space="preserve">, </w:t>
      </w:r>
      <w:r>
        <w:rPr>
          <w:rtl w:val="true"/>
        </w:rPr>
        <w:t>וביקש רחמים מבלי ליטול אחריות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לקבוע את מתחם העונש ההולם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הביא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בית המשפט המחוזי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במניין שיקוליו את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מידת הפגיעה 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ערכים המוגנים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בפרט בעבירות מין בקטינות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מדיניות הענישה הנוהגת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ונסיבות ביצוע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בבחינת נסיבות שאינן קשורות בביצוע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tl w:val="true"/>
        </w:rPr>
        <w:t>התחשב בית המשפט המחוזי בכך שהמערער נעדר עבר פלילי</w:t>
      </w:r>
      <w:r>
        <w:rPr>
          <w:rtl w:val="true"/>
        </w:rPr>
        <w:t xml:space="preserve">; </w:t>
      </w:r>
      <w:r>
        <w:rPr>
          <w:rtl w:val="true"/>
        </w:rPr>
        <w:t>שירת שירות צבאי מלא</w:t>
      </w:r>
      <w:r>
        <w:rPr>
          <w:rtl w:val="true"/>
        </w:rPr>
        <w:t xml:space="preserve">; </w:t>
      </w:r>
      <w:r>
        <w:rPr>
          <w:rtl w:val="true"/>
        </w:rPr>
        <w:t>בפגיעה שנגרמה למשפחתו</w:t>
      </w:r>
      <w:r>
        <w:rPr>
          <w:rtl w:val="true"/>
        </w:rPr>
        <w:t xml:space="preserve">, </w:t>
      </w:r>
      <w:r>
        <w:rPr>
          <w:rtl w:val="true"/>
        </w:rPr>
        <w:t>ובייחוד לילדיו הקטינים</w:t>
      </w:r>
      <w:r>
        <w:rPr>
          <w:rtl w:val="true"/>
        </w:rPr>
        <w:t xml:space="preserve">, </w:t>
      </w:r>
      <w:r>
        <w:rPr>
          <w:rtl w:val="true"/>
        </w:rPr>
        <w:t>הקשורים אליו לאחר שטיפל בהם במסירות</w:t>
      </w:r>
      <w:r>
        <w:rPr>
          <w:rtl w:val="true"/>
        </w:rPr>
        <w:t xml:space="preserve">; </w:t>
      </w:r>
      <w:r>
        <w:rPr>
          <w:rtl w:val="true"/>
        </w:rPr>
        <w:t xml:space="preserve">ולמשך שהותו של המערער במעצר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6.8.2017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17.10.2017</w:t>
      </w:r>
      <w:r>
        <w:rPr>
          <w:rtl w:val="true"/>
        </w:rPr>
        <w:t xml:space="preserve">), </w:t>
      </w:r>
      <w:r>
        <w:rPr>
          <w:rtl w:val="true"/>
        </w:rPr>
        <w:t xml:space="preserve">ולאחריו במעצר באיזוק אלקטרוני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17.10.2017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26.2.2018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היעדר נטילת האחריות מצד המערער</w:t>
      </w:r>
      <w:r>
        <w:rPr>
          <w:rtl w:val="true"/>
        </w:rPr>
        <w:t xml:space="preserve">, </w:t>
      </w:r>
      <w:r>
        <w:rPr>
          <w:rtl w:val="true"/>
        </w:rPr>
        <w:t>וכן שיקולי הרתעת היחיד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בשים לב לכל אלה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העמיד בית המשפט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המחוזי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את מתחם העונש בעניינ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 של המערער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על </w:t>
      </w:r>
      <w:r>
        <w:rPr>
          <w:rFonts w:cs="FrankRuehl" w:ascii="FrankRuehl" w:hAnsi="FrankRuehl"/>
          <w:color w:val="000000"/>
          <w:sz w:val="28"/>
        </w:rPr>
        <w:t>10-6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שנות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מאסר בפועל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</w:t>
      </w:r>
      <w:r>
        <w:rPr>
          <w:rtl w:val="true"/>
        </w:rPr>
        <w:t>אור כל האמור גזר בית המשפט המחוזי את דינו של המערער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קבע כי יש </w:t>
      </w:r>
      <w:r>
        <w:rPr>
          <w:rtl w:val="true"/>
        </w:rPr>
        <w:t>להטיל עליו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שנות </w:t>
      </w:r>
      <w:r>
        <w:rPr>
          <w:rtl w:val="true"/>
        </w:rPr>
        <w:t>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למשך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בגין ביצוע עבירות מין מסוג פשע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למשך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בגין ביצוע עבירות מין מסוג עוון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ותשלום פיצוי למתלוננת בסך של </w:t>
      </w:r>
      <w:r>
        <w:rPr>
          <w:rFonts w:cs="Century" w:ascii="Century" w:hAnsi="Century"/>
          <w:sz w:val="22"/>
        </w:rPr>
        <w:t>60,000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ח ולמשפחתה בסך </w:t>
      </w:r>
      <w:r>
        <w:rPr>
          <w:rFonts w:cs="Century" w:ascii="Century" w:hAnsi="Century"/>
          <w:sz w:val="22"/>
        </w:rPr>
        <w:t>30,000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הערעור מכוון הן להכרעת הדין והן לגזר הדין </w:t>
      </w:r>
      <w:r>
        <w:rPr>
          <w:rtl w:val="true"/>
        </w:rPr>
        <w:t>(</w:t>
      </w:r>
      <w:r>
        <w:rPr>
          <w:rtl w:val="true"/>
        </w:rPr>
        <w:t>למעט רכיב הפיצויים</w:t>
      </w:r>
      <w:r>
        <w:rPr>
          <w:rtl w:val="true"/>
        </w:rPr>
        <w:t xml:space="preserve">). </w:t>
      </w:r>
      <w:r>
        <w:rPr>
          <w:rtl w:val="true"/>
        </w:rPr>
        <w:t>אשר להכרעת הדין</w:t>
      </w:r>
      <w:r>
        <w:rPr>
          <w:rtl w:val="true"/>
        </w:rPr>
        <w:t xml:space="preserve">, </w:t>
      </w:r>
      <w:r>
        <w:rPr>
          <w:rtl w:val="true"/>
        </w:rPr>
        <w:t>חזר המערער בנימוקי הערעור שבכתב ובטיעון שבעל פה על קו הטיעון שהעלה בבית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עדותה של המתלוננת רצופה סתירות</w:t>
      </w:r>
      <w:r>
        <w:rPr>
          <w:rtl w:val="true"/>
        </w:rPr>
        <w:t xml:space="preserve">, </w:t>
      </w:r>
      <w:r>
        <w:rPr>
          <w:rtl w:val="true"/>
        </w:rPr>
        <w:t>ותלונתה נובעת מיצר נקם על שדחה את ניסיונה לקיים עימו יחסים מיניים ורומנטיים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ייתכן שאופיו החם</w:t>
      </w:r>
      <w:r>
        <w:rPr>
          <w:rtl w:val="true"/>
        </w:rPr>
        <w:t xml:space="preserve">, </w:t>
      </w:r>
      <w:r>
        <w:rPr>
          <w:rtl w:val="true"/>
        </w:rPr>
        <w:t>עליו אף העידו בני משפחתה של המתלוננת</w:t>
      </w:r>
      <w:r>
        <w:rPr>
          <w:rtl w:val="true"/>
        </w:rPr>
        <w:t xml:space="preserve">, </w:t>
      </w:r>
      <w:r>
        <w:rPr>
          <w:rtl w:val="true"/>
        </w:rPr>
        <w:t>הוצא מהקשרו</w:t>
      </w:r>
      <w:r>
        <w:rPr>
          <w:rtl w:val="true"/>
        </w:rPr>
        <w:t xml:space="preserve">, </w:t>
      </w:r>
      <w:r>
        <w:rPr>
          <w:rtl w:val="true"/>
        </w:rPr>
        <w:t>ופורש בשגגה על ידי המתלוננת כבעל אופי מיני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חומר הראיות תומך בכך שלא ביצע את מעשה האינוס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המערער סבור כי בית המשפט המחוזי התעלם מכך שהמתלוננת ציינה בפני בני משפחתה את מעשה האינוס רק בשלב מאוחר למועד החשיפה</w:t>
      </w:r>
      <w:r>
        <w:rPr>
          <w:rtl w:val="true"/>
        </w:rPr>
        <w:t xml:space="preserve">, </w:t>
      </w:r>
      <w:r>
        <w:rPr>
          <w:rtl w:val="true"/>
        </w:rPr>
        <w:t xml:space="preserve">ולמחרת היום בו אירע לטענתה בילתה עם משפחתה </w:t>
      </w:r>
      <w:r>
        <w:rPr>
          <w:rtl w:val="true"/>
        </w:rPr>
        <w:t>(</w:t>
      </w:r>
      <w:r>
        <w:rPr>
          <w:rtl w:val="true"/>
        </w:rPr>
        <w:t>ועם המערער</w:t>
      </w:r>
      <w:r>
        <w:rPr>
          <w:rtl w:val="true"/>
        </w:rPr>
        <w:t xml:space="preserve">), </w:t>
      </w:r>
      <w:r>
        <w:rPr>
          <w:rtl w:val="true"/>
        </w:rPr>
        <w:t>מבלי שהם הבחינו בשינוי כלשהו בהתנהגותה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>לא ייתכן שאיש מבני משפחתה של המתלוננת לא שמע ולא ראה את המעשים</w:t>
      </w:r>
      <w:r>
        <w:rPr>
          <w:rtl w:val="true"/>
        </w:rPr>
        <w:t xml:space="preserve">, </w:t>
      </w:r>
      <w:r>
        <w:rPr>
          <w:rtl w:val="true"/>
        </w:rPr>
        <w:t>שעה שהמתלוננת ישנה בחדרה עם ילדיו של המערער ועם סבתה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בהקשר זה טוען המערער כי אף לא סביר שהמעשים לא הותירו סימנים בגופה של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בבדיקתה הפתולוגית נמצא כי קרום הבתולי</w:t>
      </w:r>
      <w:r>
        <w:rPr>
          <w:rtl w:val="true"/>
        </w:rPr>
        <w:t>ן שלם</w:t>
      </w:r>
      <w:r>
        <w:rPr>
          <w:rtl w:val="true"/>
        </w:rPr>
        <w:t xml:space="preserve">. </w:t>
      </w:r>
      <w:r>
        <w:rPr>
          <w:rtl w:val="true"/>
        </w:rPr>
        <w:t>למעלה מכך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בני משפחתה של המתלוננת תיאמו ביניהם את עדותם בטרם הוגשה התלונה במשטרה</w:t>
      </w:r>
      <w:r>
        <w:rPr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עצם כך שילדיו של המערער שהו במשמרתו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בהסכמת ולבקשת המשפחה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בתקופה בה אשתו הייתה מנועה מלטפל בהם מסיבות בריאותיות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אינה מתיישבת עם העובדה שמשפחת המתלוננת סבורה כי ביצע את המעשים במתלוננת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מציין המערער את מחדלי החקירה</w:t>
      </w:r>
      <w:r>
        <w:rPr>
          <w:rtl w:val="true"/>
        </w:rPr>
        <w:t xml:space="preserve">, </w:t>
      </w:r>
      <w:r>
        <w:rPr>
          <w:rtl w:val="true"/>
        </w:rPr>
        <w:t>לרבות כך שלא בוצע שחזור על מכשיר הטלפון של המתלוננת</w:t>
      </w:r>
      <w:r>
        <w:rPr>
          <w:rtl w:val="true"/>
        </w:rPr>
        <w:t xml:space="preserve">, </w:t>
      </w:r>
      <w:r>
        <w:rPr>
          <w:rtl w:val="true"/>
        </w:rPr>
        <w:t>וכי סבתה וחברותיה של המתלוננת לא נחקרו</w:t>
      </w:r>
      <w:r>
        <w:rPr>
          <w:rtl w:val="true"/>
        </w:rPr>
        <w:t xml:space="preserve">, </w:t>
      </w:r>
      <w:r>
        <w:rPr>
          <w:rtl w:val="true"/>
        </w:rPr>
        <w:t>וטוען כי אלו מהותיים</w:t>
      </w:r>
      <w:r>
        <w:rPr>
          <w:rtl w:val="true"/>
        </w:rPr>
        <w:t xml:space="preserve">, </w:t>
      </w:r>
      <w:r>
        <w:rPr>
          <w:rtl w:val="true"/>
        </w:rPr>
        <w:t>ומחייבים את זיכויו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sz w:val="28"/>
          <w:sz w:val="28"/>
          <w:rtl w:val="true"/>
        </w:rPr>
        <w:t>אשר לגזר הדין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טוען המערער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כי עונש המאסר שהוטל עליו </w:t>
      </w:r>
      <w:r>
        <w:rPr>
          <w:rFonts w:ascii="FrankRuehl" w:hAnsi="FrankRuehl" w:cs="FrankRuehl"/>
          <w:sz w:val="28"/>
          <w:sz w:val="28"/>
          <w:rtl w:val="true"/>
        </w:rPr>
        <w:t>הי</w:t>
      </w:r>
      <w:r>
        <w:rPr>
          <w:rFonts w:ascii="FrankRuehl" w:hAnsi="FrankRuehl" w:cs="FrankRuehl"/>
          <w:sz w:val="28"/>
          <w:sz w:val="28"/>
          <w:rtl w:val="true"/>
        </w:rPr>
        <w:t>נ</w:t>
      </w:r>
      <w:r>
        <w:rPr>
          <w:rFonts w:ascii="FrankRuehl" w:hAnsi="FrankRuehl" w:cs="FrankRuehl"/>
          <w:sz w:val="28"/>
          <w:sz w:val="28"/>
          <w:rtl w:val="true"/>
        </w:rPr>
        <w:t>ו חמור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ואינו נותן משקל הולם לשיקולים של שיקום המשפחה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המצדיקים לסטות לקולה ממתחם הענישה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לחלופין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היה מקום לגזור עונש ברף התחתון של מתחם הענישה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וזאת לאור פגיעת העונש במשפחתו של המערער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עוד מוסיף המערער וטוען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כי לולא הרשעתו בעבירת האינוס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שהתרחשותה מוטל בספק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היה מתחם הענישה יורד באופן משמעותי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>המשיבה תומכת בפסק דינו של בית המשפט המחוזי מנימוקיו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הערעור נסב על ממצאי עובדה ומהימנות של בית המשפט המחוזי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ואין כל הצדקה להתערב בהם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בית המשפט המחוזי נתן אמון בגרסתה של המתלוננת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שלה נמצאו חיזוקים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ascii="FrankRuehl" w:hAnsi="FrankRuehl" w:cs="FrankRuehl"/>
          <w:sz w:val="28"/>
          <w:sz w:val="28"/>
          <w:rtl w:val="true"/>
        </w:rPr>
        <w:t>כ</w:t>
      </w:r>
      <w:r>
        <w:rPr>
          <w:rFonts w:ascii="FrankRuehl" w:hAnsi="FrankRuehl" w:cs="FrankRuehl"/>
          <w:sz w:val="28"/>
          <w:sz w:val="28"/>
          <w:rtl w:val="true"/>
        </w:rPr>
        <w:t>פי</w:t>
      </w:r>
      <w:r>
        <w:rPr>
          <w:rFonts w:ascii="FrankRuehl" w:hAnsi="FrankRuehl" w:cs="FrankRuehl"/>
          <w:sz w:val="28"/>
          <w:sz w:val="28"/>
          <w:rtl w:val="true"/>
        </w:rPr>
        <w:t xml:space="preserve"> שקבע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דווקא </w:t>
      </w:r>
      <w:r>
        <w:rPr>
          <w:rFonts w:ascii="FrankRuehl" w:hAnsi="FrankRuehl" w:cs="FrankRuehl"/>
          <w:sz w:val="28"/>
          <w:sz w:val="28"/>
          <w:rtl w:val="true"/>
        </w:rPr>
        <w:t xml:space="preserve">התנהגותה של המתלוננת ואופן חשיפת האירועים </w:t>
      </w:r>
      <w:r>
        <w:rPr>
          <w:rFonts w:ascii="FrankRuehl" w:hAnsi="FrankRuehl" w:cs="FrankRuehl"/>
          <w:sz w:val="28"/>
          <w:sz w:val="28"/>
          <w:rtl w:val="true"/>
        </w:rPr>
        <w:t>מעיד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על מהימנותה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הסתירות עליהן הצביע המערער אינן סתירות</w:t>
      </w:r>
      <w:r>
        <w:rPr>
          <w:rtl w:val="true"/>
        </w:rPr>
        <w:t xml:space="preserve">, </w:t>
      </w:r>
      <w:r>
        <w:rPr>
          <w:rtl w:val="true"/>
        </w:rPr>
        <w:t>ולכל היותר מדובר בנקודות שהצריכו ביאור</w:t>
      </w:r>
      <w:r>
        <w:rPr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כמו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נטען כי גזר הדין שהושת על המערער מתיישב עם מדיניות הענישה במקרים אחרים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הוגש לעיוננו תסקיר עדכני של שירות המבחן</w:t>
      </w:r>
      <w:r>
        <w:rPr>
          <w:rtl w:val="true"/>
        </w:rPr>
        <w:t xml:space="preserve">, </w:t>
      </w:r>
      <w:r>
        <w:rPr>
          <w:rtl w:val="true"/>
        </w:rPr>
        <w:t>ממנו עולה כי המערער חסר מוטיבציה לטיפול</w:t>
      </w:r>
      <w:r>
        <w:rPr>
          <w:rtl w:val="true"/>
        </w:rPr>
        <w:t xml:space="preserve">, </w:t>
      </w:r>
      <w:r>
        <w:rPr>
          <w:rtl w:val="true"/>
        </w:rPr>
        <w:t>תופס עצמו כקורבן הנסיבות ונעדר אמפתיה כלפי 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יוער</w:t>
      </w:r>
      <w:r>
        <w:rPr>
          <w:rtl w:val="true"/>
        </w:rPr>
        <w:t xml:space="preserve">, </w:t>
      </w:r>
      <w:r>
        <w:rPr>
          <w:rtl w:val="true"/>
        </w:rPr>
        <w:t xml:space="preserve">כי בהחלטתו מיום </w:t>
      </w:r>
      <w:r>
        <w:rPr/>
        <w:t>25.8.2020</w:t>
      </w:r>
      <w:r>
        <w:rPr>
          <w:rtl w:val="true"/>
        </w:rPr>
        <w:t xml:space="preserve">, </w:t>
      </w:r>
      <w:r>
        <w:rPr>
          <w:rtl w:val="true"/>
        </w:rPr>
        <w:t xml:space="preserve">דחה בית משפט זה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) </w:t>
      </w:r>
      <w:r>
        <w:rPr>
          <w:rtl w:val="true"/>
        </w:rPr>
        <w:t>את בקשת המערער לעיכוב רכיב המאסר שבגזר דינו עד להכרעה בערעור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החל בריצוי עונש מאסרו ביום </w:t>
      </w:r>
      <w:r>
        <w:rPr/>
        <w:t>1.10.2020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בערעור ובצרופותיו ושמעתי את טיעוניהם של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להידחות על שני חלקיו</w:t>
      </w:r>
      <w:r>
        <w:rPr>
          <w:rtl w:val="true"/>
        </w:rPr>
        <w:t xml:space="preserve">. </w:t>
      </w:r>
      <w:r>
        <w:rPr>
          <w:rtl w:val="true"/>
        </w:rPr>
        <w:t>כך אציע לחבריי שנעשה</w:t>
      </w:r>
      <w:r>
        <w:rPr>
          <w:rtl w:val="true"/>
        </w:rPr>
        <w:t xml:space="preserve">, </w:t>
      </w:r>
      <w:r>
        <w:rPr>
          <w:rtl w:val="true"/>
        </w:rPr>
        <w:t>והכל מהטעמים שיפורטו 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</w:t>
      </w:r>
      <w:r>
        <w:rPr>
          <w:rtl w:val="true"/>
        </w:rPr>
        <w:t xml:space="preserve">: </w:t>
      </w:r>
      <w:r>
        <w:rPr>
          <w:rtl w:val="true"/>
        </w:rPr>
        <w:t>עיקר הטענות שמעלה המערער ביחס להכרעת הדין מכוונות כלפי ממצאי עובדה וקביעות מהימנות של בית המשפט קמא</w:t>
      </w:r>
      <w:r>
        <w:rPr>
          <w:rtl w:val="true"/>
        </w:rPr>
        <w:t xml:space="preserve">. </w:t>
      </w:r>
      <w:r>
        <w:rPr>
          <w:rtl w:val="true"/>
        </w:rPr>
        <w:t>הלכה פסוקה היא</w:t>
      </w:r>
      <w:r>
        <w:rPr>
          <w:rtl w:val="true"/>
        </w:rPr>
        <w:t xml:space="preserve">, </w:t>
      </w:r>
      <w:r>
        <w:rPr>
          <w:rtl w:val="true"/>
        </w:rPr>
        <w:t>כי לא בנקל תתערב ערכאת הערעור בממצאי עובדה ומהימנות של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 יכולת הערכאה הדיונית</w:t>
      </w:r>
      <w:r>
        <w:rPr>
          <w:rtl w:val="true"/>
        </w:rPr>
        <w:t xml:space="preserve">, </w:t>
      </w:r>
      <w:r>
        <w:rPr>
          <w:rtl w:val="true"/>
        </w:rPr>
        <w:t>שאינה נתונה לערכאת הערעור</w:t>
      </w:r>
      <w:r>
        <w:rPr>
          <w:rtl w:val="true"/>
        </w:rPr>
        <w:t xml:space="preserve">, </w:t>
      </w:r>
      <w:r>
        <w:rPr>
          <w:rtl w:val="true"/>
        </w:rPr>
        <w:t>להתרשם באופן ישיר ובלתי אמצעי מהעדים שהעידו לפניה</w:t>
      </w:r>
      <w:r>
        <w:rPr>
          <w:rtl w:val="true"/>
        </w:rPr>
        <w:t xml:space="preserve">, </w:t>
      </w:r>
      <w:r>
        <w:rPr>
          <w:rtl w:val="true"/>
        </w:rPr>
        <w:t>ולהעריך בהתאם לכך את מהימנותם ואמינותם</w:t>
      </w:r>
      <w:r>
        <w:rPr>
          <w:rtl w:val="true"/>
        </w:rPr>
        <w:t xml:space="preserve">, </w:t>
      </w:r>
      <w:r>
        <w:rPr>
          <w:rtl w:val="true"/>
        </w:rPr>
        <w:t>צדדים</w:t>
      </w:r>
      <w:r>
        <w:rPr>
          <w:rtl w:val="true"/>
        </w:rPr>
        <w:t xml:space="preserve">, </w:t>
      </w:r>
      <w:r>
        <w:rPr>
          <w:rtl w:val="true"/>
        </w:rPr>
        <w:t xml:space="preserve">ומהראיות והעדויות מטעמם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3.1.2021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20.10.2020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11.2.2021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8560/18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זבורוף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26.12.2018</w:t>
      </w:r>
      <w:r>
        <w:rPr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כלל 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כוחו יפה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גם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ביחס לעבירות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ובייחוד עבירות מין במשפחה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שכן לרוב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הרשעות מעין אל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מבוססות בעיקרן על עדויות הנפגע והפוגע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ועל התרשמות הערכאה הדיונית מאמינותן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10.11.2015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31.3.2021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11.8.2016</w:t>
      </w:r>
      <w:r>
        <w:rPr>
          <w:rtl w:val="true"/>
        </w:rPr>
        <w:t xml:space="preserve">)). </w:t>
      </w:r>
      <w:r>
        <w:rPr>
          <w:rtl w:val="true"/>
        </w:rPr>
        <w:t>המקרה בו עסקינן הוא דוגמא אופיינית לסוג זה של הכרעות דין</w:t>
      </w:r>
      <w:r>
        <w:rPr>
          <w:rtl w:val="true"/>
        </w:rPr>
        <w:t xml:space="preserve">, </w:t>
      </w:r>
      <w:r>
        <w:rPr>
          <w:rtl w:val="true"/>
        </w:rPr>
        <w:t>כאשר המערער לא הצליח להציג טעמים המצדיקים חריגה מכלל אי</w:t>
      </w:r>
      <w:r>
        <w:rPr>
          <w:rtl w:val="true"/>
        </w:rPr>
        <w:t>-</w:t>
      </w:r>
      <w:r>
        <w:rPr>
          <w:rtl w:val="true"/>
        </w:rPr>
        <w:t>ההתערבות של ערכאת הערעור בממצאי עובדה המבוססים על קביעות מהימנות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בית המשפט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קמא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קבע בהכרעת הדין כי עדות המתלוננת לפניו 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יתה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קוהרנטית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יציבה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ברורה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נחושה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ובוטחת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המבסס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המתוארים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האישום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עמוד </w:t>
      </w:r>
      <w:r>
        <w:rPr>
          <w:rFonts w:cs="FrankRuehl" w:ascii="FrankRuehl" w:hAnsi="FrankRuehl"/>
          <w:color w:val="000000"/>
          <w:sz w:val="28"/>
          <w:shd w:fill="FFFFFF" w:val="clear"/>
        </w:rPr>
        <w:t>14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להכרעת הדין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לעומת זאת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טוען המערער כי בית המשפט קמא התעלם מקשיים וסתירות בעדותה של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אחת הטענות המרכזיות היא כי האופן בו חשפה המתלוננת את מעשה האינוס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בדרך של חשיפה הדרגתית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המתלוננת סיפרה על כך רק כאשר התכנסו בני משפחתה בסלון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יש כדי להטיל ספק בדבר התרחשותו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כראיה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ביקש המערער להסתמך על עדויות בני משפחתה של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העידו כי למחרת מעשה האינוס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במהלך בילוי משפחתי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הבחינו בשינוי כלשהו במצבה הנפשי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tl w:val="true"/>
        </w:rPr>
        <w:t>טענות אלו נטענו בפני בית המשפט קמא</w:t>
      </w:r>
      <w:r>
        <w:rPr>
          <w:rtl w:val="true"/>
        </w:rPr>
        <w:t xml:space="preserve">, </w:t>
      </w:r>
      <w:r>
        <w:rPr>
          <w:rtl w:val="true"/>
        </w:rPr>
        <w:t>ונדונו בהרחבה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נקבע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תהליך חשיפה הדרגתי הינו תהליך ידוע ומקובל אצל קורבנות עבירות מין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ובפרט ב</w:t>
      </w:r>
      <w:r>
        <w:rPr>
          <w:rtl w:val="true"/>
        </w:rPr>
        <w:t>עבירות מין במשפחה</w:t>
      </w:r>
      <w:r>
        <w:rPr>
          <w:rtl w:val="true"/>
        </w:rPr>
        <w:t xml:space="preserve">, </w:t>
      </w:r>
      <w:r>
        <w:rPr>
          <w:rtl w:val="true"/>
        </w:rPr>
        <w:t xml:space="preserve">וזאת לאור ההשלכות הצפויות על התא המשפחתי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,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85</w:t>
      </w:r>
      <w:r>
        <w:rPr>
          <w:rtl w:val="true"/>
        </w:rPr>
        <w:t xml:space="preserve"> (</w:t>
      </w:r>
      <w:r>
        <w:rPr/>
        <w:t>20.10.2010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10163/08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13.9.2010</w:t>
      </w:r>
      <w:r>
        <w:rPr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כך גם נפסק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כי התנהגותה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הרגילה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של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היא התנהגות אופיינית ומוכרת בקרב </w:t>
      </w:r>
      <w:r>
        <w:rPr>
          <w:rtl w:val="true"/>
        </w:rPr>
        <w:t>נפגעי עבירות מין</w:t>
      </w:r>
      <w:r>
        <w:rPr>
          <w:rtl w:val="true"/>
        </w:rPr>
        <w:t xml:space="preserve">. </w:t>
      </w:r>
      <w:r>
        <w:rPr>
          <w:rtl w:val="true"/>
        </w:rPr>
        <w:t>בהקשר זה יוער</w:t>
      </w:r>
      <w:r>
        <w:rPr>
          <w:rtl w:val="true"/>
        </w:rPr>
        <w:t xml:space="preserve">, </w:t>
      </w:r>
      <w:r>
        <w:rPr>
          <w:rtl w:val="true"/>
        </w:rPr>
        <w:t>כי התנהלות זו אף מתיישבת עם עדותו של מדריך הנוער של המתלוננת</w:t>
      </w:r>
      <w:r>
        <w:rPr>
          <w:rtl w:val="true"/>
        </w:rPr>
        <w:t xml:space="preserve">, </w:t>
      </w:r>
      <w:r>
        <w:rPr>
          <w:rtl w:val="true"/>
        </w:rPr>
        <w:t>אשר העיד כי לאחר שסיפרה לו המתלוננת על שאירע ובעודה נסערת</w:t>
      </w:r>
      <w:r>
        <w:rPr>
          <w:rtl w:val="true"/>
        </w:rPr>
        <w:t xml:space="preserve">, </w:t>
      </w:r>
      <w:r>
        <w:rPr>
          <w:rtl w:val="true"/>
        </w:rPr>
        <w:t>הבחינה בחברותיה</w:t>
      </w:r>
      <w:r>
        <w:rPr>
          <w:rtl w:val="true"/>
        </w:rPr>
        <w:t xml:space="preserve">, </w:t>
      </w:r>
      <w:r>
        <w:rPr>
          <w:rtl w:val="true"/>
        </w:rPr>
        <w:t xml:space="preserve">ואזי מיד </w:t>
      </w:r>
      <w:r>
        <w:rPr>
          <w:rtl w:val="true"/>
        </w:rPr>
        <w:t>"</w:t>
      </w:r>
      <w:r>
        <w:rPr>
          <w:rtl w:val="true"/>
        </w:rPr>
        <w:t>התנתקה</w:t>
      </w:r>
      <w:r>
        <w:rPr>
          <w:rtl w:val="true"/>
        </w:rPr>
        <w:t xml:space="preserve">" </w:t>
      </w:r>
      <w:r>
        <w:rPr>
          <w:rtl w:val="true"/>
        </w:rPr>
        <w:t>והתנהגה כרגיל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מכל מקום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העובדה שהמתלוננת הפגינה התנהגות רגילה כלפי חוץ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אינה מלמדת על מה שהתחולל בנפשה פנימה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3273/09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פסקה כד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' (</w:t>
      </w:r>
      <w:r>
        <w:rPr>
          <w:rFonts w:cs="FrankRuehl" w:ascii="FrankRuehl" w:hAnsi="FrankRuehl"/>
          <w:color w:val="000000"/>
          <w:sz w:val="28"/>
          <w:shd w:fill="FFFFFF" w:val="clear"/>
        </w:rPr>
        <w:t>30.12.2010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9657/05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13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9.3.2009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)).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מצאתי ממש בטענת המערער לפיה בית המשפט קמא התעלם מראיות התומכות ומחזקות את עדותו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אין בידי לקבל את טענתו לפיה במהלך שיחת הטלפון שהתקיימה בינו ובין אמה של המתלוננת ביום </w:t>
      </w:r>
      <w:r>
        <w:rPr/>
        <w:t>27.7.2017</w:t>
      </w:r>
      <w:r>
        <w:rPr>
          <w:rtl w:val="true"/>
        </w:rPr>
        <w:t xml:space="preserve">, </w:t>
      </w:r>
      <w:r>
        <w:rPr>
          <w:rtl w:val="true"/>
        </w:rPr>
        <w:t xml:space="preserve">הדגיש בפניה המערער כי לא היו דברים מעולם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). </w:t>
      </w:r>
      <w:r>
        <w:rPr>
          <w:rtl w:val="true"/>
        </w:rPr>
        <w:t>טענה זו אינה עולה בקנה אחד עם התבטאויותיו המפלילות של המערער במהלך שיחת הטלפון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לשאלת אמה של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 xml:space="preserve">", </w:t>
      </w:r>
      <w:r>
        <w:rPr>
          <w:rtl w:val="true"/>
        </w:rPr>
        <w:t xml:space="preserve">השיב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יודעת</w:t>
      </w:r>
      <w:r>
        <w:rPr>
          <w:rtl w:val="true"/>
        </w:rPr>
        <w:t xml:space="preserve">", </w:t>
      </w:r>
      <w:r>
        <w:rPr>
          <w:rtl w:val="true"/>
        </w:rPr>
        <w:t>ומיד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הוסיף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משבר</w:t>
      </w:r>
      <w:r>
        <w:rPr>
          <w:rtl w:val="true"/>
        </w:rPr>
        <w:t xml:space="preserve">". </w:t>
      </w:r>
      <w:r>
        <w:rPr>
          <w:rtl w:val="true"/>
        </w:rPr>
        <w:t xml:space="preserve">גם את טענת המערער בכל הנוגע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לכך שבני משפחתה של המתלוננת תיאמו ביניהם גרסאות אין בידי לקבל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כקביעת בית המשפט קמא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לטענה זו אין כל בסיס ראייתי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ומכל מקום אין בה כדי להסביר עדויות אחרות בהן נמצאו חיזוקים לעדותה של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ובכללן עדות מדריך הנוער ועדות חברתה של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לא פגשו את בני משפחתה של המתלוננת וממילא לא נטען לגביהם כי תיאמו עדויות עימם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כך גם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הטענה אינה עולה בקנה אחד עם מסרון ששלחה המתלוננת למערער בערב האינוס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בטרם חשפה את המאורעות בפני בני משפחתה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ובו נכתב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כאמור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באופן דומה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אין בידי לקבל את טענת המערער לפיה המתלוננת פירשה לא נכון את מעשיו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לנוכח אופיו החם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מעדותה של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ניכר כי חשיפת המעשים הייתה קשה לה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וכי היא תיארה אותם ללא הפרזה ומתוך רצון לדייק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מסרה המתלוננת בחקירתה הנגדית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טענה בפי המערער</w:t>
      </w:r>
      <w:r>
        <w:rPr>
          <w:rtl w:val="true"/>
        </w:rPr>
        <w:t xml:space="preserve">, </w:t>
      </w:r>
      <w:r>
        <w:rPr>
          <w:rtl w:val="true"/>
        </w:rPr>
        <w:t>כי לא יעלה על הדעת שביצע במתלוננת עבירות מין בלא שאף אחד מבני המשפחה שם לב למעשיו</w:t>
      </w:r>
      <w:r>
        <w:rPr>
          <w:rtl w:val="true"/>
        </w:rPr>
        <w:t xml:space="preserve">, </w:t>
      </w:r>
      <w:r>
        <w:rPr>
          <w:rtl w:val="true"/>
        </w:rPr>
        <w:t>שבוצעו בהיותם בחדר</w:t>
      </w:r>
      <w:r>
        <w:rPr>
          <w:rtl w:val="true"/>
        </w:rPr>
        <w:t xml:space="preserve">, </w:t>
      </w:r>
      <w:r>
        <w:rPr>
          <w:rtl w:val="true"/>
        </w:rPr>
        <w:t>ולמצער בחדרים הסמוכים</w:t>
      </w:r>
      <w:r>
        <w:rPr>
          <w:rtl w:val="true"/>
        </w:rPr>
        <w:t xml:space="preserve">. </w:t>
      </w:r>
      <w:r>
        <w:rPr>
          <w:rtl w:val="true"/>
        </w:rPr>
        <w:t>גם טענה זו</w:t>
      </w:r>
      <w:r>
        <w:rPr>
          <w:rtl w:val="true"/>
        </w:rPr>
        <w:t xml:space="preserve">, </w:t>
      </w:r>
      <w:r>
        <w:rPr>
          <w:rtl w:val="true"/>
        </w:rPr>
        <w:t>הנשמעת לא אחת מפי נאשמים בעבירות מין במשפחה</w:t>
      </w:r>
      <w:r>
        <w:rPr>
          <w:rtl w:val="true"/>
        </w:rPr>
        <w:t xml:space="preserve">, </w:t>
      </w:r>
      <w:r>
        <w:rPr>
          <w:rtl w:val="true"/>
        </w:rPr>
        <w:t>אינה מלמדת על חפות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במקרה בו עסקינן ניתן ללמוד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מדברי המתלוננת בעדותה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 ניסה להסתיר את מעשיו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נכנס לחדרה של המתלוננת בשעות לילה מאוחרות</w:t>
      </w:r>
      <w:r>
        <w:rPr>
          <w:rtl w:val="true"/>
        </w:rPr>
        <w:t xml:space="preserve">, </w:t>
      </w:r>
      <w:r>
        <w:rPr>
          <w:rtl w:val="true"/>
        </w:rPr>
        <w:t>כאשר יתר בני המשפחה ישנו</w:t>
      </w:r>
      <w:r>
        <w:rPr>
          <w:rtl w:val="true"/>
        </w:rPr>
        <w:t xml:space="preserve">, </w:t>
      </w:r>
      <w:r>
        <w:rPr>
          <w:rtl w:val="true"/>
        </w:rPr>
        <w:t>ובכל פעם ששמע המערער רעשים בדירה</w:t>
      </w:r>
      <w:r>
        <w:rPr>
          <w:rtl w:val="true"/>
        </w:rPr>
        <w:t xml:space="preserve">, </w:t>
      </w:r>
      <w:r>
        <w:rPr>
          <w:rtl w:val="true"/>
        </w:rPr>
        <w:t>יצא מחדרה של המתלוננת</w:t>
      </w:r>
      <w:r>
        <w:rPr>
          <w:rtl w:val="true"/>
        </w:rPr>
        <w:t xml:space="preserve">, </w:t>
      </w:r>
      <w:r>
        <w:rPr>
          <w:rtl w:val="true"/>
        </w:rPr>
        <w:t>על מנת שלא לעורר חשד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מעדות אחיה של המתלוננת עולה</w:t>
      </w:r>
      <w:r>
        <w:rPr>
          <w:rtl w:val="true"/>
        </w:rPr>
        <w:t xml:space="preserve">, </w:t>
      </w:r>
      <w:r>
        <w:rPr>
          <w:rtl w:val="true"/>
        </w:rPr>
        <w:t>כי בערב אירוע האינוס</w:t>
      </w:r>
      <w:r>
        <w:rPr>
          <w:rtl w:val="true"/>
        </w:rPr>
        <w:t xml:space="preserve">, </w:t>
      </w:r>
      <w:r>
        <w:rPr>
          <w:rtl w:val="true"/>
        </w:rPr>
        <w:t>הבחין במערער עובר הלוך וחזור בחוסר נחת ליד חדרה של המתלוננת</w:t>
      </w:r>
      <w:r>
        <w:rPr>
          <w:rtl w:val="true"/>
        </w:rPr>
        <w:t xml:space="preserve">, </w:t>
      </w:r>
      <w:r>
        <w:rPr>
          <w:rtl w:val="true"/>
        </w:rPr>
        <w:t>ושאל למעשיו</w:t>
      </w:r>
      <w:r>
        <w:rPr>
          <w:rtl w:val="true"/>
        </w:rPr>
        <w:t xml:space="preserve">. </w:t>
      </w:r>
      <w:r>
        <w:rPr>
          <w:rtl w:val="true"/>
        </w:rPr>
        <w:t>עדויות אלה מספקות הסבר לתמיהה שמעלה המערער במקרה הקונקרטי</w:t>
      </w:r>
      <w:r>
        <w:rPr>
          <w:rtl w:val="true"/>
        </w:rPr>
        <w:t xml:space="preserve">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 xml:space="preserve">גם אם אניח כי המעשים המיוחסים למערער </w:t>
      </w:r>
      <w:r>
        <w:rPr>
          <w:rtl w:val="true"/>
        </w:rPr>
        <w:t>"</w:t>
      </w:r>
      <w:r>
        <w:rPr>
          <w:rtl w:val="true"/>
        </w:rPr>
        <w:t>אינם הגיוניים</w:t>
      </w:r>
      <w:r>
        <w:rPr>
          <w:rtl w:val="true"/>
        </w:rPr>
        <w:t xml:space="preserve">", </w:t>
      </w:r>
      <w:r>
        <w:rPr>
          <w:rtl w:val="true"/>
        </w:rPr>
        <w:t>לא היה בכך כדי להצדיק קביעה כי לא נעשו על ידו</w:t>
      </w:r>
      <w:r>
        <w:rPr>
          <w:rtl w:val="true"/>
        </w:rPr>
        <w:t xml:space="preserve">. </w:t>
      </w:r>
      <w:r>
        <w:rPr>
          <w:rtl w:val="true"/>
        </w:rPr>
        <w:t>הניסיון השיפוטי מלמד כי עבירות מין מתרחשות בנסיבות שונות ומשונות</w:t>
      </w:r>
      <w:r>
        <w:rPr>
          <w:rtl w:val="true"/>
        </w:rPr>
        <w:t xml:space="preserve">, </w:t>
      </w:r>
      <w:r>
        <w:rPr>
          <w:rtl w:val="true"/>
        </w:rPr>
        <w:t>ועל כן לא ניתן להכריע בין גרסאות המתלוננת והנאשם באמצעות מבחני סבירות והיגיון המניחים כי העבריין פועל כאדם מן היישוב</w:t>
      </w:r>
      <w:r>
        <w:rPr>
          <w:rtl w:val="true"/>
        </w:rPr>
        <w:t xml:space="preserve">. </w:t>
      </w:r>
      <w:r>
        <w:rPr>
          <w:rtl w:val="true"/>
        </w:rPr>
        <w:t>אומר זאת בלשון ברורה</w:t>
      </w:r>
      <w:r>
        <w:rPr>
          <w:rtl w:val="true"/>
        </w:rPr>
        <w:t xml:space="preserve">: </w:t>
      </w:r>
      <w:r>
        <w:rPr>
          <w:rtl w:val="true"/>
        </w:rPr>
        <w:t>עברייני מין אינם פועלים כ</w:t>
      </w:r>
      <w:r>
        <w:rPr>
          <w:rtl w:val="true"/>
        </w:rPr>
        <w:t>"</w:t>
      </w:r>
      <w:r>
        <w:rPr>
          <w:rtl w:val="true"/>
        </w:rPr>
        <w:t>אדם סביר</w:t>
      </w:r>
      <w:r>
        <w:rPr>
          <w:rtl w:val="true"/>
        </w:rPr>
        <w:t xml:space="preserve">", </w:t>
      </w:r>
      <w:r>
        <w:rPr>
          <w:rtl w:val="true"/>
        </w:rPr>
        <w:t xml:space="preserve">ועבירות מין מבוצעות בדרכים שאינן מתיישבות עם </w:t>
      </w:r>
      <w:r>
        <w:rPr>
          <w:rtl w:val="true"/>
        </w:rPr>
        <w:t>"</w:t>
      </w:r>
      <w:r>
        <w:rPr>
          <w:rtl w:val="true"/>
        </w:rPr>
        <w:t>השכל הישר</w:t>
      </w:r>
      <w:r>
        <w:rPr>
          <w:rtl w:val="true"/>
        </w:rPr>
        <w:t xml:space="preserve">". </w:t>
      </w:r>
      <w:r>
        <w:rPr>
          <w:rtl w:val="true"/>
        </w:rPr>
        <w:t xml:space="preserve">לפיכך עצם העובדה שאופן הפעולה המיוחס למערער בכתב האישום חושף אותו לסיכון </w:t>
      </w:r>
      <w:r>
        <w:rPr>
          <w:rtl w:val="true"/>
        </w:rPr>
        <w:t>"</w:t>
      </w:r>
      <w:r>
        <w:rPr>
          <w:rtl w:val="true"/>
        </w:rPr>
        <w:t>בלתי הגיוני</w:t>
      </w:r>
      <w:r>
        <w:rPr>
          <w:rtl w:val="true"/>
        </w:rPr>
        <w:t xml:space="preserve">" </w:t>
      </w:r>
      <w:r>
        <w:rPr>
          <w:rtl w:val="true"/>
        </w:rPr>
        <w:t>להיתפס</w:t>
      </w:r>
      <w:r>
        <w:rPr>
          <w:rtl w:val="true"/>
        </w:rPr>
        <w:t xml:space="preserve">, </w:t>
      </w:r>
      <w:r>
        <w:rPr>
          <w:rtl w:val="true"/>
        </w:rPr>
        <w:t>אינה יכולה ללמד כי הדברים לא התרחשו כפי שמעידה המתלוננת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כשמדובר בעבירות מין</w:t>
      </w:r>
      <w:r>
        <w:rPr>
          <w:rtl w:val="true"/>
        </w:rPr>
        <w:t xml:space="preserve">, </w:t>
      </w:r>
      <w:r>
        <w:rPr>
          <w:rtl w:val="true"/>
        </w:rPr>
        <w:t>לא כל שכן בעבירות מין בתוך המשפחה</w:t>
      </w:r>
      <w:r>
        <w:rPr>
          <w:rtl w:val="true"/>
        </w:rPr>
        <w:t xml:space="preserve">, </w:t>
      </w:r>
      <w:r>
        <w:rPr>
          <w:rtl w:val="true"/>
        </w:rPr>
        <w:t>המציאות עולה על כל הגיון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ביקש כי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יזוכה מרשהו מעבירת האינוס</w:t>
      </w:r>
      <w:r>
        <w:rPr>
          <w:rtl w:val="true"/>
        </w:rPr>
        <w:t xml:space="preserve">, </w:t>
      </w:r>
      <w:r>
        <w:rPr>
          <w:rtl w:val="true"/>
        </w:rPr>
        <w:t>וזאת לאור קשיים שהוא מוצא בראיות המתייחסות לסעיף אישום זה</w:t>
      </w:r>
      <w:r>
        <w:rPr>
          <w:rtl w:val="true"/>
        </w:rPr>
        <w:t xml:space="preserve">: </w:t>
      </w:r>
      <w:r>
        <w:rPr>
          <w:rtl w:val="true"/>
        </w:rPr>
        <w:t>התנהגותה השגרתית של המתלוננת בימים שלאחר האירוע עד לחשיפה</w:t>
      </w:r>
      <w:r>
        <w:rPr>
          <w:rtl w:val="true"/>
        </w:rPr>
        <w:t xml:space="preserve">; </w:t>
      </w:r>
      <w:r>
        <w:rPr>
          <w:rtl w:val="true"/>
        </w:rPr>
        <w:t>החשיפה המאוחרת של מעשה האינוס</w:t>
      </w:r>
      <w:r>
        <w:rPr>
          <w:rtl w:val="true"/>
        </w:rPr>
        <w:t xml:space="preserve">; </w:t>
      </w:r>
      <w:r>
        <w:rPr>
          <w:rtl w:val="true"/>
        </w:rPr>
        <w:t>העדר ממצא בבדיקה הפתולוגית שנערכה למתלוננת</w:t>
      </w:r>
      <w:r>
        <w:rPr>
          <w:rtl w:val="true"/>
        </w:rPr>
        <w:t xml:space="preserve">. </w:t>
      </w:r>
      <w:r>
        <w:rPr>
          <w:rtl w:val="true"/>
        </w:rPr>
        <w:t>אינני רואה מקום לקבל קו טיעון זה</w:t>
      </w:r>
      <w:r>
        <w:rPr>
          <w:rtl w:val="true"/>
        </w:rPr>
        <w:t xml:space="preserve">. </w:t>
      </w:r>
      <w:r>
        <w:rPr>
          <w:rtl w:val="true"/>
        </w:rPr>
        <w:t xml:space="preserve">לעיקר הקשיים הללו התייחסתי לעיל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ועל הדברים הללו אוסיף כי בנסיבות המקרה</w:t>
      </w:r>
      <w:r>
        <w:rPr>
          <w:rtl w:val="true"/>
        </w:rPr>
        <w:t xml:space="preserve">, </w:t>
      </w:r>
      <w:r>
        <w:rPr>
          <w:rtl w:val="true"/>
        </w:rPr>
        <w:t>העדר ממצא פתולוגי איננו יכול לשלול את המיוחס למערער</w:t>
      </w:r>
      <w:r>
        <w:rPr>
          <w:rtl w:val="true"/>
        </w:rPr>
        <w:t xml:space="preserve">. </w:t>
      </w:r>
      <w:r>
        <w:rPr>
          <w:rtl w:val="true"/>
        </w:rPr>
        <w:t>המסקנה מחולשת הקשיים הללו היא שאין בענייננו יסוד סביר לאבחנה בין חלקי גרסתה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ולפיכך לא קיים בסיס מספיק לערוך </w:t>
      </w:r>
      <w:r>
        <w:rPr>
          <w:rtl w:val="true"/>
        </w:rPr>
        <w:t>"</w:t>
      </w:r>
      <w:r>
        <w:rPr>
          <w:rtl w:val="true"/>
        </w:rPr>
        <w:t>פלגינן דיבורא</w:t>
      </w:r>
      <w:r>
        <w:rPr>
          <w:rtl w:val="true"/>
        </w:rPr>
        <w:t xml:space="preserve">"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 xml:space="preserve">בוודאי לא על ידי ערכאת הערעור </w:t>
      </w:r>
      <w:r>
        <w:rPr>
          <w:rtl w:val="true"/>
        </w:rPr>
        <w:t>(</w:t>
      </w:r>
      <w:r>
        <w:rPr>
          <w:rtl w:val="true"/>
        </w:rPr>
        <w:t xml:space="preserve">השוו ואבחנו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19-14</w:t>
      </w:r>
      <w:r>
        <w:rPr>
          <w:rtl w:val="true"/>
        </w:rPr>
        <w:t xml:space="preserve"> (</w:t>
      </w:r>
      <w:r>
        <w:rPr/>
        <w:t>20.5.2021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קו טיעון אחרון שהעלה המערער עניינו מחדלי חקירה של המשטרה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על מנת לבסס ספק סביר ולהביא לזיכויו של המערער נדרש מחדל מהותי המקפח את הגנתו והיורד לשורש העניין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5073/11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12.11.2014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המחדלים להם טוען המערער נבחנו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אשר קבע כי אין בהם כל ממש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קבע בית המשפט קמא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כי לא נפל פגם בהימנעות המשטרה מלחקור את סבתה של המתלוננת</w:t>
      </w:r>
      <w:r>
        <w:rPr>
          <w:rtl w:val="true"/>
        </w:rPr>
        <w:t xml:space="preserve">, </w:t>
      </w:r>
      <w:r>
        <w:rPr>
          <w:rtl w:val="true"/>
        </w:rPr>
        <w:t>בהתחשב בכך שזו חולה בדמנציה ובאלצהיימר</w:t>
      </w:r>
      <w:r>
        <w:rPr>
          <w:rtl w:val="true"/>
        </w:rPr>
        <w:t xml:space="preserve">, </w:t>
      </w:r>
      <w:r>
        <w:rPr>
          <w:rtl w:val="true"/>
        </w:rPr>
        <w:t>ומשכך חקירתה לא הייתה אפקטיבית ממילא</w:t>
      </w:r>
      <w:r>
        <w:rPr>
          <w:rtl w:val="true"/>
        </w:rPr>
        <w:t xml:space="preserve">. </w:t>
      </w:r>
      <w:r>
        <w:rPr>
          <w:rtl w:val="true"/>
        </w:rPr>
        <w:t>בנוגע לכך ששתי חברותיה של המתלוננת לא נחקרו</w:t>
      </w:r>
      <w:r>
        <w:rPr>
          <w:rtl w:val="true"/>
        </w:rPr>
        <w:t xml:space="preserve">, </w:t>
      </w:r>
      <w:r>
        <w:rPr>
          <w:rtl w:val="true"/>
        </w:rPr>
        <w:t>נפסק כי ישנן עדויות רבות נוספות אודות מצבה הנפשי בחודשים שחלפו מאז החל המערער לבצע את מעשיו במתלוננת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דברי אמה של המתלוננת</w:t>
      </w:r>
      <w:r>
        <w:rPr>
          <w:rtl w:val="true"/>
        </w:rPr>
        <w:t xml:space="preserve">, </w:t>
      </w:r>
      <w:r>
        <w:rPr>
          <w:rtl w:val="true"/>
        </w:rPr>
        <w:t>אשר מסרה כי בחודשים שחלפו עובר לחשיפת המעשים</w:t>
      </w:r>
      <w:r>
        <w:rPr>
          <w:rtl w:val="true"/>
        </w:rPr>
        <w:t xml:space="preserve">, </w:t>
      </w:r>
      <w:r>
        <w:rPr>
          <w:rtl w:val="true"/>
        </w:rPr>
        <w:t>הבחינה כי בימי שישי בהם הייתה מתכנסת המשפחה לארוחה משותפת</w:t>
      </w:r>
      <w:r>
        <w:rPr>
          <w:rtl w:val="true"/>
        </w:rPr>
        <w:t xml:space="preserve">, </w:t>
      </w:r>
      <w:r>
        <w:rPr>
          <w:rtl w:val="true"/>
        </w:rPr>
        <w:t>נהגה המתלוננת להתפרץ בבכי</w:t>
      </w:r>
      <w:r>
        <w:rPr>
          <w:rtl w:val="true"/>
        </w:rPr>
        <w:t xml:space="preserve">, </w:t>
      </w:r>
      <w:r>
        <w:rPr>
          <w:rtl w:val="true"/>
        </w:rPr>
        <w:t>ללא כל סיבה נראית לעין</w:t>
      </w:r>
      <w:r>
        <w:rPr>
          <w:rtl w:val="true"/>
        </w:rPr>
        <w:t xml:space="preserve">, </w:t>
      </w:r>
      <w:r>
        <w:rPr>
          <w:rtl w:val="true"/>
        </w:rPr>
        <w:t>ולהסתגר בחדרה</w:t>
      </w:r>
      <w:r>
        <w:rPr>
          <w:rtl w:val="true"/>
        </w:rPr>
        <w:t xml:space="preserve">, </w:t>
      </w:r>
      <w:r>
        <w:rPr>
          <w:rtl w:val="true"/>
        </w:rPr>
        <w:t>אם כי את הסיבה לכך הבינה רק בדיעבד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טענת המערער לפיה לא בוצע חיפוש בהיסטוריית המחיקות במכשיר הטלפון של המתלוננת</w:t>
      </w:r>
      <w:r>
        <w:rPr>
          <w:rtl w:val="true"/>
        </w:rPr>
        <w:t xml:space="preserve">, </w:t>
      </w:r>
      <w:r>
        <w:rPr>
          <w:rtl w:val="true"/>
        </w:rPr>
        <w:t>ומשכך נמנעה יכולתו של המערער לחשוף את המסרון בו שיתפה המתלוננת את המערער ברגשותיה כלפיו</w:t>
      </w:r>
      <w:r>
        <w:rPr>
          <w:rtl w:val="true"/>
        </w:rPr>
        <w:t xml:space="preserve">, </w:t>
      </w:r>
      <w:r>
        <w:rPr>
          <w:rtl w:val="true"/>
        </w:rPr>
        <w:t>נסתרה אף היא</w:t>
      </w:r>
      <w:r>
        <w:rPr>
          <w:rtl w:val="true"/>
        </w:rPr>
        <w:t xml:space="preserve">, </w:t>
      </w:r>
      <w:r>
        <w:rPr>
          <w:rtl w:val="true"/>
        </w:rPr>
        <w:t>שכן לו היו קיימות</w:t>
      </w:r>
      <w:r>
        <w:rPr>
          <w:rtl w:val="true"/>
        </w:rPr>
        <w:t xml:space="preserve">, </w:t>
      </w:r>
      <w:r>
        <w:rPr>
          <w:rtl w:val="true"/>
        </w:rPr>
        <w:t xml:space="preserve">הרי שהודעות אלו היו עולות במסגרת החיפוש שנערך במכשיר הטלפון של המערער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הוא היה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הנמען של ההודעות הללו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FrankRuehl"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לנוכח כל המקובץ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לא מצאתי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 הצביע על טעות בהכרעת דינו של בית המשפט קמא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מדובר בהכרעת דין המבוססת כדבעי 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התרשמות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 של הערכאה הדיונית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מעדויותיהם של המתלוננת ושל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על הראיות התומכות שהובאו על ידי המאשימה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על מכלול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חומר הראיות שהוצג לפני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בית המשפט קמא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tl w:val="true"/>
        </w:rPr>
        <w:t>ככזו</w:t>
      </w:r>
      <w:r>
        <w:rPr>
          <w:rtl w:val="true"/>
        </w:rPr>
        <w:t xml:space="preserve">, </w:t>
      </w:r>
      <w:r>
        <w:rPr>
          <w:rtl w:val="true"/>
        </w:rPr>
        <w:t>לא קמה עילה להתערבות ערכאת הערעור בה</w:t>
      </w:r>
      <w:r>
        <w:rPr>
          <w:rtl w:val="true"/>
        </w:rPr>
        <w:t xml:space="preserve">, </w:t>
      </w:r>
      <w:r>
        <w:rPr>
          <w:rtl w:val="true"/>
        </w:rPr>
        <w:t>ועל כן אציע לחבריי לדחות את הערעור שהוגש ביחס אליה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כלל ידוע הוא שערכאת הערעור אינה נוטה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שבהן העונש חורג באופן קיצוני מהענישה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טעות בולטת בגזר הדין </w:t>
      </w:r>
      <w:r>
        <w:rPr>
          <w:rtl w:val="true"/>
        </w:rPr>
        <w:t>(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b/>
          <w:b/>
          <w:spacing w:val="0"/>
          <w:rtl w:val="true"/>
        </w:rPr>
        <w:t xml:space="preserve">פסקה </w:t>
      </w:r>
      <w:r>
        <w:rPr>
          <w:b/>
          <w:spacing w:val="0"/>
        </w:rPr>
        <w:t>43</w:t>
      </w:r>
      <w:r>
        <w:rPr>
          <w:b/>
          <w:spacing w:val="0"/>
          <w:rtl w:val="true"/>
        </w:rPr>
        <w:t xml:space="preserve"> (</w:t>
      </w:r>
      <w:r>
        <w:rPr>
          <w:b/>
          <w:spacing w:val="0"/>
        </w:rPr>
        <w:t>20.10.2020</w:t>
      </w:r>
      <w:r>
        <w:rPr>
          <w:b/>
          <w:spacing w:val="0"/>
          <w:rtl w:val="true"/>
        </w:rPr>
        <w:t xml:space="preserve">); </w:t>
      </w:r>
      <w:hyperlink r:id="rId36">
        <w:r>
          <w:rPr>
            <w:rStyle w:val="Hyperlink"/>
            <w:b/>
            <w:b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b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b/>
            <w:b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spacing w:val="0"/>
            <w:u w:val="single"/>
          </w:rPr>
          <w:t>7474/19</w:t>
        </w:r>
      </w:hyperlink>
      <w:r>
        <w:rPr>
          <w:b/>
          <w:spacing w:val="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b/>
          <w:spacing w:val="0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b/>
          <w:b/>
          <w:spacing w:val="0"/>
          <w:rtl w:val="true"/>
        </w:rPr>
        <w:t xml:space="preserve">פסקה </w:t>
      </w:r>
      <w:r>
        <w:rPr>
          <w:b/>
          <w:spacing w:val="0"/>
        </w:rPr>
        <w:t>27</w:t>
      </w:r>
      <w:r>
        <w:rPr>
          <w:b/>
          <w:spacing w:val="0"/>
          <w:rtl w:val="true"/>
        </w:rPr>
        <w:t xml:space="preserve"> (</w:t>
      </w:r>
      <w:r>
        <w:rPr>
          <w:b/>
          <w:spacing w:val="0"/>
        </w:rPr>
        <w:t>12.7.2020</w:t>
      </w:r>
      <w:r>
        <w:rPr>
          <w:b/>
          <w:spacing w:val="0"/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18.6.2020</w:t>
      </w:r>
      <w:r>
        <w:rPr>
          <w:rtl w:val="true"/>
        </w:rPr>
        <w:t xml:space="preserve">); 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6962/17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24.8.2020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מצאתי כי המקרה דנן נמנה עם אותם מקרים חריגים המצדיקים התערבות כאמו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משפט זה עמד לא אחת על </w:t>
      </w:r>
      <w:r>
        <w:rPr>
          <w:rtl w:val="true"/>
        </w:rPr>
        <w:t>החומרה היתרה הגלומה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 מין</w:t>
      </w:r>
      <w:r>
        <w:rPr>
          <w:rtl w:val="true"/>
        </w:rPr>
        <w:t xml:space="preserve"> כלפי קטינים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(</w:t>
      </w:r>
      <w:r>
        <w:rPr/>
        <w:t>29.7.2020</w:t>
      </w:r>
      <w:r>
        <w:rPr>
          <w:rtl w:val="true"/>
        </w:rPr>
        <w:t xml:space="preserve">)), </w:t>
      </w:r>
      <w:r>
        <w:rPr>
          <w:rtl w:val="true"/>
        </w:rPr>
        <w:t xml:space="preserve">וביתר שאת כאשר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העבירות מבוצעות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בידי בן משפחה – תוך ניצול לרעה של הקרבה הפיזית והנפשית ושל האמון השורר במסגרת התא המשפחתי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(</w:t>
      </w:r>
      <w:r>
        <w:rPr/>
        <w:t>18.11.2012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4.7.2007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11.1.2016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במקרה שלפנינו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אדם מבוגר כבן </w:t>
      </w:r>
      <w:r>
        <w:rPr>
          <w:rFonts w:cs="FrankRuehl" w:ascii="FrankRuehl" w:hAnsi="FrankRuehl"/>
          <w:color w:val="000000"/>
          <w:sz w:val="28"/>
          <w:shd w:fill="FFFFFF" w:val="clear"/>
        </w:rPr>
        <w:t>35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ניצל את תמימותה של אח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ותה הקטינה של אשתו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בעת שהייתה ילדה כבת </w:t>
      </w:r>
      <w:r>
        <w:rPr>
          <w:rFonts w:cs="FrankRuehl" w:ascii="FrankRuehl" w:hAnsi="FrankRuehl"/>
          <w:color w:val="000000"/>
          <w:sz w:val="28"/>
          <w:shd w:fill="FFFFFF" w:val="clear"/>
        </w:rPr>
        <w:t>14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שנים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ובמשך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כשנה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נהג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לבצע בה מעשים מגונים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וכל זאת במקום שהייתה אמורה להרגיש בטוחה ביותר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בחדרה בבית הוריה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מעשיו של המערער הגיעו לשיאם כאשר ביצע במתלוננת מעשה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אינוס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בעת שהייתה כבת </w:t>
      </w:r>
      <w:r>
        <w:rPr>
          <w:rFonts w:cs="FrankRuehl" w:ascii="FrankRuehl" w:hAnsi="FrankRuehl"/>
          <w:color w:val="000000"/>
          <w:sz w:val="28"/>
          <w:shd w:fill="FFFFFF" w:val="clear"/>
        </w:rPr>
        <w:t>15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בלבד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tl w:val="true"/>
        </w:rPr>
        <w:t>המערער לבטח היה מודע לפוטנציאל הנזק העצום הטמון במעשיו</w:t>
      </w:r>
      <w:r>
        <w:rPr>
          <w:rtl w:val="true"/>
        </w:rPr>
        <w:t xml:space="preserve">, </w:t>
      </w:r>
      <w:r>
        <w:rPr>
          <w:rtl w:val="true"/>
        </w:rPr>
        <w:t>ולמרות זאת שב ופגע במתלוננת במשך שנה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כפי שעולה מתסקיר נפגעת העבירה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מעשיו החמורים של המערער הסבו למתלוננת ולמשפחתה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נזק נפשי קשה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אשר ימשיך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ללוותם תקופה ארוכה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 אף לא הודה ולא חסך מהמתלוננת את עוגמת הנפש הכרוכה בהבאתה לעדות בהליך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לצד זאת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עמד בית המשפט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קמא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על אורח החיים הנורמטיבי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ניהל המערער עובר למעצרו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הפגיעה 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משפחת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לנוכח האמור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הגם שהעונש שנגזר על המערער </w:t>
      </w:r>
      <w:r>
        <w:rPr>
          <w:shd w:fill="FFFFFF" w:val="clear"/>
          <w:rtl w:val="true"/>
        </w:rPr>
        <w:t>איננו מן הקלים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הרי בהינתן שמעשי המערער חרגו מגדר מעשים מגונים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והגיעו לכדי אינוס בת משפחה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אין בו משום חריגה </w:t>
      </w:r>
      <w:r>
        <w:rPr>
          <w:shd w:fill="FFFFFF" w:val="clear"/>
          <w:rtl w:val="true"/>
        </w:rPr>
        <w:t xml:space="preserve">בולטת </w:t>
      </w:r>
      <w:r>
        <w:rPr>
          <w:shd w:fill="FFFFFF" w:val="clear"/>
          <w:rtl w:val="true"/>
        </w:rPr>
        <w:t>ממדיניות הענישה המקובלת במקרים בעלי מאפיינים דומים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כזו </w:t>
      </w:r>
      <w:r>
        <w:rPr>
          <w:shd w:fill="FFFFFF" w:val="clear"/>
          <w:rtl w:val="true"/>
        </w:rPr>
        <w:t>המצדיקה את התערבותנו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השוואה</w:t>
      </w:r>
      <w:r>
        <w:rPr>
          <w:rFonts w:cs="Century" w:ascii="Century" w:hAnsi="Century"/>
          <w:rtl w:val="true"/>
        </w:rPr>
        <w:t xml:space="preserve">,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2251/14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12.2.2015</w:t>
      </w:r>
      <w:r>
        <w:rPr>
          <w:rFonts w:cs="Century" w:ascii="Century" w:hAnsi="Century"/>
          <w:rtl w:val="true"/>
        </w:rPr>
        <w:t xml:space="preserve">); 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9286/06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29.11.2007</w:t>
      </w:r>
      <w:r>
        <w:rPr>
          <w:rFonts w:cs="Century" w:ascii="Century" w:hAnsi="Century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5221/13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27.10.2014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בהם הוטלו עונשים קרובים בגין הרשעות בביצוע מעשים מגונים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גם הטענה לחריגה ממתחם העונש משיקולי שיקום אינה מגלה עילה להתערבות</w:t>
      </w:r>
      <w:r>
        <w:rPr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לאחר עיון בתסקיר שירות המבחן בעניינו של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לא ניתן לומר כי מתקיימים במערער התנאים הקבועים </w:t>
      </w:r>
      <w:hyperlink r:id="rId47"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  <w:shd w:fill="FFFFFF" w:val="clear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>ד</w:t>
        </w:r>
        <w:r>
          <w:rPr>
            <w:rStyle w:val="Hyperlink"/>
            <w:rFonts w:cs="Century" w:ascii="Century" w:hAnsi="Century"/>
            <w:sz w:val="22"/>
            <w:shd w:fill="FFFFFF" w:val="clear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shd w:fill="FFFFFF" w:val="clear"/>
            <w:rtl w:val="true"/>
          </w:rPr>
          <w:t>)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ל</w:t>
      </w:r>
      <w:r>
        <w:rPr>
          <w:rFonts w:ascii="Century" w:hAnsi="Century" w:cs="Century"/>
          <w:shd w:fill="FFFFFF" w:val="clear"/>
          <w:rtl w:val="true"/>
        </w:rPr>
        <w:t>חוק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היינו כי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השתקם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סיכוי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שישתקם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כך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הגם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שאין לזקוף לחובת המערער את עמידתו על הזכות לניהול הליך משפטי מלא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יש לציין כי 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 לא נטל אחריות על מעשיו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לא הביע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חרטה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ואף לא שילם עדיין את עיקר סכום הפיצויים שנגזר עליו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זו אף זו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 תופס עצמו כקורבן הנסיבות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ומשליך את האחריות למצבו על המתלוננת ואשתו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כפי שעולה משני תסקירי שירות המבחן שנערכו בעניינו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במצב דברים זה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ובשים לב לכך שהמערער לא החל בהליך שיקומי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ושירות המבחן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 התרשם מיכולת נמוכה לשינוי ולשיקום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ואף נמנע מהמלצה טיפולית בעניינו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סבורני כי אין מקום לחרוג לקולה ממתחם הענישה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971/21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אמאצ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12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31.3.2021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3102/14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21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17.11.2014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8700/18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22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16.4.2019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))</w:t>
      </w:r>
      <w:r>
        <w:rPr>
          <w:rFonts w:cs="Century" w:ascii="Century" w:hAnsi="Century"/>
          <w:sz w:val="22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דבר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: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אציע לחבריי לדחות את הערעור על שני חלקיו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1"/>
        <w:shd w:fill="FFFFFF" w:val="clear"/>
        <w:bidi w:val="1"/>
        <w:spacing w:before="0" w:after="0"/>
        <w:ind w:end="0"/>
        <w:jc w:val="start"/>
        <w:rPr>
          <w:color w:val="000000"/>
          <w:spacing w:val="10"/>
          <w:sz w:val="22"/>
          <w:szCs w:val="22"/>
        </w:rPr>
      </w:pPr>
      <w:r>
        <w:rPr>
          <w:rFonts w:cs="Miriam"/>
          <w:color w:val="000000"/>
          <w:spacing w:val="10"/>
          <w:u w:val="single"/>
          <w:rtl w:val="true"/>
        </w:rPr>
        <w:t>המשנה</w:t>
      </w:r>
      <w:r>
        <w:rPr>
          <w:color w:val="000000"/>
          <w:spacing w:val="10"/>
          <w:u w:val="single"/>
          <w:rtl w:val="true"/>
        </w:rPr>
        <w:t xml:space="preserve"> </w:t>
      </w:r>
      <w:r>
        <w:rPr>
          <w:rFonts w:cs="Miriam"/>
          <w:color w:val="000000"/>
          <w:spacing w:val="10"/>
          <w:u w:val="single"/>
          <w:rtl w:val="true"/>
        </w:rPr>
        <w:t>לנשיאה</w:t>
      </w:r>
      <w:r>
        <w:rPr>
          <w:color w:val="000000"/>
          <w:spacing w:val="10"/>
          <w:u w:val="single"/>
          <w:rtl w:val="true"/>
        </w:rPr>
        <w:t xml:space="preserve"> </w:t>
      </w:r>
      <w:r>
        <w:rPr>
          <w:rFonts w:cs="Miriam"/>
          <w:color w:val="000000"/>
          <w:spacing w:val="10"/>
          <w:u w:val="single"/>
          <w:rtl w:val="true"/>
        </w:rPr>
        <w:t>נ</w:t>
      </w:r>
      <w:r>
        <w:rPr>
          <w:rFonts w:cs="Miriam"/>
          <w:color w:val="000000"/>
          <w:spacing w:val="10"/>
          <w:u w:val="single"/>
          <w:rtl w:val="true"/>
        </w:rPr>
        <w:t xml:space="preserve">' </w:t>
      </w:r>
      <w:r>
        <w:rPr>
          <w:rFonts w:cs="Miriam"/>
          <w:color w:val="000000"/>
          <w:spacing w:val="10"/>
          <w:u w:val="single"/>
          <w:rtl w:val="true"/>
        </w:rPr>
        <w:t>הנדל</w:t>
      </w:r>
      <w:r>
        <w:rPr>
          <w:rFonts w:cs="Miriam"/>
          <w:color w:val="000000"/>
          <w:spacing w:val="10"/>
          <w:u w:val="single"/>
          <w:rtl w:val="true"/>
        </w:rPr>
        <w:t>: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bidi w:val="1"/>
        <w:spacing w:lineRule="atLeast" w:line="330" w:before="0" w:after="0"/>
        <w:ind w:firstLine="720"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cs="Arial TUR;Arial"/>
          <w:color w:val="000000"/>
          <w:spacing w:val="10"/>
          <w:sz w:val="22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782"/>
        <w:gridCol w:w="2799"/>
      </w:tblGrid>
      <w:tr>
        <w:trPr/>
        <w:tc>
          <w:tcPr>
            <w:tcW w:w="278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1"/>
        <w:shd w:fill="FFFFFF" w:val="clear"/>
        <w:bidi w:val="1"/>
        <w:spacing w:before="0" w:after="0"/>
        <w:ind w:end="0"/>
        <w:jc w:val="start"/>
        <w:rPr>
          <w:color w:val="000000"/>
          <w:spacing w:val="10"/>
          <w:sz w:val="22"/>
          <w:szCs w:val="22"/>
        </w:rPr>
      </w:pPr>
      <w:r>
        <w:rPr>
          <w:rFonts w:cs="Miriam"/>
          <w:color w:val="000000"/>
          <w:spacing w:val="10"/>
          <w:u w:val="single"/>
          <w:rtl w:val="true"/>
        </w:rPr>
        <w:t>השופט</w:t>
      </w:r>
      <w:r>
        <w:rPr>
          <w:color w:val="000000"/>
          <w:spacing w:val="10"/>
          <w:u w:val="single"/>
          <w:rtl w:val="true"/>
        </w:rPr>
        <w:t xml:space="preserve"> </w:t>
      </w:r>
      <w:r>
        <w:rPr>
          <w:rFonts w:cs="Miriam"/>
          <w:color w:val="000000"/>
          <w:spacing w:val="10"/>
          <w:u w:val="single"/>
          <w:rtl w:val="true"/>
        </w:rPr>
        <w:t>נ</w:t>
      </w:r>
      <w:r>
        <w:rPr>
          <w:rFonts w:cs="Miriam"/>
          <w:color w:val="000000"/>
          <w:spacing w:val="10"/>
          <w:u w:val="single"/>
          <w:rtl w:val="true"/>
        </w:rPr>
        <w:t xml:space="preserve">' </w:t>
      </w:r>
      <w:r>
        <w:rPr>
          <w:rFonts w:cs="Miriam"/>
          <w:color w:val="000000"/>
          <w:spacing w:val="10"/>
          <w:u w:val="single"/>
          <w:rtl w:val="true"/>
        </w:rPr>
        <w:t>סולברג</w:t>
      </w:r>
      <w:r>
        <w:rPr>
          <w:rFonts w:cs="Miriam"/>
          <w:color w:val="000000"/>
          <w:spacing w:val="10"/>
          <w:u w:val="single"/>
          <w:rtl w:val="true"/>
        </w:rPr>
        <w:t>:</w:t>
      </w:r>
    </w:p>
    <w:p>
      <w:pPr>
        <w:pStyle w:val="Ruller41"/>
        <w:ind w:end="0"/>
        <w:jc w:val="both"/>
        <w:rPr>
          <w:color w:val="000000"/>
          <w:spacing w:val="10"/>
          <w:sz w:val="22"/>
          <w:szCs w:val="22"/>
        </w:rPr>
      </w:pPr>
      <w:r>
        <w:rPr>
          <w:color w:val="000000"/>
          <w:spacing w:val="10"/>
          <w:sz w:val="22"/>
          <w:szCs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אשר על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הוחלט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על דחיית הערעור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כאמור בפסק דינו של השופ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ט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גרוסקופף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22.8.2021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המשנה לנשיאה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20058320</w:t>
      </w:r>
      <w:r>
        <w:rPr>
          <w:sz w:val="16"/>
          <w:rtl w:val="true"/>
        </w:rPr>
        <w:t>_</w:t>
      </w:r>
      <w:r>
        <w:rPr>
          <w:sz w:val="16"/>
        </w:rPr>
        <w:t>Y06.docx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מח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סולברג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54678313-5832/20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5832/20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bodyverdict1">
    <w:name w:val="bodyverdict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131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5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51.a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/351.c.3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case/22913127" TargetMode="External"/><Relationship Id="rId13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51.c.2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51.c.3" TargetMode="External"/><Relationship Id="rId20" Type="http://schemas.openxmlformats.org/officeDocument/2006/relationships/hyperlink" Target="http://www.nevo.co.il/law/70301/351.c.3" TargetMode="External"/><Relationship Id="rId21" Type="http://schemas.openxmlformats.org/officeDocument/2006/relationships/hyperlink" Target="http://www.nevo.co.il/law/70301/35" TargetMode="External"/><Relationship Id="rId22" Type="http://schemas.openxmlformats.org/officeDocument/2006/relationships/hyperlink" Target="http://www.nevo.co.il/case/26142559" TargetMode="External"/><Relationship Id="rId23" Type="http://schemas.openxmlformats.org/officeDocument/2006/relationships/hyperlink" Target="http://www.nevo.co.il/case/25481020" TargetMode="External"/><Relationship Id="rId24" Type="http://schemas.openxmlformats.org/officeDocument/2006/relationships/hyperlink" Target="http://www.nevo.co.il/case/26518589" TargetMode="External"/><Relationship Id="rId25" Type="http://schemas.openxmlformats.org/officeDocument/2006/relationships/hyperlink" Target="http://www.nevo.co.il/case/25202729" TargetMode="External"/><Relationship Id="rId26" Type="http://schemas.openxmlformats.org/officeDocument/2006/relationships/hyperlink" Target="http://www.nevo.co.il/case/20028610" TargetMode="External"/><Relationship Id="rId27" Type="http://schemas.openxmlformats.org/officeDocument/2006/relationships/hyperlink" Target="http://www.nevo.co.il/case/26538274" TargetMode="External"/><Relationship Id="rId28" Type="http://schemas.openxmlformats.org/officeDocument/2006/relationships/hyperlink" Target="http://www.nevo.co.il/case/20622775" TargetMode="External"/><Relationship Id="rId29" Type="http://schemas.openxmlformats.org/officeDocument/2006/relationships/hyperlink" Target="http://www.nevo.co.il/case/6246452" TargetMode="External"/><Relationship Id="rId30" Type="http://schemas.openxmlformats.org/officeDocument/2006/relationships/hyperlink" Target="http://www.nevo.co.il/case/6243136" TargetMode="External"/><Relationship Id="rId31" Type="http://schemas.openxmlformats.org/officeDocument/2006/relationships/hyperlink" Target="http://www.nevo.co.il/case/6244821" TargetMode="External"/><Relationship Id="rId32" Type="http://schemas.openxmlformats.org/officeDocument/2006/relationships/hyperlink" Target="http://www.nevo.co.il/case/6162862" TargetMode="External"/><Relationship Id="rId33" Type="http://schemas.openxmlformats.org/officeDocument/2006/relationships/hyperlink" Target="http://www.nevo.co.il/case/26528309" TargetMode="External"/><Relationship Id="rId34" Type="http://schemas.openxmlformats.org/officeDocument/2006/relationships/hyperlink" Target="http://www.nevo.co.il/case/5712233" TargetMode="External"/><Relationship Id="rId35" Type="http://schemas.openxmlformats.org/officeDocument/2006/relationships/hyperlink" Target="http://www.nevo.co.il/case/26256014" TargetMode="External"/><Relationship Id="rId36" Type="http://schemas.openxmlformats.org/officeDocument/2006/relationships/hyperlink" Target="http://www.nevo.co.il/case/26177206" TargetMode="External"/><Relationship Id="rId37" Type="http://schemas.openxmlformats.org/officeDocument/2006/relationships/hyperlink" Target="http://www.nevo.co.il/case/26280651" TargetMode="External"/><Relationship Id="rId38" Type="http://schemas.openxmlformats.org/officeDocument/2006/relationships/hyperlink" Target="http://www.nevo.co.il/case/22961900" TargetMode="External"/><Relationship Id="rId39" Type="http://schemas.openxmlformats.org/officeDocument/2006/relationships/hyperlink" Target="http://www.nevo.co.il/case/25800799" TargetMode="External"/><Relationship Id="rId40" Type="http://schemas.openxmlformats.org/officeDocument/2006/relationships/hyperlink" Target="http://www.nevo.co.il/case/20489987" TargetMode="External"/><Relationship Id="rId41" Type="http://schemas.openxmlformats.org/officeDocument/2006/relationships/hyperlink" Target="http://www.nevo.co.il/case/6247531" TargetMode="External"/><Relationship Id="rId42" Type="http://schemas.openxmlformats.org/officeDocument/2006/relationships/hyperlink" Target="http://www.nevo.co.il/case/6194147" TargetMode="External"/><Relationship Id="rId43" Type="http://schemas.openxmlformats.org/officeDocument/2006/relationships/hyperlink" Target="http://www.nevo.co.il/case/20031943" TargetMode="External"/><Relationship Id="rId44" Type="http://schemas.openxmlformats.org/officeDocument/2006/relationships/hyperlink" Target="http://www.nevo.co.il/case/18119169" TargetMode="External"/><Relationship Id="rId45" Type="http://schemas.openxmlformats.org/officeDocument/2006/relationships/hyperlink" Target="http://www.nevo.co.il/case/6240029" TargetMode="External"/><Relationship Id="rId46" Type="http://schemas.openxmlformats.org/officeDocument/2006/relationships/hyperlink" Target="http://www.nevo.co.il/case/18120105" TargetMode="External"/><Relationship Id="rId47" Type="http://schemas.openxmlformats.org/officeDocument/2006/relationships/hyperlink" Target="http://www.nevo.co.il/law/70301/40d.a" TargetMode="External"/><Relationship Id="rId48" Type="http://schemas.openxmlformats.org/officeDocument/2006/relationships/hyperlink" Target="http://www.nevo.co.il/case/27397210" TargetMode="External"/><Relationship Id="rId49" Type="http://schemas.openxmlformats.org/officeDocument/2006/relationships/hyperlink" Target="http://www.nevo.co.il/case/17014777" TargetMode="External"/><Relationship Id="rId50" Type="http://schemas.openxmlformats.org/officeDocument/2006/relationships/hyperlink" Target="http://www.nevo.co.il/case/25217979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2021-08-23T08:36:00Z</dcterms:created>
  <dc:creator>h4</dc:creator>
  <dc:description/>
  <cp:keywords/>
  <dc:language>en-IL</dc:language>
  <cp:lastModifiedBy>orly</cp:lastModifiedBy>
  <cp:lastPrinted>2021-08-22T11:03:00Z</cp:lastPrinted>
  <dcterms:modified xsi:type="dcterms:W3CDTF">2021-08-23T08:36:00Z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22913127:2;26142559;25481020;26518589;25202729;20028610;26538274;20622775;6246452;6243136;6244821;6162862;26528309;5712233;26256014;26177206;26280651;22961900;25800799;20489987;6247531;6194147;20031943;18119169;6240029;18120105;27397210;17014777</vt:lpwstr>
  </property>
  <property fmtid="{D5CDD505-2E9C-101B-9397-08002B2CF9AE}" pid="9" name="CASESLISTTMP2">
    <vt:lpwstr>25217979</vt:lpwstr>
  </property>
  <property fmtid="{D5CDD505-2E9C-101B-9397-08002B2CF9AE}" pid="10" name="CITY">
    <vt:lpwstr/>
  </property>
  <property fmtid="{D5CDD505-2E9C-101B-9397-08002B2CF9AE}" pid="11" name="DATE">
    <vt:lpwstr>20210822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סולברג;ע' גרוסקופף;נ' הנדל</vt:lpwstr>
  </property>
  <property fmtid="{D5CDD505-2E9C-101B-9397-08002B2CF9AE}" pid="15" name="LAWLISTTMP1">
    <vt:lpwstr>70301/351.a;345.a.1:2;351.c.2;345.b.1;351.c.3:2;035;040d.a</vt:lpwstr>
  </property>
  <property fmtid="{D5CDD505-2E9C-101B-9397-08002B2CF9AE}" pid="16" name="LAWYER">
    <vt:lpwstr>עינת כהן גרוסמן;אורי קינן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>ראיות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77;77;18;89;77;77;77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ערעור</vt:lpwstr>
  </property>
  <property fmtid="{D5CDD505-2E9C-101B-9397-08002B2CF9AE}" pid="42" name="NOSE24">
    <vt:lpwstr>עדות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1443;1443;504;1654;1446;1446;1446</vt:lpwstr>
  </property>
  <property fmtid="{D5CDD505-2E9C-101B-9397-08002B2CF9AE}" pid="49" name="NOSE31">
    <vt:lpwstr>עבירות מין בקטין</vt:lpwstr>
  </property>
  <property fmtid="{D5CDD505-2E9C-101B-9397-08002B2CF9AE}" pid="50" name="NOSE310">
    <vt:lpwstr/>
  </property>
  <property fmtid="{D5CDD505-2E9C-101B-9397-08002B2CF9AE}" pid="51" name="NOSE32">
    <vt:lpwstr>עבירות מין במשפחה</vt:lpwstr>
  </property>
  <property fmtid="{D5CDD505-2E9C-101B-9397-08002B2CF9AE}" pid="52" name="NOSE33">
    <vt:lpwstr>אי-התערבות בממצאים עובדתיים</vt:lpwstr>
  </property>
  <property fmtid="{D5CDD505-2E9C-101B-9397-08002B2CF9AE}" pid="53" name="NOSE34">
    <vt:lpwstr>קורבן עבירת מין</vt:lpwstr>
  </property>
  <property fmtid="{D5CDD505-2E9C-101B-9397-08002B2CF9AE}" pid="54" name="NOSE35">
    <vt:lpwstr>מדיניות ענישה: עבירות מין בקטינים</vt:lpwstr>
  </property>
  <property fmtid="{D5CDD505-2E9C-101B-9397-08002B2CF9AE}" pid="55" name="NOSE36">
    <vt:lpwstr>מדיניות ענישה: עבירות מין במשפחה</vt:lpwstr>
  </property>
  <property fmtid="{D5CDD505-2E9C-101B-9397-08002B2CF9AE}" pid="56" name="NOSE37">
    <vt:lpwstr>מדיניות ענישה: שיקולים לחומרה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16634;12407;3849;12270;16970;16241;8995</vt:lpwstr>
  </property>
  <property fmtid="{D5CDD505-2E9C-101B-9397-08002B2CF9AE}" pid="60" name="PADIDATE">
    <vt:lpwstr>20210823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5832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410120210822</vt:lpwstr>
  </property>
  <property fmtid="{D5CDD505-2E9C-101B-9397-08002B2CF9AE}" pid="70" name="TYPE_N_DATE">
    <vt:lpwstr>41020210822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