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5834/19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23.7.2019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תיק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פלילי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4378-07-18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פוקס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13.7.2020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רחל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מטר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ascii="Century" w:hAnsi="Century" w:cs="David"/>
          <w:sz w:val="26"/>
          <w:szCs w:val="26"/>
        </w:rPr>
      </w:pPr>
      <w:r>
        <w:rPr>
          <w:rFonts w:cs="David" w:ascii="Century" w:hAnsi="Century"/>
          <w:sz w:val="26"/>
          <w:szCs w:val="2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9"/>
        <w:gridCol w:w="5154"/>
      </w:tblGrid>
      <w:tr>
        <w:trPr/>
        <w:tc>
          <w:tcPr>
            <w:tcW w:w="3209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ראניה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סרוג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9"/>
        <w:gridCol w:w="5154"/>
      </w:tblGrid>
      <w:tr>
        <w:trPr/>
        <w:tc>
          <w:tcPr>
            <w:tcW w:w="3209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מתורגמן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לשפה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הערבית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אשרף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קרעין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napToGrid w:val="false"/>
              <w:spacing w:lineRule="auto" w:line="240"/>
              <w:ind w:end="0"/>
              <w:jc w:val="center"/>
              <w:rPr>
                <w:u w:val="none"/>
              </w:rPr>
            </w:pPr>
            <w:r>
              <w:rPr>
                <w:u w:val="none"/>
                <w:rtl w:val="true"/>
              </w:rPr>
            </w:r>
            <w:bookmarkStart w:id="5" w:name="BeginProtocol"/>
            <w:bookmarkStart w:id="6" w:name="secretary"/>
            <w:bookmarkStart w:id="7" w:name="BeginProtocol"/>
            <w:bookmarkStart w:id="8" w:name="secretary"/>
            <w:bookmarkEnd w:id="7"/>
            <w:bookmarkEnd w:id="8"/>
          </w:p>
          <w:p>
            <w:pPr>
              <w:pStyle w:val="DocumentHead"/>
              <w:spacing w:lineRule="auto" w:line="240"/>
              <w:ind w:end="0"/>
              <w:jc w:val="center"/>
              <w:rPr>
                <w:bCs w:val="false"/>
                <w:u w:val="none"/>
              </w:rPr>
            </w:pPr>
            <w:r>
              <w:rPr>
                <w:bCs w:val="false"/>
                <w:u w:val="none"/>
                <w:rtl w:val="true"/>
              </w:rPr>
            </w:r>
            <w:bookmarkStart w:id="9" w:name="LawTable"/>
            <w:bookmarkStart w:id="10" w:name="LawTable"/>
            <w:bookmarkEnd w:id="10"/>
          </w:p>
          <w:p>
            <w:pPr>
              <w:pStyle w:val="DocumentHead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bCs w:val="false"/>
                <w:spacing w:val="0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Cs w:val="false"/>
                <w:spacing w:val="0"/>
                <w:sz w:val="24"/>
                <w:szCs w:val="24"/>
                <w:u w:val="none"/>
                <w:rtl w:val="true"/>
              </w:rPr>
            </w:r>
          </w:p>
          <w:p>
            <w:pPr>
              <w:pStyle w:val="DocumentHead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bCs w:val="false"/>
                <w:spacing w:val="0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Cs w:val="false"/>
                <w:spacing w:val="0"/>
                <w:sz w:val="24"/>
                <w:szCs w:val="24"/>
                <w:u w:val="none"/>
                <w:rtl w:val="true"/>
              </w:rPr>
            </w:r>
          </w:p>
          <w:p>
            <w:pPr>
              <w:pStyle w:val="DocumentHead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bCs w:val="false"/>
                <w:spacing w:val="0"/>
                <w:sz w:val="24"/>
                <w:szCs w:val="24"/>
                <w:u w:val="none"/>
              </w:rPr>
            </w:pPr>
            <w:r>
              <w:rPr>
                <w:rFonts w:ascii="FrankRuehl" w:hAnsi="FrankRuehl" w:cs="FrankRuehl"/>
                <w:bCs w:val="false"/>
                <w:spacing w:val="0"/>
                <w:sz w:val="24"/>
                <w:sz w:val="24"/>
                <w:szCs w:val="24"/>
                <w:u w:val="none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bCs w:val="false"/>
                <w:spacing w:val="0"/>
                <w:sz w:val="24"/>
                <w:szCs w:val="24"/>
                <w:u w:val="none"/>
                <w:rtl w:val="true"/>
              </w:rPr>
              <w:t xml:space="preserve">: </w:t>
            </w:r>
          </w:p>
          <w:p>
            <w:pPr>
              <w:pStyle w:val="DocumentHead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bCs w:val="false"/>
                <w:spacing w:val="0"/>
                <w:sz w:val="24"/>
                <w:szCs w:val="24"/>
                <w:u w:val="none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bCs w:val="false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Cs w:val="false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Cs w:val="false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</w:rPr>
                <w:t>1977</w:t>
              </w:r>
            </w:hyperlink>
          </w:p>
          <w:p>
            <w:pPr>
              <w:pStyle w:val="DocumentHead"/>
              <w:spacing w:lineRule="auto" w:line="240"/>
              <w:ind w:end="0"/>
              <w:jc w:val="center"/>
              <w:rPr>
                <w:rFonts w:ascii="FrankRuehl" w:hAnsi="FrankRuehl" w:cs="FrankRuehl"/>
                <w:bCs w:val="false"/>
                <w:spacing w:val="0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Cs w:val="false"/>
                <w:spacing w:val="0"/>
                <w:sz w:val="24"/>
                <w:szCs w:val="24"/>
                <w:u w:val="none"/>
                <w:rtl w:val="true"/>
              </w:rPr>
            </w:r>
            <w:bookmarkStart w:id="11" w:name="LawTable_End"/>
            <w:bookmarkStart w:id="12" w:name="LawTable_End"/>
            <w:bookmarkEnd w:id="12"/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3" w:name="PsakDin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4" w:name="PsakDin"/>
            <w:bookmarkEnd w:id="14"/>
            <w:r>
              <w:rPr>
                <w:rtl w:val="true"/>
              </w:rPr>
              <w:t>(</w:t>
            </w:r>
            <w:r>
              <w:rPr>
                <w:rtl w:val="true"/>
              </w:rPr>
              <w:t>בעניינו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בלבד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5" w:name="Start_Write"/>
      <w:bookmarkStart w:id="16" w:name="Writer_Name"/>
      <w:bookmarkEnd w:id="15"/>
      <w:bookmarkEnd w:id="16"/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13.7.2020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ומטילים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כסדרן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להפקעתם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16.6.2018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31.7.2018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21.10.2020</w:t>
      </w:r>
      <w:r>
        <w:rPr>
          <w:rtl w:val="true"/>
        </w:rPr>
        <w:t xml:space="preserve">, </w:t>
      </w:r>
      <w:r>
        <w:rPr>
          <w:rtl w:val="true"/>
        </w:rPr>
        <w:t>ימשיך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אחווה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והמאסרים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18.8.2020</w:t>
      </w:r>
      <w:r>
        <w:rPr>
          <w:rtl w:val="true"/>
        </w:rPr>
        <w:t xml:space="preserve">). </w:t>
      </w:r>
      <w:bookmarkEnd w:id="17"/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19058340</w:t>
      </w:r>
      <w:r>
        <w:rPr>
          <w:sz w:val="16"/>
          <w:rtl w:val="true"/>
        </w:rPr>
        <w:t>_</w:t>
      </w:r>
      <w:r>
        <w:rPr>
          <w:sz w:val="16"/>
        </w:rPr>
        <w:t>Q10.docx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54678313-5834/19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5834/19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5103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supreme.court.gov.il/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2020-08-19T07:24:00Z</dcterms:created>
  <dc:creator>h4</dc:creator>
  <dc:description/>
  <cp:keywords/>
  <dc:language>en-IL</dc:language>
  <cp:lastModifiedBy>h10</cp:lastModifiedBy>
  <cp:lastPrinted>2020-08-18T16:51:00Z</cp:lastPrinted>
  <dcterms:modified xsi:type="dcterms:W3CDTF">2020-08-19T07:24:00Z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ASESLISTTMP1">
    <vt:lpwstr>24351039</vt:lpwstr>
  </property>
  <property fmtid="{D5CDD505-2E9C-101B-9397-08002B2CF9AE}" pid="5" name="DATE">
    <vt:lpwstr>20200818</vt:lpwstr>
  </property>
  <property fmtid="{D5CDD505-2E9C-101B-9397-08002B2CF9AE}" pid="6" name="JUDGE">
    <vt:lpwstr>מ' מזוז;ג' קרא;י' וילנר</vt:lpwstr>
  </property>
  <property fmtid="{D5CDD505-2E9C-101B-9397-08002B2CF9AE}" pid="7" name="LAWLISTTMP1">
    <vt:lpwstr>70301</vt:lpwstr>
  </property>
  <property fmtid="{D5CDD505-2E9C-101B-9397-08002B2CF9AE}" pid="8" name="LAWYER">
    <vt:lpwstr>ראניה סרוג'י;רחל מטר</vt:lpwstr>
  </property>
  <property fmtid="{D5CDD505-2E9C-101B-9397-08002B2CF9AE}" pid="9" name="PROCESS">
    <vt:lpwstr>עפ</vt:lpwstr>
  </property>
  <property fmtid="{D5CDD505-2E9C-101B-9397-08002B2CF9AE}" pid="10" name="PROCNUM">
    <vt:lpwstr>5834</vt:lpwstr>
  </property>
  <property fmtid="{D5CDD505-2E9C-101B-9397-08002B2CF9AE}" pid="11" name="PROCYEAR">
    <vt:lpwstr>19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TYPE_ABS_DATE">
    <vt:lpwstr>410020200818</vt:lpwstr>
  </property>
  <property fmtid="{D5CDD505-2E9C-101B-9397-08002B2CF9AE}" pid="15" name="TYPE_N_DATE">
    <vt:lpwstr>41020200818</vt:lpwstr>
  </property>
  <property fmtid="{D5CDD505-2E9C-101B-9397-08002B2CF9AE}" pid="16" name="WORDNUMPAGES">
    <vt:lpwstr>2</vt:lpwstr>
  </property>
</Properties>
</file>