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2613"/>
        <w:gridCol w:w="5238"/>
        <w:gridCol w:w="6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5836/16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6210/16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5836/16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פרדי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רובינסון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6210/16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מילומור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044959-08-14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13.07.2016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כבוב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04.01.2018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5836/16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6210/16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רוזובסקי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ליויאן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ליפשס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ברוקמייר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עיסוק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424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425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ניירות ערך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תקנות ניירות ערך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עריכת דוחות כספיים שנתיים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1993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השקיפות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הדיווח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התאגידי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אעפ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ותאגידיות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בתאגיד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בתאגיד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ועשרות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תאגידי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שאיתנותה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השקיפות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הדיווח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התאגידי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2005</w:t>
      </w:r>
      <w:r>
        <w:rPr>
          <w:rFonts w:cs="FrankRuehl"/>
          <w:sz w:val="24"/>
          <w:szCs w:val="26"/>
          <w:rtl w:val="true"/>
        </w:rPr>
        <w:t xml:space="preserve"> –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התאגידי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ותאגידיות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; 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בעשרות עבירות של קבלת דבר במרמה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מרמה והפרת אמונים בתאגיד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עבירות מנהלים ועובדים בתאגיד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בשיבוש מהלכי משפט והדחה בחקירה – לפי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415</w:t>
        </w:r>
      </w:hyperlink>
      <w:r>
        <w:rPr>
          <w:rFonts w:cs="Century" w:ascii="Century" w:hAnsi="Century"/>
          <w:rtl w:val="true"/>
        </w:rPr>
        <w:t xml:space="preserve">, </w:t>
      </w:r>
      <w:hyperlink r:id="rId14">
        <w:r>
          <w:rPr>
            <w:rStyle w:val="Hyperlink"/>
            <w:rFonts w:cs="Century" w:ascii="Century" w:hAnsi="Century"/>
            <w:color w:val="0000FF"/>
            <w:u w:val="single"/>
          </w:rPr>
          <w:t>425</w:t>
        </w:r>
      </w:hyperlink>
      <w:r>
        <w:rPr>
          <w:rFonts w:cs="Century" w:ascii="Century" w:hAnsi="Century"/>
          <w:rtl w:val="true"/>
        </w:rPr>
        <w:t xml:space="preserve">, </w:t>
      </w:r>
      <w:hyperlink r:id="rId15">
        <w:r>
          <w:rPr>
            <w:rStyle w:val="Hyperlink"/>
            <w:rFonts w:cs="Century" w:ascii="Century" w:hAnsi="Century"/>
            <w:color w:val="0000FF"/>
            <w:u w:val="single"/>
          </w:rPr>
          <w:t>424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hyperlink r:id="rId16">
        <w:r>
          <w:rPr>
            <w:rStyle w:val="Hyperlink"/>
            <w:rFonts w:cs="Century" w:ascii="Century" w:hAnsi="Century"/>
            <w:color w:val="0000FF"/>
            <w:u w:val="single"/>
          </w:rPr>
          <w:t>244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7">
        <w:r>
          <w:rPr>
            <w:rStyle w:val="Hyperlink"/>
            <w:rFonts w:cs="Century" w:ascii="Century" w:hAnsi="Century"/>
            <w:color w:val="0000FF"/>
            <w:u w:val="single"/>
          </w:rPr>
          <w:t>245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בעשרות עבירות דיווח לפי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0">
        <w:r>
          <w:rPr>
            <w:rStyle w:val="Hyperlink"/>
            <w:rFonts w:cs="Century" w:ascii="Century" w:hAnsi="Century"/>
            <w:color w:val="0000FF"/>
            <w:u w:val="single"/>
          </w:rPr>
          <w:t>53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ניירות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ערך</w:t>
        </w:r>
      </w:hyperlink>
      <w:r>
        <w:rPr>
          <w:rFonts w:ascii="Century" w:hAnsi="Century" w:cs="Century"/>
          <w:rtl w:val="true"/>
        </w:rPr>
        <w:t xml:space="preserve"> ו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ניירות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ערך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עריכת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דוחות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כספיים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שנתיים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המערער הושת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עונש מאסר בפועל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וקנס בסך מיליון וחצי ₪ או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תמורתם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ערעורו של המערער נסב על ההרשעה וגזר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בהמלצתנו חזר בו המערער מהערעור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הצהיר כי הוא נוטל אחריות על מעשיו ועתר להקלה בעונשו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ייאמר מיד כי המעשים בהם הורשע המערער הם חמורים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פעל בחברת הבת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שחר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כבתוך שלו לטובת חברת האם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מילימור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תוך התעלמות מוחלטת מכל הכללים והחוקים הנוגעים לממשל תאגידי וגילוי נאות בחברות ציבוריות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משך מחברת הבת מיליוני שקלים לחברת האם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הגם שהכספים שנמשכו הוחזרו מדי סוף רבעון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וגרם לחברת הבת לערוב ללא הגבלה לחברת האם – 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ידיעתם וללא אישורם של הגורמים המוסמכים בחברת הבת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שהוזהר על ידי מספר גורמים בנוגע למשיכת הכספים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הגם שבסופו של יום כמעט שלא נגרם לחברת הבת נזק בפועל וזו נמכרה לצד שלישי בשנת </w:t>
      </w:r>
      <w:r>
        <w:rPr>
          <w:rFonts w:cs="Century" w:ascii="Century" w:hAnsi="Century"/>
        </w:rPr>
        <w:t>2007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והגם שהפעולות נעשו לראייתו של המערער לטובת שתי החברות</w:t>
      </w:r>
      <w:r>
        <w:rPr>
          <w:rFonts w:cs="Century" w:ascii="Century" w:hAnsi="Century"/>
          <w:rtl w:val="true"/>
        </w:rPr>
        <w:t xml:space="preserve">,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הרי שאיתנותה של חברת הבת הועמדה עקב פעולות אלה בסיכון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לנו אלא להסכים עם עמדת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במרמה עוצמתית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רמיסה לאורך זמן של עקרונות השקיפות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הדיווח וכללי הממשל התאגידי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הדברים הרגיל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שהושת על המערער הוא מתון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שמא אף יתר על המידה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בהתחשב בעבירות הנוספות של שיבוש מהלכי משפט והדחה בחקירה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חמורות כשלעצמן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ובהינתן שהמערער בחר לנהל משפטו עד תום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שגם הנימוק של חסכון בזמנו של בית המשפט אינו עומד 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אם מצאנו בסופו של יום להקל במידת מה בעונשו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עשינו זאת נוכח הצטברותם של  הטעמים הבאים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חלוף הזמן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ענייננו בעבירות שבוצעו בין השנים </w:t>
      </w:r>
      <w:r>
        <w:rPr>
          <w:rFonts w:cs="Century" w:ascii="Century" w:hAnsi="Century"/>
        </w:rPr>
        <w:t>2007-2005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כאשר את חלוף הזמן אין לזקוף לחובתה של ההגנה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נחקר כבר בשנת </w:t>
      </w:r>
      <w:r>
        <w:rPr>
          <w:rFonts w:cs="Century" w:ascii="Century" w:hAnsi="Century"/>
        </w:rPr>
        <w:t>2008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התיק הועבר לפרקליטות בשנת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וכתב האישום הוגש רק בשנת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נסיבות אובייקטיביות שגרמו לשיהוי בהגשת כתב האישום – התיק שבפנינו הוא אך חלק מחקירה נרחבת שהתנהלה בשנים הרלוונטיות בשלוש פרשיות מורכבות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חילופי גברי של הגורמים שטיפלו בתיק ברשויות החקירה ובפרקליטות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מנקודת מבטו של המערער מדובר בעינוי דין ובשיהוי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טענת ההגנה לביטול כתב האישום בשל שיהוי זה מחמת הגנה מן הצדק אמנם נדחתה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יש בשיהוי הניכר כדי להצדיק הקלה בעונש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לשיהוי הניכר בהגשת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השלכה גם במישור נוסף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לבעל דין זכות קנויה שיושת עליו עונש על פי רמת הענישה שהייתה נהוגה בעת 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ניתן להתעלם מכך שרמת הענישה בשנת 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ואף רמת המודעות לכללי הממשל התאגידי והחומרה הנוגעת להפרתם – אינה כמו זו שבעשור שלאחר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שיקולי הענישה מצאנו לשקלל גם את רמת הענישה שהייתה נהוגה לפני למעלה מעשור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עוד טרם החלה מגמת ההחמרה בענישה בעבירות כלכליות ותאגידיות כגון דא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David"/>
          <w:sz w:val="24"/>
          <w:szCs w:val="24"/>
          <w:u w:val="single"/>
        </w:rPr>
      </w:pPr>
      <w:r>
        <w:rPr>
          <w:rFonts w:cs="David" w:ascii="Century" w:hAnsi="Century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נסיבותיו האישיות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ובתמצית שבתמצית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היעדר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המערער כיום כבן </w:t>
      </w: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הזדקן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עם התיק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פעילות ציבורית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חברתית ופילנטרופית נרחבת בתחומים שונים במהלך 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מהמסמכים הרבים ומעדי האופי הרבים שדיברו בשבחו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הזרים מכיסו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 עשרות מיליוני שקלים לחברת האם שנקלעה לקשיים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הנאמן והמנהל המיוחד של חברת האם אישר כי הסדר הנושים מגלם החזר של מלוא החוב ללא קיצוץ או תספורת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 נדיר במקומותינו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שזכה להערכה רבה מצד בית המשפט של פירוק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ובעיקר – מסמכים שונים שהוצגו בפנינו הנוגעים לנסיבות אישיות חריגות ומיוחדות שאיננו רואים לפרטם בשל צנעת הפרט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שמנו כל אלה נגד עיננו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על פי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 רואים להיעתר לבקשתו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תחינתו של המערער שלא להשית עליו מאסר בפועל אפילו במסגרת 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במקרים כמו המקרה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המאסר הוא המסר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ולסופו של יום אנו מעמידים את עונש המאסר בפועל שהושת על המערער על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חלף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המאסר שהושתו עליו על ידי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הוראות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שיעור הקנס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יישארו בעינן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ריצוי עונשו ביום </w:t>
      </w:r>
      <w:r>
        <w:rPr/>
        <w:t>18.2.2018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09</w:t>
      </w:r>
      <w:r>
        <w:rPr/>
        <w:t>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16058360</w:t>
      </w:r>
      <w:r>
        <w:rPr>
          <w:sz w:val="16"/>
          <w:rtl w:val="true"/>
        </w:rPr>
        <w:t>_</w:t>
      </w:r>
      <w:r>
        <w:rPr>
          <w:sz w:val="16"/>
        </w:rPr>
        <w:t>E15.doc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54678313-5836/16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5836/16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פרדי רובינסון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9239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245.b" TargetMode="External"/><Relationship Id="rId6" Type="http://schemas.openxmlformats.org/officeDocument/2006/relationships/hyperlink" Target="http://www.nevo.co.il/law/70301/415" TargetMode="External"/><Relationship Id="rId7" Type="http://schemas.openxmlformats.org/officeDocument/2006/relationships/hyperlink" Target="http://www.nevo.co.il/law/70301/424.2" TargetMode="External"/><Relationship Id="rId8" Type="http://schemas.openxmlformats.org/officeDocument/2006/relationships/hyperlink" Target="http://www.nevo.co.il/law/70301/425" TargetMode="External"/><Relationship Id="rId9" Type="http://schemas.openxmlformats.org/officeDocument/2006/relationships/hyperlink" Target="http://www.nevo.co.il/law/70349" TargetMode="External"/><Relationship Id="rId10" Type="http://schemas.openxmlformats.org/officeDocument/2006/relationships/hyperlink" Target="http://www.nevo.co.il/law/70349/36" TargetMode="External"/><Relationship Id="rId11" Type="http://schemas.openxmlformats.org/officeDocument/2006/relationships/hyperlink" Target="http://www.nevo.co.il/law/70349/53.a.4" TargetMode="External"/><Relationship Id="rId12" Type="http://schemas.openxmlformats.org/officeDocument/2006/relationships/hyperlink" Target="http://www.nevo.co.il/law/42323" TargetMode="External"/><Relationship Id="rId13" Type="http://schemas.openxmlformats.org/officeDocument/2006/relationships/hyperlink" Target="http://www.nevo.co.il/law/70301/415" TargetMode="External"/><Relationship Id="rId14" Type="http://schemas.openxmlformats.org/officeDocument/2006/relationships/hyperlink" Target="http://www.nevo.co.il/law/70301/425" TargetMode="External"/><Relationship Id="rId15" Type="http://schemas.openxmlformats.org/officeDocument/2006/relationships/hyperlink" Target="http://www.nevo.co.il/law/70301/424.2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/245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49/36" TargetMode="External"/><Relationship Id="rId20" Type="http://schemas.openxmlformats.org/officeDocument/2006/relationships/hyperlink" Target="http://www.nevo.co.il/law/70349/53.a.4" TargetMode="External"/><Relationship Id="rId21" Type="http://schemas.openxmlformats.org/officeDocument/2006/relationships/hyperlink" Target="http://www.nevo.co.il/law/70349" TargetMode="External"/><Relationship Id="rId22" Type="http://schemas.openxmlformats.org/officeDocument/2006/relationships/hyperlink" Target="http://www.nevo.co.il/law/42323" TargetMode="External"/><Relationship Id="rId23" Type="http://schemas.openxmlformats.org/officeDocument/2006/relationships/hyperlink" Target="http://www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2018-01-09T11:00:00Z</dcterms:created>
  <dc:creator> </dc:creator>
  <dc:description/>
  <cp:keywords/>
  <dc:language>en-IL</dc:language>
  <cp:lastModifiedBy>orly</cp:lastModifiedBy>
  <cp:lastPrinted>2018-01-07T11:18:00Z</cp:lastPrinted>
  <dcterms:modified xsi:type="dcterms:W3CDTF">2018-01-09T11:00:00Z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פרדי רובינסון;מילומור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17992396</vt:lpwstr>
  </property>
  <property fmtid="{D5CDD505-2E9C-101B-9397-08002B2CF9AE}" pid="9" name="CITY">
    <vt:lpwstr/>
  </property>
  <property fmtid="{D5CDD505-2E9C-101B-9397-08002B2CF9AE}" pid="10" name="DATE">
    <vt:lpwstr>20180107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עמית;נ' סולברג</vt:lpwstr>
  </property>
  <property fmtid="{D5CDD505-2E9C-101B-9397-08002B2CF9AE}" pid="14" name="LAWLISTTMP1">
    <vt:lpwstr>70301/415;425;424.2;244;245.b</vt:lpwstr>
  </property>
  <property fmtid="{D5CDD505-2E9C-101B-9397-08002B2CF9AE}" pid="15" name="LAWLISTTMP2">
    <vt:lpwstr>70349/036;053.a.4</vt:lpwstr>
  </property>
  <property fmtid="{D5CDD505-2E9C-101B-9397-08002B2CF9AE}" pid="16" name="LAWLISTTMP3">
    <vt:lpwstr>42323</vt:lpwstr>
  </property>
  <property fmtid="{D5CDD505-2E9C-101B-9397-08002B2CF9AE}" pid="17" name="LAWYER">
    <vt:lpwstr>יוני לבני אסף עיסוק;אייל רוזובסקי;ליויאן סגל;ירון ליפשס;אופירה אלון;רבקה ברוקמייר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</vt:lpwstr>
  </property>
  <property fmtid="{D5CDD505-2E9C-101B-9397-08002B2CF9AE}" pid="50" name="NOSE31">
    <vt:lpwstr>מדיניות ענישה: עבירות כלכליות</vt:lpwstr>
  </property>
  <property fmtid="{D5CDD505-2E9C-101B-9397-08002B2CF9AE}" pid="51" name="NOSE310">
    <vt:lpwstr/>
  </property>
  <property fmtid="{D5CDD505-2E9C-101B-9397-08002B2CF9AE}" pid="52" name="NOSE32">
    <vt:lpwstr>שיקולי ענישה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8987;15506</vt:lpwstr>
  </property>
  <property fmtid="{D5CDD505-2E9C-101B-9397-08002B2CF9AE}" pid="61" name="PADIDATE">
    <vt:lpwstr>20180109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5836;6210</vt:lpwstr>
  </property>
  <property fmtid="{D5CDD505-2E9C-101B-9397-08002B2CF9AE}" pid="67" name="PROCYEAR">
    <vt:lpwstr>16;16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410120180107</vt:lpwstr>
  </property>
  <property fmtid="{D5CDD505-2E9C-101B-9397-08002B2CF9AE}" pid="71" name="TYPE_N_DATE">
    <vt:lpwstr>41020180107</vt:lpwstr>
  </property>
  <property fmtid="{D5CDD505-2E9C-101B-9397-08002B2CF9AE}" pid="72" name="VOLUME">
    <vt:lpwstr/>
  </property>
  <property fmtid="{D5CDD505-2E9C-101B-9397-08002B2CF9AE}" pid="73" name="WORDNUMPAGES">
    <vt:lpwstr>5</vt:lpwstr>
  </property>
</Properties>
</file>